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zk2636031.htm"/>
      <w:bookmarkStart w:id="1" w:name="kszk2636031"/>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001-35223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BioLineRx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HaMa’ayan Street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Modi’in 7177871, Israel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20-F ☒       Form 40-F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20" w:right="116" w:firstLine="7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BioLineRx Ltd. (the “Company”) entered into a securities purchase agreement (the “Purchase Agreement”), pursuant to which the Company agreed to sell and issue in a registered direct offering (i) 480,696 American Depositary Shares (“ADSs”), each ADS representing six hundred (600) ordinary shares, NIS 0.10 par value per share, of the Company (“Ordinary Shares”) and (ii) pre-funded warrants (the “Pre-funded Warrants”) to purchase up to 868,225 ADSs. Additionally, the Company agreed to sell and issue, in a concurrent private placement, unregistered warrants (the “Warrants”) to purchase up to 2,023,382 ADSs (collectively, the “Offering”). The purchase price per ADS and accompanying Warrant is $2.78 and the purchase price per Pre-funded Warrant and accompanying Warrant is $2.7799.</w:t>
      </w:r>
    </w:p>
    <w:p>
      <w:pPr>
        <w:pStyle w:val="TextBody"/>
        <w:bidi w:val="0"/>
        <w:spacing w:before="0" w:after="0"/>
        <w:ind w:left="120" w:right="116" w:firstLine="716"/>
        <w:jc w:val="both"/>
        <w:rPr>
          <w:caps w:val="false"/>
          <w:smallCaps w:val="false"/>
        </w:rPr>
      </w:pPr>
      <w:r>
        <w:rPr>
          <w:caps w:val="false"/>
          <w:smallCaps w:val="false"/>
        </w:rPr>
        <w:t> </w:t>
      </w:r>
    </w:p>
    <w:p>
      <w:pPr>
        <w:pStyle w:val="TextBody"/>
        <w:bidi w:val="0"/>
        <w:spacing w:before="0" w:after="0"/>
        <w:ind w:left="119" w:right="118" w:firstLine="7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will be immediately exercisable at an exercise price of $0.001 per ADS and will not expire until exercised in full. The Warrants have a term of five years from the date of issuance, and an exercise price of $2.78 per ADS.</w:t>
      </w:r>
    </w:p>
    <w:p>
      <w:pPr>
        <w:pStyle w:val="TextBody"/>
        <w:bidi w:val="0"/>
        <w:spacing w:before="0" w:after="0"/>
        <w:ind w:left="119" w:right="118" w:firstLine="716"/>
        <w:jc w:val="both"/>
        <w:rPr>
          <w:caps w:val="false"/>
          <w:smallCaps w:val="false"/>
        </w:rPr>
      </w:pPr>
      <w:r>
        <w:rPr>
          <w:caps w:val="false"/>
          <w:smallCaps w:val="false"/>
        </w:rPr>
        <w:t> </w:t>
      </w:r>
    </w:p>
    <w:p>
      <w:pPr>
        <w:pStyle w:val="TextBody"/>
        <w:bidi w:val="0"/>
        <w:spacing w:before="0" w:after="0"/>
        <w:ind w:left="119" w:right="116" w:firstLine="7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Pre-funded Warrants and Warrants will not have the right to exercise any portion of its Pre-funded Warrants and Warrants if the holder (together with such holder’s affiliates, and any persons acting as a group together with such holder or any of such holder’s affiliates or any other persons whose beneficial ownership of ADSs or Ordinary Shares would be aggregated with the holder’s or any of the holder’s affiliates), would beneficially own Ordinary Shares (including Ordinary Shares represented by ADSs) in excess of 4.99% (or, at the election of the holder, 9.99%) of the Ordinary Shares outstanding immediately after giving effect to such exercise.</w:t>
      </w:r>
    </w:p>
    <w:p>
      <w:pPr>
        <w:pStyle w:val="TextBody"/>
        <w:bidi w:val="0"/>
        <w:spacing w:before="0" w:after="0"/>
        <w:ind w:left="119" w:right="116" w:firstLine="716"/>
        <w:jc w:val="both"/>
        <w:rPr>
          <w:caps w:val="false"/>
          <w:smallCaps w:val="false"/>
        </w:rPr>
      </w:pPr>
      <w:r>
        <w:rPr>
          <w:caps w:val="false"/>
          <w:smallCaps w:val="false"/>
        </w:rPr>
        <w:t> </w:t>
      </w:r>
    </w:p>
    <w:p>
      <w:pPr>
        <w:pStyle w:val="TextBody"/>
        <w:bidi w:val="0"/>
        <w:spacing w:before="0" w:after="0"/>
        <w:ind w:left="119" w:right="116" w:firstLine="7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into a Placement Agency Agreement (the “Placement Agency Agreement”) with Chardan Capital Markets, LLC (the “Placement Agent”) in relation to the Offering. The Placement Agent serves as the exclusive placement agent for the Company in connection with the Offering.</w:t>
      </w:r>
    </w:p>
    <w:p>
      <w:pPr>
        <w:pStyle w:val="TextBody"/>
        <w:bidi w:val="0"/>
        <w:spacing w:before="0" w:after="0"/>
        <w:ind w:left="119" w:right="116" w:firstLine="716"/>
        <w:jc w:val="both"/>
        <w:rPr>
          <w:caps w:val="false"/>
          <w:smallCaps w:val="false"/>
        </w:rPr>
      </w:pPr>
      <w:r>
        <w:rPr>
          <w:caps w:val="false"/>
          <w:smallCaps w:val="false"/>
        </w:rPr>
        <w:t> </w:t>
      </w:r>
    </w:p>
    <w:p>
      <w:pPr>
        <w:pStyle w:val="TextBody"/>
        <w:bidi w:val="0"/>
        <w:spacing w:before="0" w:after="0"/>
        <w:ind w:left="119" w:right="116" w:firstLine="7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Purchase Agreement and Placement Agency Agreement contains representations, warranties, indemnification and other provisions customary for transactions of this nature. In addition, subject to limited exceptions, the Purchase Agreement and Placement Agency Agreement provide that for a period of one hundred twenty (120) days following the closing date, the Company will not effect or enter into an agreement to effect a “variable rate transaction” as defined in the Purchase Agreement. In addition, pursuant to the Purchase Agreement and the Placement Agency Agreement, the Company agreed to abide by certain customary standstill restrictions for a period of sixty (60) days following the closing date.</w:t>
      </w:r>
    </w:p>
    <w:p>
      <w:pPr>
        <w:pStyle w:val="TextBody"/>
        <w:bidi w:val="0"/>
        <w:spacing w:before="0" w:after="0"/>
        <w:ind w:left="119" w:right="116" w:firstLine="716"/>
        <w:jc w:val="both"/>
        <w:rPr>
          <w:caps w:val="false"/>
          <w:smallCaps w:val="false"/>
        </w:rPr>
      </w:pPr>
      <w:r>
        <w:rPr>
          <w:caps w:val="false"/>
          <w:smallCaps w:val="false"/>
        </w:rPr>
        <w:t> </w:t>
      </w:r>
    </w:p>
    <w:p>
      <w:pPr>
        <w:pStyle w:val="TextBody"/>
        <w:bidi w:val="0"/>
        <w:spacing w:before="0" w:after="0"/>
        <w:ind w:left="119" w:right="113" w:firstLine="7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gross proceeds to the Company in respect of the Offering (assuming full exercise of the Pre-funded Warrants and no exercise of the Warrants) are expected to be approximately $3,750,000, before deducting fees payable to the Placement Agent and other offering expenses payable by the Company. The Company agreed to pay the Placement Agent a cash placement fee equal to 7.0% of the aggregate gross proceeds raised in the Offering, a management fee equal to 1.0% of the aggregate gross proceeds raised in the Offering, and up to $50,000 for accountable expenses. The Company intends to use the net proceeds from the Offering for research and development activities and working capital and general corporate purposes. The Offering is expected to close on or about August 31, 2026, subject to satisfaction of customary closing conditions.</w:t>
      </w:r>
    </w:p>
    <w:p>
      <w:pPr>
        <w:pStyle w:val="TextBody"/>
        <w:bidi w:val="0"/>
        <w:spacing w:before="0" w:after="0"/>
        <w:ind w:left="119" w:right="113" w:firstLine="716"/>
        <w:jc w:val="both"/>
        <w:rPr>
          <w:caps w:val="false"/>
          <w:smallCaps w:val="false"/>
        </w:rPr>
      </w:pPr>
      <w:r>
        <w:rPr>
          <w:caps w:val="false"/>
          <w:smallCaps w:val="false"/>
        </w:rPr>
        <w:t> </w:t>
      </w:r>
    </w:p>
    <w:p>
      <w:pPr>
        <w:pStyle w:val="TextBody"/>
        <w:bidi w:val="0"/>
        <w:spacing w:before="0" w:after="0"/>
        <w:ind w:left="119" w:right="115" w:firstLine="7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represented by the ADSs, the Pre-funded Warrants, and the Ordinary Shares represented by the ADSs underlying the Pre-funded Warrants to be issued in the Offering will be issued pursuant to a prospectus supplement dated as of August 31, 2026, which will be filed with the U.S. Securities and Exchange Commission (the “SEC”) in connection with a takedown from the Company’s shelf registration statement on Form F-3 (File No. 333-276323), which became effective on January 5, 2024, and the base prospectus dated December 29, 2023 contained in such registration statement.</w:t>
      </w:r>
    </w:p>
    <w:p>
      <w:pPr>
        <w:pStyle w:val="TextBody"/>
        <w:bidi w:val="0"/>
        <w:spacing w:before="0" w:after="0"/>
        <w:ind w:left="119" w:right="115" w:firstLine="716"/>
        <w:jc w:val="both"/>
        <w:rPr>
          <w:caps w:val="false"/>
          <w:smallCaps w:val="false"/>
        </w:rPr>
      </w:pPr>
      <w:r>
        <w:rPr>
          <w:caps w:val="false"/>
          <w:smallCaps w:val="false"/>
        </w:rPr>
        <w:t> </w:t>
      </w:r>
    </w:p>
    <w:p>
      <w:pPr>
        <w:pStyle w:val="TextBody"/>
        <w:bidi w:val="0"/>
        <w:spacing w:before="0" w:after="0"/>
        <w:ind w:left="119" w:right="116" w:firstLine="7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in this Offering (the “Purchaser”) has represented that it is an accredited investor, as that term is defined in Regulation D, or a qualified institutional buyer, as defined in Rule 144A(a), and has acquired such securities for its own account and has no arrangements or understandings for any distribution thereof. The offer and sale of the foregoing securities are being made without any form of general solicitation or advertising. The Warrants and the Ordinary Shares represented by the ADSs underlying the Warrants to be issued in the Offering have not been registered under the Securities Act of 1933, as amended (the “Securities Act”), or applicable state securities laws. Accordingly, such securities may not be offered or sold in the United States except pursuant to an effective registration statement or an applicable exemption from the registration requirements of the Securities Act and such applicable state securities laws.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20" w:right="117" w:firstLine="7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Company and the Purchaser entered into an amendment dated as of August 27, 2026 (the “Warrant Amendment”) to existing warrants to purchase up to an aggregate 277,273 ADSs held by the Purchaser in order to (i) reduce the existing warrants’ exercise price to $2.78 per ADS, the price per ADS in this Offering, and (ii) extend the term of these warrants until August 31, 2031.</w:t>
      </w:r>
    </w:p>
    <w:p>
      <w:pPr>
        <w:pStyle w:val="TextBody"/>
        <w:bidi w:val="0"/>
        <w:spacing w:before="0" w:after="0"/>
        <w:ind w:left="120" w:right="117" w:firstLine="716"/>
        <w:jc w:val="both"/>
        <w:rPr>
          <w:caps w:val="false"/>
          <w:smallCaps w:val="false"/>
        </w:rPr>
      </w:pPr>
      <w:r>
        <w:rPr>
          <w:caps w:val="false"/>
          <w:smallCaps w:val="false"/>
        </w:rPr>
        <w:t> </w:t>
      </w:r>
    </w:p>
    <w:p>
      <w:pPr>
        <w:pStyle w:val="TextBody"/>
        <w:bidi w:val="0"/>
        <w:spacing w:before="0" w:after="0"/>
        <w:ind w:left="120" w:right="116" w:firstLine="7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of Foreign Private Issuer on Form 6-K shall not constitute an offer to sell or a solicitation to buy, nor shall there be any sale of any of the securities described herein in any state or jurisdiction in which such offer, solicitation or sale would be unlawful prior to registration or qualification under the securities laws of any such state or jurisdiction.</w:t>
      </w:r>
    </w:p>
    <w:p>
      <w:pPr>
        <w:pStyle w:val="TextBody"/>
        <w:bidi w:val="0"/>
        <w:spacing w:before="0" w:after="0"/>
        <w:ind w:left="120" w:right="116" w:firstLine="716"/>
        <w:jc w:val="both"/>
        <w:rPr>
          <w:caps w:val="false"/>
          <w:smallCaps w:val="false"/>
        </w:rPr>
      </w:pPr>
      <w:r>
        <w:rPr>
          <w:caps w:val="false"/>
          <w:smallCaps w:val="false"/>
        </w:rPr>
        <w:t> </w:t>
      </w:r>
    </w:p>
    <w:p>
      <w:pPr>
        <w:pStyle w:val="TextBody"/>
        <w:bidi w:val="0"/>
        <w:spacing w:before="0" w:after="0"/>
        <w:ind w:left="120" w:right="115" w:firstLine="71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Purchase Agreement, the Pre-funded Warrants, the Warrants, the Warrant Amendment and the Placement Agency Agreement are not complete and are qualified in their entirety by reference to the full text of such documents, copies of which are filed as Exhibits 10.1, 10.2, 10.3, 10.4 and 10.15, respectively, to this Report of Foreign Private Issuer on Form 6-K and are incorporated by reference herein.</w:t>
      </w:r>
    </w:p>
    <w:p>
      <w:pPr>
        <w:pStyle w:val="TextBody"/>
        <w:bidi w:val="0"/>
        <w:spacing w:before="0" w:after="0"/>
        <w:ind w:left="120" w:right="115" w:firstLine="714"/>
        <w:jc w:val="both"/>
        <w:rPr>
          <w:caps w:val="false"/>
          <w:smallCaps w:val="false"/>
        </w:rPr>
      </w:pPr>
      <w:r>
        <w:rPr>
          <w:caps w:val="false"/>
          <w:smallCaps w:val="false"/>
        </w:rPr>
        <w:t> </w:t>
      </w:r>
    </w:p>
    <w:p>
      <w:pPr>
        <w:pStyle w:val="TextBody"/>
        <w:bidi w:val="0"/>
        <w:spacing w:before="0" w:after="0"/>
        <w:ind w:left="119" w:right="117" w:firstLine="71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opinions of FISCHER (FBC &amp; Co.) and Greenberg Traurig, P.A. relating to the securities issued in the Offering are attached as Exhibits 5.1 and 5.2, respectively.</w:t>
      </w:r>
    </w:p>
    <w:p>
      <w:pPr>
        <w:pStyle w:val="TextBody"/>
        <w:bidi w:val="0"/>
        <w:spacing w:before="0" w:after="0"/>
        <w:ind w:left="119" w:right="117" w:firstLine="714"/>
        <w:jc w:val="both"/>
        <w:rPr>
          <w:caps w:val="false"/>
          <w:smallCaps w:val="false"/>
        </w:rPr>
      </w:pPr>
      <w:r>
        <w:rPr>
          <w:caps w:val="false"/>
          <w:smallCaps w:val="false"/>
        </w:rPr>
        <w:t> </w:t>
      </w:r>
    </w:p>
    <w:p>
      <w:pPr>
        <w:pStyle w:val="TextBody"/>
        <w:bidi w:val="0"/>
        <w:spacing w:before="0" w:after="0"/>
        <w:ind w:left="119" w:right="116" w:firstLine="71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announced the pricing of the Offering in a press release issued on August 28, 2026, which was included as an exhibit to a Report of Foreign Private Issuer on Form 6-K filed with the SEC on the same day.</w:t>
      </w:r>
    </w:p>
    <w:p>
      <w:pPr>
        <w:pStyle w:val="TextBody"/>
        <w:bidi w:val="0"/>
        <w:spacing w:before="0" w:after="0"/>
        <w:ind w:left="119" w:right="116" w:firstLine="714"/>
        <w:jc w:val="both"/>
        <w:rPr>
          <w:caps w:val="false"/>
          <w:smallCaps w:val="false"/>
        </w:rPr>
      </w:pPr>
      <w:r>
        <w:rPr>
          <w:caps w:val="false"/>
          <w:smallCaps w:val="false"/>
        </w:rPr>
        <w:t> </w:t>
      </w:r>
    </w:p>
    <w:p>
      <w:pPr>
        <w:pStyle w:val="TextBody"/>
        <w:bidi w:val="0"/>
        <w:spacing w:before="0" w:after="0"/>
        <w:ind w:left="836"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Warning Concerning Forward Looking </w:t>
      </w:r>
      <w:r>
        <w:rPr>
          <w:rFonts w:ascii="Times New Roman;Times;Serif" w:hAnsi="Times New Roman;Times;Serif"/>
          <w:b/>
          <w:i w:val="false"/>
          <w:caps w:val="false"/>
          <w:smallCaps w:val="false"/>
          <w:spacing w:val="-2"/>
          <w:sz w:val="20"/>
        </w:rPr>
        <w:t>Statements</w:t>
      </w:r>
    </w:p>
    <w:p>
      <w:pPr>
        <w:pStyle w:val="TextBody"/>
        <w:bidi w:val="0"/>
        <w:spacing w:before="0" w:after="0"/>
        <w:ind w:left="836" w:right="0" w:hanging="0"/>
        <w:jc w:val="left"/>
        <w:rPr>
          <w:caps w:val="false"/>
          <w:smallCaps w:val="false"/>
        </w:rPr>
      </w:pPr>
      <w:r>
        <w:rPr>
          <w:caps w:val="false"/>
          <w:smallCaps w:val="false"/>
        </w:rPr>
        <w:t> </w:t>
      </w:r>
    </w:p>
    <w:p>
      <w:pPr>
        <w:pStyle w:val="TextBody"/>
        <w:bidi w:val="0"/>
        <w:spacing w:before="0" w:after="0"/>
        <w:ind w:left="119" w:right="116" w:firstLine="71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6-K contains statements which constitute forward looking statements within the meaning of the Private Securities Litigation Reform Act of 1995 and other securities laws. These forward looking statements are based upon the Company’s present intent, beliefs or expectations, but forward looking statements are not guaranteed to occur and may not occur for various reasons, including some reasons which are beyond the Company’s control. For example, this Form 6-K states that the Offering is expected to close on or about August 31, 2026. In fact, the closing of the Offering is subject to various conditions and contingencies as are customary in securities purchase agreements in the United States. If these conditions are not satisfied or the specified contingencies do not occur, this Offering may not close. For this reason, among others, you should not place undue reliance upon the Company’s forward looking statements. Except as required by law, the Company undertakes no obligation to revise or update any forward looking statements in order to reflect any event or circumstance that may arise after the date of this Form 6-K.</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07"/>
        <w:gridCol w:w="9298"/>
      </w:tblGrid>
      <w:tr>
        <w:trPr/>
        <w:tc>
          <w:tcPr>
            <w:tcW w:w="907" w:type="dxa"/>
            <w:tcBorders/>
            <w:vAlign w:val="center"/>
          </w:tcPr>
          <w:p>
            <w:pPr>
              <w:pStyle w:val="TableContents"/>
              <w:bidi w:val="0"/>
              <w:spacing w:before="0" w:after="283"/>
              <w:jc w:val="left"/>
              <w:rPr>
                <w:b/>
                <w:sz w:val="20"/>
              </w:rPr>
            </w:pPr>
            <w:r>
              <w:rPr>
                <w:b/>
                <w:sz w:val="20"/>
              </w:rPr>
              <w:t>Exhibit No.</w:t>
            </w:r>
          </w:p>
        </w:tc>
        <w:tc>
          <w:tcPr>
            <w:tcW w:w="9298" w:type="dxa"/>
            <w:tcBorders/>
            <w:vAlign w:val="center"/>
          </w:tcPr>
          <w:p>
            <w:pPr>
              <w:pStyle w:val="TableContents"/>
              <w:bidi w:val="0"/>
              <w:spacing w:before="0" w:after="283"/>
              <w:jc w:val="left"/>
              <w:rPr/>
            </w:pPr>
            <w:r>
              <w:rPr/>
              <w:t> </w:t>
            </w:r>
          </w:p>
        </w:tc>
      </w:tr>
      <w:tr>
        <w:trPr/>
        <w:tc>
          <w:tcPr>
            <w:tcW w:w="907" w:type="dxa"/>
            <w:tcBorders/>
            <w:vAlign w:val="center"/>
          </w:tcPr>
          <w:p>
            <w:pPr>
              <w:pStyle w:val="TableContents"/>
              <w:bidi w:val="0"/>
              <w:spacing w:before="0" w:after="283"/>
              <w:jc w:val="left"/>
              <w:rPr/>
            </w:pPr>
            <w:r>
              <w:rPr/>
              <w:t> </w:t>
            </w:r>
          </w:p>
        </w:tc>
        <w:tc>
          <w:tcPr>
            <w:tcW w:w="9298" w:type="dxa"/>
            <w:tcBorders/>
            <w:vAlign w:val="center"/>
          </w:tcPr>
          <w:p>
            <w:pPr>
              <w:pStyle w:val="TableContents"/>
              <w:bidi w:val="0"/>
              <w:spacing w:before="0" w:after="283"/>
              <w:jc w:val="left"/>
              <w:rPr/>
            </w:pPr>
            <w:r>
              <w:rPr/>
              <w:t> </w:t>
            </w:r>
          </w:p>
        </w:tc>
      </w:tr>
      <w:tr>
        <w:trPr/>
        <w:tc>
          <w:tcPr>
            <w:tcW w:w="907" w:type="dxa"/>
            <w:tcBorders/>
            <w:vAlign w:val="center"/>
          </w:tcPr>
          <w:p>
            <w:pPr>
              <w:pStyle w:val="TableContents"/>
              <w:bidi w:val="0"/>
              <w:spacing w:before="0" w:after="283"/>
              <w:jc w:val="left"/>
              <w:rPr/>
            </w:pPr>
            <w:hyperlink w:anchor="exhibit_5-1.htm">
              <w:r>
                <w:rPr>
                  <w:rStyle w:val="InternetLink"/>
                  <w:sz w:val="20"/>
                  <w:u w:val="single"/>
                </w:rPr>
                <w:t>5.1</w:t>
              </w:r>
            </w:hyperlink>
          </w:p>
        </w:tc>
        <w:tc>
          <w:tcPr>
            <w:tcW w:w="9298" w:type="dxa"/>
            <w:tcBorders/>
            <w:vAlign w:val="center"/>
          </w:tcPr>
          <w:p>
            <w:pPr>
              <w:pStyle w:val="TableContents"/>
              <w:bidi w:val="0"/>
              <w:spacing w:before="0" w:after="283"/>
              <w:jc w:val="left"/>
              <w:rPr/>
            </w:pPr>
            <w:hyperlink w:anchor="exhibit_5-1.htm">
              <w:r>
                <w:rPr>
                  <w:rStyle w:val="InternetLink"/>
                  <w:sz w:val="20"/>
                  <w:u w:val="single"/>
                </w:rPr>
                <w:t>Opinion of FISCHER (FBC &amp; Co.), Israeli legal counsel to the Company.</w:t>
              </w:r>
            </w:hyperlink>
          </w:p>
        </w:tc>
      </w:tr>
      <w:tr>
        <w:trPr/>
        <w:tc>
          <w:tcPr>
            <w:tcW w:w="907" w:type="dxa"/>
            <w:tcBorders/>
            <w:vAlign w:val="center"/>
          </w:tcPr>
          <w:p>
            <w:pPr>
              <w:pStyle w:val="TableContents"/>
              <w:bidi w:val="0"/>
              <w:spacing w:before="0" w:after="283"/>
              <w:jc w:val="left"/>
              <w:rPr/>
            </w:pPr>
            <w:hyperlink w:anchor="exhibit_5-2.htm">
              <w:r>
                <w:rPr>
                  <w:rStyle w:val="InternetLink"/>
                  <w:sz w:val="20"/>
                  <w:u w:val="single"/>
                </w:rPr>
                <w:t>5.2</w:t>
              </w:r>
            </w:hyperlink>
          </w:p>
        </w:tc>
        <w:tc>
          <w:tcPr>
            <w:tcW w:w="9298" w:type="dxa"/>
            <w:tcBorders/>
            <w:vAlign w:val="center"/>
          </w:tcPr>
          <w:p>
            <w:pPr>
              <w:pStyle w:val="TableContents"/>
              <w:bidi w:val="0"/>
              <w:spacing w:before="0" w:after="283"/>
              <w:jc w:val="left"/>
              <w:rPr/>
            </w:pPr>
            <w:hyperlink w:anchor="exhibit_5-2.htm">
              <w:r>
                <w:rPr>
                  <w:rStyle w:val="InternetLink"/>
                  <w:sz w:val="20"/>
                  <w:u w:val="single"/>
                </w:rPr>
                <w:t>Opinion of Greenberg Traurig, P.A., U.S. legal counsel to the Company.</w:t>
              </w:r>
            </w:hyperlink>
          </w:p>
        </w:tc>
      </w:tr>
      <w:tr>
        <w:trPr/>
        <w:tc>
          <w:tcPr>
            <w:tcW w:w="907" w:type="dxa"/>
            <w:tcBorders/>
            <w:vAlign w:val="center"/>
          </w:tcPr>
          <w:p>
            <w:pPr>
              <w:pStyle w:val="TableContents"/>
              <w:bidi w:val="0"/>
              <w:spacing w:before="0" w:after="283"/>
              <w:jc w:val="left"/>
              <w:rPr/>
            </w:pPr>
            <w:hyperlink w:anchor="exhibit_10-1.htm">
              <w:r>
                <w:rPr>
                  <w:rStyle w:val="InternetLink"/>
                  <w:sz w:val="20"/>
                  <w:u w:val="single"/>
                </w:rPr>
                <w:t>10.1</w:t>
              </w:r>
            </w:hyperlink>
          </w:p>
        </w:tc>
        <w:tc>
          <w:tcPr>
            <w:tcW w:w="9298" w:type="dxa"/>
            <w:tcBorders/>
            <w:vAlign w:val="center"/>
          </w:tcPr>
          <w:p>
            <w:pPr>
              <w:pStyle w:val="TableContents"/>
              <w:bidi w:val="0"/>
              <w:spacing w:before="0" w:after="283"/>
              <w:jc w:val="left"/>
              <w:rPr/>
            </w:pPr>
            <w:hyperlink w:anchor="exhibit_10-1.htm">
              <w:r>
                <w:rPr>
                  <w:rStyle w:val="InternetLink"/>
                  <w:sz w:val="20"/>
                </w:rPr>
                <w:t>Form of Securities Purchase Agreement, dated as of August 27, 2026, between the Company and the purchaser identified on the signature pages thereto.</w:t>
              </w:r>
            </w:hyperlink>
          </w:p>
        </w:tc>
      </w:tr>
      <w:tr>
        <w:trPr/>
        <w:tc>
          <w:tcPr>
            <w:tcW w:w="907" w:type="dxa"/>
            <w:tcBorders/>
            <w:vAlign w:val="center"/>
          </w:tcPr>
          <w:p>
            <w:pPr>
              <w:pStyle w:val="TableContents"/>
              <w:bidi w:val="0"/>
              <w:spacing w:before="0" w:after="283"/>
              <w:jc w:val="left"/>
              <w:rPr/>
            </w:pPr>
            <w:hyperlink w:anchor="exhibit_10-2.htm">
              <w:r>
                <w:rPr>
                  <w:rStyle w:val="InternetLink"/>
                  <w:sz w:val="20"/>
                  <w:u w:val="single"/>
                </w:rPr>
                <w:t>10.2</w:t>
              </w:r>
            </w:hyperlink>
          </w:p>
        </w:tc>
        <w:tc>
          <w:tcPr>
            <w:tcW w:w="9298" w:type="dxa"/>
            <w:tcBorders/>
            <w:vAlign w:val="center"/>
          </w:tcPr>
          <w:p>
            <w:pPr>
              <w:pStyle w:val="TableContents"/>
              <w:bidi w:val="0"/>
              <w:spacing w:before="0" w:after="283"/>
              <w:jc w:val="left"/>
              <w:rPr/>
            </w:pPr>
            <w:hyperlink w:anchor="exhibit_10-2.htm">
              <w:r>
                <w:rPr>
                  <w:rStyle w:val="InternetLink"/>
                  <w:sz w:val="20"/>
                  <w:u w:val="single"/>
                </w:rPr>
                <w:t>Form of Pre-Funded Warrant.</w:t>
              </w:r>
            </w:hyperlink>
          </w:p>
        </w:tc>
      </w:tr>
      <w:tr>
        <w:trPr/>
        <w:tc>
          <w:tcPr>
            <w:tcW w:w="907" w:type="dxa"/>
            <w:tcBorders/>
            <w:vAlign w:val="center"/>
          </w:tcPr>
          <w:p>
            <w:pPr>
              <w:pStyle w:val="TableContents"/>
              <w:bidi w:val="0"/>
              <w:spacing w:before="0" w:after="283"/>
              <w:jc w:val="left"/>
              <w:rPr/>
            </w:pPr>
            <w:hyperlink w:anchor="exhibit_10-3.htm">
              <w:r>
                <w:rPr>
                  <w:rStyle w:val="InternetLink"/>
                  <w:sz w:val="20"/>
                  <w:u w:val="single"/>
                </w:rPr>
                <w:t>10.3</w:t>
              </w:r>
            </w:hyperlink>
          </w:p>
        </w:tc>
        <w:tc>
          <w:tcPr>
            <w:tcW w:w="9298" w:type="dxa"/>
            <w:tcBorders/>
            <w:vAlign w:val="center"/>
          </w:tcPr>
          <w:p>
            <w:pPr>
              <w:pStyle w:val="TableContents"/>
              <w:bidi w:val="0"/>
              <w:spacing w:before="0" w:after="283"/>
              <w:jc w:val="left"/>
              <w:rPr/>
            </w:pPr>
            <w:hyperlink w:anchor="exhibit_10-3.htm">
              <w:r>
                <w:rPr>
                  <w:rStyle w:val="InternetLink"/>
                  <w:sz w:val="20"/>
                  <w:u w:val="single"/>
                </w:rPr>
                <w:t>Form of Ordinary Warrant.</w:t>
              </w:r>
            </w:hyperlink>
          </w:p>
        </w:tc>
      </w:tr>
      <w:tr>
        <w:trPr/>
        <w:tc>
          <w:tcPr>
            <w:tcW w:w="907" w:type="dxa"/>
            <w:tcBorders/>
            <w:vAlign w:val="center"/>
          </w:tcPr>
          <w:p>
            <w:pPr>
              <w:pStyle w:val="TableContents"/>
              <w:bidi w:val="0"/>
              <w:spacing w:before="0" w:after="283"/>
              <w:jc w:val="left"/>
              <w:rPr/>
            </w:pPr>
            <w:hyperlink w:anchor="exhibit_10-4.htm">
              <w:r>
                <w:rPr>
                  <w:rStyle w:val="InternetLink"/>
                  <w:sz w:val="20"/>
                  <w:u w:val="single"/>
                </w:rPr>
                <w:t>10.4</w:t>
              </w:r>
            </w:hyperlink>
          </w:p>
        </w:tc>
        <w:tc>
          <w:tcPr>
            <w:tcW w:w="9298" w:type="dxa"/>
            <w:tcBorders/>
            <w:vAlign w:val="center"/>
          </w:tcPr>
          <w:p>
            <w:pPr>
              <w:pStyle w:val="TableContents"/>
              <w:bidi w:val="0"/>
              <w:spacing w:before="0" w:after="283"/>
              <w:jc w:val="left"/>
              <w:rPr/>
            </w:pPr>
            <w:hyperlink w:anchor="exhibit_10-4.htm">
              <w:r>
                <w:rPr>
                  <w:rStyle w:val="InternetLink"/>
                  <w:sz w:val="20"/>
                  <w:u w:val="single"/>
                </w:rPr>
                <w:t>Form of Warrant Amendment</w:t>
              </w:r>
            </w:hyperlink>
          </w:p>
        </w:tc>
      </w:tr>
      <w:tr>
        <w:trPr/>
        <w:tc>
          <w:tcPr>
            <w:tcW w:w="907" w:type="dxa"/>
            <w:tcBorders/>
            <w:vAlign w:val="center"/>
          </w:tcPr>
          <w:p>
            <w:pPr>
              <w:pStyle w:val="TableContents"/>
              <w:bidi w:val="0"/>
              <w:spacing w:before="0" w:after="283"/>
              <w:jc w:val="left"/>
              <w:rPr/>
            </w:pPr>
            <w:hyperlink w:anchor="exhibit_10-5.htm">
              <w:r>
                <w:rPr>
                  <w:rStyle w:val="InternetLink"/>
                  <w:sz w:val="20"/>
                  <w:u w:val="single"/>
                </w:rPr>
                <w:t>10.5</w:t>
              </w:r>
            </w:hyperlink>
          </w:p>
        </w:tc>
        <w:tc>
          <w:tcPr>
            <w:tcW w:w="9298" w:type="dxa"/>
            <w:tcBorders/>
            <w:vAlign w:val="center"/>
          </w:tcPr>
          <w:p>
            <w:pPr>
              <w:pStyle w:val="TableContents"/>
              <w:bidi w:val="0"/>
              <w:spacing w:before="0" w:after="283"/>
              <w:jc w:val="left"/>
              <w:rPr/>
            </w:pPr>
            <w:hyperlink w:anchor="exhibit_10-5.htm">
              <w:r>
                <w:rPr>
                  <w:rStyle w:val="InternetLink"/>
                  <w:sz w:val="20"/>
                  <w:u w:val="single"/>
                </w:rPr>
                <w:t>Form of Placement Agency Agreement</w:t>
              </w:r>
            </w:hyperlink>
          </w:p>
        </w:tc>
      </w:tr>
      <w:tr>
        <w:trPr/>
        <w:tc>
          <w:tcPr>
            <w:tcW w:w="907" w:type="dxa"/>
            <w:tcBorders/>
            <w:vAlign w:val="center"/>
          </w:tcPr>
          <w:p>
            <w:pPr>
              <w:pStyle w:val="TableContents"/>
              <w:bidi w:val="0"/>
              <w:spacing w:before="0" w:after="283"/>
              <w:jc w:val="left"/>
              <w:rPr/>
            </w:pPr>
            <w:hyperlink w:anchor="exhibit_5-1.htm">
              <w:r>
                <w:rPr>
                  <w:rStyle w:val="InternetLink"/>
                  <w:sz w:val="20"/>
                  <w:u w:val="single"/>
                </w:rPr>
                <w:t>23.1</w:t>
              </w:r>
            </w:hyperlink>
          </w:p>
        </w:tc>
        <w:tc>
          <w:tcPr>
            <w:tcW w:w="9298" w:type="dxa"/>
            <w:tcBorders/>
            <w:vAlign w:val="center"/>
          </w:tcPr>
          <w:p>
            <w:pPr>
              <w:pStyle w:val="TableContents"/>
              <w:bidi w:val="0"/>
              <w:spacing w:before="0" w:after="283"/>
              <w:jc w:val="left"/>
              <w:rPr/>
            </w:pPr>
            <w:hyperlink w:anchor="exhibit_5-1.htm">
              <w:r>
                <w:rPr>
                  <w:rStyle w:val="InternetLink"/>
                  <w:sz w:val="20"/>
                  <w:u w:val="single"/>
                </w:rPr>
                <w:t>Consent of FISCHER (FBC &amp; Co.), Israeli legal counsel to the Company (included in Exhibit 5.1).</w:t>
              </w:r>
            </w:hyperlink>
          </w:p>
        </w:tc>
      </w:tr>
      <w:tr>
        <w:trPr/>
        <w:tc>
          <w:tcPr>
            <w:tcW w:w="907" w:type="dxa"/>
            <w:tcBorders/>
            <w:vAlign w:val="center"/>
          </w:tcPr>
          <w:p>
            <w:pPr>
              <w:pStyle w:val="TableContents"/>
              <w:bidi w:val="0"/>
              <w:spacing w:before="0" w:after="283"/>
              <w:jc w:val="left"/>
              <w:rPr/>
            </w:pPr>
            <w:hyperlink w:anchor="exhibit_5-2.htm">
              <w:r>
                <w:rPr>
                  <w:rStyle w:val="InternetLink"/>
                  <w:sz w:val="20"/>
                  <w:u w:val="single"/>
                </w:rPr>
                <w:t>23.2</w:t>
              </w:r>
            </w:hyperlink>
          </w:p>
        </w:tc>
        <w:tc>
          <w:tcPr>
            <w:tcW w:w="9298" w:type="dxa"/>
            <w:tcBorders/>
            <w:vAlign w:val="center"/>
          </w:tcPr>
          <w:p>
            <w:pPr>
              <w:pStyle w:val="TableContents"/>
              <w:bidi w:val="0"/>
              <w:spacing w:before="0" w:after="283"/>
              <w:jc w:val="left"/>
              <w:rPr/>
            </w:pPr>
            <w:hyperlink w:anchor="exhibit_5-2.htm">
              <w:r>
                <w:rPr>
                  <w:rStyle w:val="InternetLink"/>
                  <w:sz w:val="20"/>
                  <w:u w:val="single"/>
                </w:rPr>
                <w:t>Consent of Greenberg Traurig, P.A., U.S. legal counsel to the Company (included in Exhibit 5.2).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olumn">
                  <wp:align>right</wp:align>
                </wp:positionH>
                <wp:positionV relativeFrom="line">
                  <wp:posOffset>635</wp:posOffset>
                </wp:positionV>
                <wp:extent cx="1530350" cy="1811655"/>
                <wp:effectExtent l="0" t="0" r="0" b="0"/>
                <wp:wrapSquare wrapText="left"/>
                <wp:docPr id="1" name="Frame1"/>
                <a:graphic xmlns:a="http://schemas.openxmlformats.org/drawingml/2006/main">
                  <a:graphicData uri="http://schemas.microsoft.com/office/word/2010/wordprocessingShape">
                    <wps:wsp>
                      <wps:cNvSpPr txBox="1"/>
                      <wps:spPr>
                        <a:xfrm>
                          <a:off x="0" y="0"/>
                          <a:ext cx="1530350" cy="1811655"/>
                        </a:xfrm>
                        <a:prstGeom prst="rect"/>
                        <a:solidFill>
                          <a:srgbClr val="FFFFFF"/>
                        </a:solidFill>
                      </wps:spPr>
                      <wps:txbx>
                        <w:txbxContent>
                          <w:tbl>
                            <w:tblPr>
                              <w:tblW w:w="2410" w:type="dxa"/>
                              <w:jc w:val="left"/>
                              <w:tblInd w:w="0" w:type="dxa"/>
                              <w:tblLayout w:type="fixed"/>
                              <w:tblCellMar>
                                <w:top w:w="0" w:type="dxa"/>
                                <w:left w:w="0" w:type="dxa"/>
                                <w:bottom w:w="0" w:type="dxa"/>
                                <w:right w:w="0" w:type="dxa"/>
                              </w:tblCellMar>
                            </w:tblPr>
                            <w:tblGrid>
                              <w:gridCol w:w="75"/>
                              <w:gridCol w:w="320"/>
                              <w:gridCol w:w="1940"/>
                              <w:gridCol w:w="75"/>
                            </w:tblGrid>
                            <w:tr>
                              <w:trPr/>
                              <w:tc>
                                <w:tcPr>
                                  <w:tcW w:w="7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b/>
                                      <w:sz w:val="20"/>
                                    </w:rPr>
                                  </w:pPr>
                                  <w:r>
                                    <w:rPr>
                                      <w:b/>
                                      <w:sz w:val="20"/>
                                    </w:rPr>
                                    <w:t>BioLineRx Ltd.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9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Philip A. Serlin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sz w:val="20"/>
                                    </w:rPr>
                                  </w:pPr>
                                  <w:r>
                                    <w:rPr>
                                      <w:sz w:val="20"/>
                                    </w:rPr>
                                    <w:t>Philip A. Serlin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txbxContent>
                      </wps:txbx>
                      <wps:bodyPr anchor="t" lIns="0" tIns="0" rIns="0" bIns="0">
                        <a:noAutofit/>
                      </wps:bodyPr>
                    </wps:wsp>
                  </a:graphicData>
                </a:graphic>
              </wp:anchor>
            </w:drawing>
          </mc:Choice>
          <mc:Fallback>
            <w:pict>
              <v:rect style="position:absolute;rotation:-0;width:120.5pt;height:142.65pt;mso-wrap-distance-left:0pt;mso-wrap-distance-right:0pt;mso-wrap-distance-top:0pt;mso-wrap-distance-bottom:0pt;margin-top:0pt;mso-position-vertical:top;mso-position-vertical-relative:text;margin-left:389.75pt;mso-position-horizontal:right;mso-position-horizontal-relative:text">
                <v:textbox>
                  <w:txbxContent>
                    <w:tbl>
                      <w:tblPr>
                        <w:tblW w:w="2410" w:type="dxa"/>
                        <w:jc w:val="left"/>
                        <w:tblInd w:w="0" w:type="dxa"/>
                        <w:tblLayout w:type="fixed"/>
                        <w:tblCellMar>
                          <w:top w:w="0" w:type="dxa"/>
                          <w:left w:w="0" w:type="dxa"/>
                          <w:bottom w:w="0" w:type="dxa"/>
                          <w:right w:w="0" w:type="dxa"/>
                        </w:tblCellMar>
                      </w:tblPr>
                      <w:tblGrid>
                        <w:gridCol w:w="75"/>
                        <w:gridCol w:w="320"/>
                        <w:gridCol w:w="1940"/>
                        <w:gridCol w:w="75"/>
                      </w:tblGrid>
                      <w:tr>
                        <w:trPr/>
                        <w:tc>
                          <w:tcPr>
                            <w:tcW w:w="7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b/>
                                <w:sz w:val="20"/>
                              </w:rPr>
                            </w:pPr>
                            <w:r>
                              <w:rPr>
                                <w:b/>
                                <w:sz w:val="20"/>
                              </w:rPr>
                              <w:t>BioLineRx Ltd.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9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Philip A. Serlin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sz w:val="20"/>
                              </w:rPr>
                            </w:pPr>
                            <w:r>
                              <w:rPr>
                                <w:sz w:val="20"/>
                              </w:rPr>
                              <w:t>Philip A. Serlin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txbxContent>
                </v:textbox>
                <w10:wrap type="square" side="lef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240" w:after="60"/>
        <w:ind w:left="0" w:right="0" w:hanging="0"/>
        <w:jc w:val="left"/>
        <w:rPr>
          <w:bdr w:val="single" w:sz="16" w:space="1" w:color="000000"/>
        </w:rPr>
      </w:pPr>
      <w:bookmarkStart w:id="2" w:name="exhibit_5-1.htm"/>
      <w:bookmarkStart w:id="3" w:name="ksexhibit_51"/>
      <w:bookmarkEnd w:id="2"/>
      <w:bookmarkEnd w:id="3"/>
      <w:r>
        <w:rPr>
          <w:bdr w:val="single" w:sz="16" w:space="1" w:color="000000"/>
        </w:rPr>
        <w:t> </w:t>
      </w:r>
      <w:r>
        <w:br w:type="page"/>
      </w:r>
    </w:p>
    <w:p>
      <w:pPr>
        <w:pStyle w:val="TextBody"/>
        <w:bidi w:val="0"/>
        <w:jc w:val="right"/>
        <w:rPr>
          <w:b/>
          <w:u w:val="single"/>
        </w:rPr>
      </w:pPr>
      <w:r>
        <w:rPr>
          <w:b/>
          <w:u w:val="single"/>
        </w:rPr>
        <w:t>Exhibit 5.1</w:t>
      </w:r>
    </w:p>
    <w:p>
      <w:pPr>
        <w:pStyle w:val="TextBody"/>
        <w:bidi w:val="0"/>
        <w:spacing w:before="0" w:after="283"/>
        <w:jc w:val="left"/>
        <w:rPr/>
      </w:pPr>
      <w:r>
        <w:rPr/>
        <w:t> </w:t>
      </w:r>
    </w:p>
    <w:p>
      <w:pPr>
        <w:pStyle w:val="TextBody"/>
        <w:bidi w:val="0"/>
        <w:jc w:val="center"/>
        <w:rPr/>
      </w:pPr>
      <w:r>
        <w:rPr/>
        <w:t> </w:t>
      </w:r>
      <w:r>
        <w:rPr/>
        <w:drawing>
          <wp:inline distT="0" distB="0" distL="0" distR="0">
            <wp:extent cx="6012180" cy="6096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6012180" cy="609600"/>
                    </a:xfrm>
                    <a:prstGeom prst="rect">
                      <a:avLst/>
                    </a:prstGeom>
                  </pic:spPr>
                </pic:pic>
              </a:graphicData>
            </a:graphic>
          </wp:inline>
        </w:drawing>
      </w:r>
    </w:p>
    <w:tbl>
      <w:tblPr>
        <w:tblW w:w="1898" w:type="dxa"/>
        <w:jc w:val="left"/>
        <w:tblInd w:w="0" w:type="dxa"/>
        <w:tblLayout w:type="fixed"/>
        <w:tblCellMar>
          <w:top w:w="0" w:type="dxa"/>
          <w:left w:w="0" w:type="dxa"/>
          <w:bottom w:w="0" w:type="dxa"/>
          <w:right w:w="0" w:type="dxa"/>
        </w:tblCellMar>
      </w:tblPr>
      <w:tblGrid>
        <w:gridCol w:w="75"/>
        <w:gridCol w:w="1823"/>
      </w:tblGrid>
      <w:tr>
        <w:trPr/>
        <w:tc>
          <w:tcPr>
            <w:tcW w:w="75" w:type="dxa"/>
            <w:tcBorders/>
            <w:vAlign w:val="center"/>
          </w:tcPr>
          <w:p>
            <w:pPr>
              <w:pStyle w:val="TableContents"/>
              <w:bidi w:val="0"/>
              <w:spacing w:before="0" w:after="283"/>
              <w:jc w:val="left"/>
              <w:rPr/>
            </w:pPr>
            <w:r>
              <w:rPr/>
              <w:t> </w:t>
            </w:r>
          </w:p>
        </w:tc>
        <w:tc>
          <w:tcPr>
            <w:tcW w:w="1823" w:type="dxa"/>
            <w:tcBorders>
              <w:top w:val="single" w:sz="8" w:space="0" w:color="009FBA"/>
            </w:tcBorders>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Tel. 972-3-69441111</w:t>
            </w:r>
          </w:p>
        </w:tc>
      </w:tr>
      <w:tr>
        <w:trPr/>
        <w:tc>
          <w:tcPr>
            <w:tcW w:w="75" w:type="dxa"/>
            <w:tcBorders/>
            <w:vAlign w:val="center"/>
          </w:tcPr>
          <w:p>
            <w:pPr>
              <w:pStyle w:val="TableContents"/>
              <w:bidi w:val="0"/>
              <w:spacing w:before="0" w:after="283"/>
              <w:jc w:val="left"/>
              <w:rPr/>
            </w:pPr>
            <w:r>
              <w:rPr/>
              <w:t> </w:t>
            </w:r>
          </w:p>
        </w:tc>
        <w:tc>
          <w:tcPr>
            <w:tcW w:w="1823"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Fax. 972-3-6091116</w:t>
            </w:r>
          </w:p>
        </w:tc>
      </w:tr>
      <w:tr>
        <w:trPr/>
        <w:tc>
          <w:tcPr>
            <w:tcW w:w="75" w:type="dxa"/>
            <w:tcBorders/>
            <w:vAlign w:val="center"/>
          </w:tcPr>
          <w:p>
            <w:pPr>
              <w:pStyle w:val="TableContents"/>
              <w:bidi w:val="0"/>
              <w:spacing w:before="0" w:after="283"/>
              <w:jc w:val="left"/>
              <w:rPr/>
            </w:pPr>
            <w:r>
              <w:rPr/>
              <w:t> </w:t>
            </w:r>
          </w:p>
        </w:tc>
        <w:tc>
          <w:tcPr>
            <w:tcW w:w="1823" w:type="dxa"/>
            <w:tcBorders>
              <w:bottom w:val="single" w:sz="8" w:space="0" w:color="009FBA"/>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fbc@fbclawyers.com</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August 31, 2026</w:t>
      </w:r>
    </w:p>
    <w:p>
      <w:pPr>
        <w:pStyle w:val="TextBody"/>
        <w:bidi w:val="0"/>
        <w:spacing w:before="0" w:after="0"/>
        <w:ind w:left="0" w:right="0" w:hanging="0"/>
        <w:jc w:val="center"/>
        <w:rPr>
          <w:caps w:val="false"/>
          <w:smallCaps w:val="false"/>
          <w:spacing w:val="4"/>
        </w:rPr>
      </w:pPr>
      <w:r>
        <w:rPr>
          <w:caps w:val="false"/>
          <w:smallCaps w:val="false"/>
          <w:spacing w:val="4"/>
        </w:rPr>
        <w:t> </w:t>
      </w:r>
    </w:p>
    <w:p>
      <w:pPr>
        <w:pStyle w:val="TextBody"/>
        <w:bidi w:val="0"/>
        <w:spacing w:before="0" w:after="0"/>
        <w:ind w:left="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To:</w:t>
      </w:r>
    </w:p>
    <w:p>
      <w:pPr>
        <w:pStyle w:val="TextBody"/>
        <w:bidi w:val="0"/>
        <w:spacing w:before="0" w:after="0"/>
        <w:ind w:left="0" w:right="0" w:hanging="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 xml:space="preserve">BiolineRx Ltd. </w:t>
      </w:r>
    </w:p>
    <w:p>
      <w:pPr>
        <w:pStyle w:val="TextBody"/>
        <w:bidi w:val="0"/>
        <w:spacing w:before="0" w:after="0"/>
        <w:ind w:left="0" w:right="0" w:hanging="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2 HaMa’ayan Street</w:t>
      </w:r>
    </w:p>
    <w:p>
      <w:pPr>
        <w:pStyle w:val="TextBody"/>
        <w:bidi w:val="0"/>
        <w:spacing w:before="0" w:after="0"/>
        <w:ind w:left="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Modi’in 7177871, Israel</w:t>
      </w:r>
    </w:p>
    <w:p>
      <w:pPr>
        <w:pStyle w:val="TextBody"/>
        <w:bidi w:val="0"/>
        <w:spacing w:before="0" w:after="0"/>
        <w:ind w:left="0" w:right="0" w:hanging="0"/>
        <w:jc w:val="left"/>
        <w:rPr>
          <w:caps w:val="false"/>
          <w:smallCaps w:val="false"/>
          <w:spacing w:val="4"/>
        </w:rPr>
      </w:pPr>
      <w:r>
        <w:rPr>
          <w:caps w:val="false"/>
          <w:smallCaps w:val="false"/>
          <w:spacing w:val="4"/>
        </w:rPr>
        <w:t> </w:t>
      </w:r>
    </w:p>
    <w:p>
      <w:pPr>
        <w:pStyle w:val="TextBody"/>
        <w:bidi w:val="0"/>
        <w:spacing w:before="0" w:after="0"/>
        <w:ind w:left="0" w:right="0" w:hanging="0"/>
        <w:jc w:val="center"/>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0"/>
          <w:sz w:val="20"/>
        </w:rPr>
        <w:t>Re:</w:t>
      </w:r>
      <w:r>
        <w:rPr>
          <w:rFonts w:ascii="Times New Roman;Times;Serif" w:hAnsi="Times New Roman;Times;Serif"/>
          <w:b w:val="false"/>
          <w:i w:val="false"/>
          <w:caps w:val="false"/>
          <w:smallCaps w:val="false"/>
          <w:spacing w:val="4"/>
          <w:sz w:val="20"/>
        </w:rPr>
        <w:t xml:space="preserve"> </w:t>
      </w:r>
      <w:r>
        <w:rPr>
          <w:rFonts w:ascii="Times New Roman;Times;Serif" w:hAnsi="Times New Roman;Times;Serif"/>
          <w:b w:val="false"/>
          <w:i w:val="false"/>
          <w:caps w:val="false"/>
          <w:smallCaps w:val="false"/>
          <w:spacing w:val="4"/>
          <w:sz w:val="20"/>
          <w:u w:val="single"/>
        </w:rPr>
        <w:t xml:space="preserve">BiolineRx </w:t>
      </w:r>
      <w:r>
        <w:rPr>
          <w:rFonts w:ascii="Times New Roman;Times;Serif" w:hAnsi="Times New Roman;Times;Serif"/>
          <w:b w:val="false"/>
          <w:i w:val="false"/>
          <w:caps w:val="false"/>
          <w:smallCaps w:val="false"/>
          <w:spacing w:val="0"/>
          <w:sz w:val="20"/>
          <w:u w:val="single"/>
        </w:rPr>
        <w:t>Ltd.</w:t>
      </w:r>
    </w:p>
    <w:p>
      <w:pPr>
        <w:pStyle w:val="TextBody"/>
        <w:bidi w:val="0"/>
        <w:spacing w:before="0" w:after="0"/>
        <w:ind w:left="0" w:right="0" w:hanging="0"/>
        <w:jc w:val="center"/>
        <w:rPr>
          <w:caps w:val="false"/>
          <w:smallCaps w:val="false"/>
          <w:spacing w:val="4"/>
        </w:rPr>
      </w:pPr>
      <w:r>
        <w:rPr>
          <w:caps w:val="false"/>
          <w:smallCaps w:val="false"/>
          <w:spacing w:val="4"/>
        </w:rPr>
        <w:t> </w:t>
      </w:r>
    </w:p>
    <w:p>
      <w:pPr>
        <w:pStyle w:val="TextBody"/>
        <w:bidi w:val="0"/>
        <w:spacing w:before="0" w:after="0"/>
        <w:ind w:left="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Ladies and Gentlemen:</w:t>
      </w:r>
    </w:p>
    <w:p>
      <w:pPr>
        <w:pStyle w:val="TextBody"/>
        <w:bidi w:val="0"/>
        <w:spacing w:before="0" w:after="0"/>
        <w:ind w:left="0" w:right="0" w:hanging="0"/>
        <w:jc w:val="left"/>
        <w:rPr>
          <w:caps w:val="false"/>
          <w:smallCaps w:val="false"/>
          <w:spacing w:val="4"/>
        </w:rPr>
      </w:pPr>
      <w:r>
        <w:rPr>
          <w:caps w:val="false"/>
          <w:smallCaps w:val="false"/>
          <w:spacing w:val="4"/>
        </w:rPr>
        <w:t> </w:t>
      </w:r>
    </w:p>
    <w:p>
      <w:pPr>
        <w:pStyle w:val="TextBody"/>
        <w:bidi w:val="0"/>
        <w:spacing w:before="0" w:after="0"/>
        <w:ind w:left="0" w:right="0" w:firstLine="72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We have acted as Israeli counsel to </w:t>
      </w:r>
      <w:r>
        <w:rPr>
          <w:rFonts w:ascii="Times New Roman;Times;Serif" w:hAnsi="Times New Roman;Times;Serif"/>
          <w:b w:val="false"/>
          <w:i w:val="false"/>
          <w:caps w:val="false"/>
          <w:smallCaps w:val="false"/>
          <w:spacing w:val="0"/>
          <w:sz w:val="20"/>
        </w:rPr>
        <w:t>BiolineRx</w:t>
      </w:r>
      <w:r>
        <w:rPr>
          <w:rFonts w:ascii="Times New Roman;Times;Serif" w:hAnsi="Times New Roman;Times;Serif"/>
          <w:b w:val="false"/>
          <w:i w:val="false"/>
          <w:caps w:val="false"/>
          <w:smallCaps w:val="false"/>
          <w:spacing w:val="4"/>
          <w:sz w:val="20"/>
        </w:rPr>
        <w:t xml:space="preserve"> Ltd., a company organized under the laws of the State of Israel (the “</w:t>
      </w:r>
      <w:r>
        <w:rPr>
          <w:rFonts w:ascii="Times New Roman;Times;Serif" w:hAnsi="Times New Roman;Times;Serif"/>
          <w:b w:val="false"/>
          <w:i w:val="false"/>
          <w:caps w:val="false"/>
          <w:smallCaps w:val="false"/>
          <w:spacing w:val="4"/>
          <w:sz w:val="20"/>
          <w:u w:val="single"/>
        </w:rPr>
        <w:t>Company</w:t>
      </w:r>
      <w:r>
        <w:rPr>
          <w:rFonts w:ascii="Times New Roman;Times;Serif" w:hAnsi="Times New Roman;Times;Serif"/>
          <w:b w:val="false"/>
          <w:i w:val="false"/>
          <w:caps w:val="false"/>
          <w:smallCaps w:val="false"/>
          <w:spacing w:val="4"/>
          <w:sz w:val="20"/>
        </w:rPr>
        <w:t>”), in connection with the offer and sale by the Company, in a registered direct offering, of (i) 480,696 American Depositary Shares (“</w:t>
      </w:r>
      <w:r>
        <w:rPr>
          <w:rFonts w:ascii="Times New Roman;Times;Serif" w:hAnsi="Times New Roman;Times;Serif"/>
          <w:b w:val="false"/>
          <w:i w:val="false"/>
          <w:caps w:val="false"/>
          <w:smallCaps w:val="false"/>
          <w:spacing w:val="4"/>
          <w:sz w:val="20"/>
          <w:u w:val="single"/>
        </w:rPr>
        <w:t>ADSs</w:t>
      </w:r>
      <w:r>
        <w:rPr>
          <w:rFonts w:ascii="Times New Roman;Times;Serif" w:hAnsi="Times New Roman;Times;Serif"/>
          <w:b w:val="false"/>
          <w:i w:val="false"/>
          <w:caps w:val="false"/>
          <w:smallCaps w:val="false"/>
          <w:spacing w:val="4"/>
          <w:sz w:val="20"/>
        </w:rPr>
        <w:t>” and the “</w:t>
      </w:r>
      <w:r>
        <w:rPr>
          <w:rFonts w:ascii="Times New Roman;Times;Serif" w:hAnsi="Times New Roman;Times;Serif"/>
          <w:b w:val="false"/>
          <w:i w:val="false"/>
          <w:caps w:val="false"/>
          <w:smallCaps w:val="false"/>
          <w:spacing w:val="4"/>
          <w:sz w:val="20"/>
          <w:u w:val="single"/>
        </w:rPr>
        <w:t>Offered ADSs</w:t>
      </w:r>
      <w:r>
        <w:rPr>
          <w:rFonts w:ascii="Times New Roman;Times;Serif" w:hAnsi="Times New Roman;Times;Serif"/>
          <w:b w:val="false"/>
          <w:i w:val="false"/>
          <w:caps w:val="false"/>
          <w:smallCaps w:val="false"/>
          <w:spacing w:val="4"/>
          <w:sz w:val="20"/>
        </w:rPr>
        <w:t>”), each ADS representing six hundred (600) ordinary shares, par value NIS 0.10 per share, of the Company (the “</w:t>
      </w:r>
      <w:r>
        <w:rPr>
          <w:rFonts w:ascii="Times New Roman;Times;Serif" w:hAnsi="Times New Roman;Times;Serif"/>
          <w:b w:val="false"/>
          <w:i w:val="false"/>
          <w:caps w:val="false"/>
          <w:smallCaps w:val="false"/>
          <w:spacing w:val="4"/>
          <w:sz w:val="20"/>
          <w:u w:val="single"/>
        </w:rPr>
        <w:t>Ordinary Shares</w:t>
      </w:r>
      <w:r>
        <w:rPr>
          <w:rFonts w:ascii="Times New Roman;Times;Serif" w:hAnsi="Times New Roman;Times;Serif"/>
          <w:b w:val="false"/>
          <w:i w:val="false"/>
          <w:caps w:val="false"/>
          <w:smallCaps w:val="false"/>
          <w:spacing w:val="4"/>
          <w:sz w:val="20"/>
        </w:rPr>
        <w:t>”), and (ii) pre-funded warrants to purchase up to 868,225ADSs (the “</w:t>
      </w:r>
      <w:r>
        <w:rPr>
          <w:rFonts w:ascii="Times New Roman;Times;Serif" w:hAnsi="Times New Roman;Times;Serif"/>
          <w:b w:val="false"/>
          <w:i w:val="false"/>
          <w:caps w:val="false"/>
          <w:smallCaps w:val="false"/>
          <w:spacing w:val="4"/>
          <w:sz w:val="20"/>
          <w:u w:val="single"/>
        </w:rPr>
        <w:t>Pre-Funded Warrants</w:t>
      </w:r>
      <w:r>
        <w:rPr>
          <w:rFonts w:ascii="Times New Roman;Times;Serif" w:hAnsi="Times New Roman;Times;Serif"/>
          <w:b w:val="false"/>
          <w:i w:val="false"/>
          <w:caps w:val="false"/>
          <w:smallCaps w:val="false"/>
          <w:spacing w:val="4"/>
          <w:sz w:val="20"/>
        </w:rPr>
        <w:t>”), pursuant to the terms of the Securities Purchase Agreement dated as of August 27, 2026 (the “</w:t>
      </w:r>
      <w:r>
        <w:rPr>
          <w:rFonts w:ascii="Times New Roman;Times;Serif" w:hAnsi="Times New Roman;Times;Serif"/>
          <w:b w:val="false"/>
          <w:i w:val="false"/>
          <w:caps w:val="false"/>
          <w:smallCaps w:val="false"/>
          <w:spacing w:val="4"/>
          <w:sz w:val="20"/>
          <w:u w:val="single"/>
        </w:rPr>
        <w:t>Purchase Agreement</w:t>
      </w:r>
      <w:r>
        <w:rPr>
          <w:rFonts w:ascii="Times New Roman;Times;Serif" w:hAnsi="Times New Roman;Times;Serif"/>
          <w:b w:val="false"/>
          <w:i w:val="false"/>
          <w:caps w:val="false"/>
          <w:smallCaps w:val="false"/>
          <w:spacing w:val="4"/>
          <w:sz w:val="20"/>
        </w:rPr>
        <w:t>”), by and among the Company and the investor party thereto. The ADSs issuable upon exercise of the Pre-Funded Warrants shall be referred to hereinafter as the “</w:t>
      </w:r>
      <w:r>
        <w:rPr>
          <w:rFonts w:ascii="Times New Roman;Times;Serif" w:hAnsi="Times New Roman;Times;Serif"/>
          <w:b w:val="false"/>
          <w:i w:val="false"/>
          <w:caps w:val="false"/>
          <w:smallCaps w:val="false"/>
          <w:spacing w:val="4"/>
          <w:sz w:val="20"/>
          <w:u w:val="single"/>
        </w:rPr>
        <w:t>Warrant ADSs</w:t>
      </w:r>
      <w:r>
        <w:rPr>
          <w:rFonts w:ascii="Times New Roman;Times;Serif" w:hAnsi="Times New Roman;Times;Serif"/>
          <w:b w:val="false"/>
          <w:i w:val="false"/>
          <w:caps w:val="false"/>
          <w:smallCaps w:val="false"/>
          <w:spacing w:val="4"/>
          <w:sz w:val="20"/>
        </w:rPr>
        <w:t>.”</w:t>
      </w:r>
    </w:p>
    <w:p>
      <w:pPr>
        <w:pStyle w:val="TextBody"/>
        <w:bidi w:val="0"/>
        <w:spacing w:before="0" w:after="0"/>
        <w:ind w:left="0" w:right="0" w:firstLine="720"/>
        <w:jc w:val="left"/>
        <w:rPr>
          <w:caps w:val="false"/>
          <w:smallCaps w:val="false"/>
          <w:spacing w:val="4"/>
        </w:rPr>
      </w:pPr>
      <w:r>
        <w:rPr>
          <w:caps w:val="false"/>
          <w:smallCaps w:val="false"/>
          <w:spacing w:val="4"/>
        </w:rPr>
        <w:t> </w:t>
      </w:r>
    </w:p>
    <w:p>
      <w:pPr>
        <w:pStyle w:val="TextBody"/>
        <w:bidi w:val="0"/>
        <w:spacing w:before="0" w:after="0"/>
        <w:ind w:left="0" w:right="0" w:firstLine="72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In connection herewith, we have examined the originals, or photocopies or copies, certified or otherwise identified to our satisfaction, of: (i) the Registration Statement on Form F-3, File No 333-276323 (the “</w:t>
      </w:r>
      <w:r>
        <w:rPr>
          <w:rFonts w:ascii="Times New Roman;Times;Serif" w:hAnsi="Times New Roman;Times;Serif"/>
          <w:b w:val="false"/>
          <w:i w:val="false"/>
          <w:caps w:val="false"/>
          <w:smallCaps w:val="false"/>
          <w:spacing w:val="4"/>
          <w:sz w:val="20"/>
          <w:u w:val="single"/>
        </w:rPr>
        <w:t>Registration Statement</w:t>
      </w:r>
      <w:r>
        <w:rPr>
          <w:rFonts w:ascii="Times New Roman;Times;Serif" w:hAnsi="Times New Roman;Times;Serif"/>
          <w:b w:val="false"/>
          <w:i w:val="false"/>
          <w:caps w:val="false"/>
          <w:smallCaps w:val="false"/>
          <w:spacing w:val="4"/>
          <w:sz w:val="20"/>
        </w:rPr>
        <w:t>”) filed by the Company with the U.S. Securities and Exchange Commission (the “</w:t>
      </w:r>
      <w:r>
        <w:rPr>
          <w:rFonts w:ascii="Times New Roman;Times;Serif" w:hAnsi="Times New Roman;Times;Serif"/>
          <w:b w:val="false"/>
          <w:i w:val="false"/>
          <w:caps w:val="false"/>
          <w:smallCaps w:val="false"/>
          <w:spacing w:val="4"/>
          <w:sz w:val="20"/>
          <w:u w:val="single"/>
        </w:rPr>
        <w:t>Commission</w:t>
      </w:r>
      <w:r>
        <w:rPr>
          <w:rFonts w:ascii="Times New Roman;Times;Serif" w:hAnsi="Times New Roman;Times;Serif"/>
          <w:b w:val="false"/>
          <w:i w:val="false"/>
          <w:caps w:val="false"/>
          <w:smallCaps w:val="false"/>
          <w:spacing w:val="4"/>
          <w:sz w:val="20"/>
        </w:rPr>
        <w:t>”) under the Securities Act of 1933, as amended (the “</w:t>
      </w:r>
      <w:r>
        <w:rPr>
          <w:rFonts w:ascii="Times New Roman;Times;Serif" w:hAnsi="Times New Roman;Times;Serif"/>
          <w:b w:val="false"/>
          <w:i w:val="false"/>
          <w:caps w:val="false"/>
          <w:smallCaps w:val="false"/>
          <w:spacing w:val="4"/>
          <w:sz w:val="20"/>
          <w:u w:val="single"/>
        </w:rPr>
        <w:t>Securities Act</w:t>
      </w:r>
      <w:r>
        <w:rPr>
          <w:rFonts w:ascii="Times New Roman;Times;Serif" w:hAnsi="Times New Roman;Times;Serif"/>
          <w:b w:val="false"/>
          <w:i w:val="false"/>
          <w:caps w:val="false"/>
          <w:smallCaps w:val="false"/>
          <w:spacing w:val="4"/>
          <w:sz w:val="20"/>
        </w:rPr>
        <w:t>”), as amended to date, and the prospectus supplement filed by the Company pursuant to Rule 424(b)(5) under the Securities Act, dated as of January 6, 2025 (the “</w:t>
      </w:r>
      <w:r>
        <w:rPr>
          <w:rFonts w:ascii="Times New Roman;Times;Serif" w:hAnsi="Times New Roman;Times;Serif"/>
          <w:b w:val="false"/>
          <w:i w:val="false"/>
          <w:caps w:val="false"/>
          <w:smallCaps w:val="false"/>
          <w:spacing w:val="4"/>
          <w:sz w:val="20"/>
          <w:u w:val="single"/>
        </w:rPr>
        <w:t>Prospectus Supplement</w:t>
      </w:r>
      <w:r>
        <w:rPr>
          <w:rFonts w:ascii="Times New Roman;Times;Serif" w:hAnsi="Times New Roman;Times;Serif"/>
          <w:b w:val="false"/>
          <w:i w:val="false"/>
          <w:caps w:val="false"/>
          <w:smallCaps w:val="false"/>
          <w:spacing w:val="4"/>
          <w:sz w:val="20"/>
        </w:rPr>
        <w:t>”); (ii) a copy of the articles of association of the Company, as amended and currently in effect (the “</w:t>
      </w:r>
      <w:r>
        <w:rPr>
          <w:rFonts w:ascii="Times New Roman;Times;Serif" w:hAnsi="Times New Roman;Times;Serif"/>
          <w:b w:val="false"/>
          <w:i w:val="false"/>
          <w:caps w:val="false"/>
          <w:smallCaps w:val="false"/>
          <w:spacing w:val="4"/>
          <w:sz w:val="20"/>
          <w:u w:val="single"/>
        </w:rPr>
        <w:t>Articles</w:t>
      </w:r>
      <w:r>
        <w:rPr>
          <w:rFonts w:ascii="Times New Roman;Times;Serif" w:hAnsi="Times New Roman;Times;Serif"/>
          <w:b w:val="false"/>
          <w:i w:val="false"/>
          <w:caps w:val="false"/>
          <w:smallCaps w:val="false"/>
          <w:spacing w:val="4"/>
          <w:sz w:val="20"/>
        </w:rPr>
        <w:t>”); (iii) resolutions of the board of directors of the Company (the “</w:t>
      </w:r>
      <w:r>
        <w:rPr>
          <w:rFonts w:ascii="Times New Roman;Times;Serif" w:hAnsi="Times New Roman;Times;Serif"/>
          <w:b w:val="false"/>
          <w:i w:val="false"/>
          <w:caps w:val="false"/>
          <w:smallCaps w:val="false"/>
          <w:spacing w:val="4"/>
          <w:sz w:val="20"/>
          <w:u w:val="single"/>
        </w:rPr>
        <w:t>Board</w:t>
      </w:r>
      <w:r>
        <w:rPr>
          <w:rFonts w:ascii="Times New Roman;Times;Serif" w:hAnsi="Times New Roman;Times;Serif"/>
          <w:b w:val="false"/>
          <w:i w:val="false"/>
          <w:caps w:val="false"/>
          <w:smallCaps w:val="false"/>
          <w:spacing w:val="4"/>
          <w:sz w:val="20"/>
        </w:rPr>
        <w:t>”) and the audit committee of the Board which have heretofore been approved and that relate to the Registration Statement, the Prospectus Supplement and the actions to be taken under the Purchase Agreement; and (iv) such other corporate records, agreements, documents and other instruments, and such certificates or comparable documents of public officials and of officers and representatives of the Company as we have deemed relevant and necessary as a basis for the opinions hereafter set forth. We have also made inquiries of such officers and representatives as we have deemed relevant and necessary as a basis for the opinions hereafter set forth.</w:t>
      </w:r>
    </w:p>
    <w:p>
      <w:pPr>
        <w:pStyle w:val="TextBody"/>
        <w:bidi w:val="0"/>
        <w:spacing w:before="0" w:after="0"/>
        <w:ind w:left="0" w:right="0" w:firstLine="720"/>
        <w:jc w:val="left"/>
        <w:rPr>
          <w:caps w:val="false"/>
          <w:smallCaps w:val="false"/>
          <w:spacing w:val="4"/>
        </w:rPr>
      </w:pPr>
      <w:r>
        <w:rPr>
          <w:caps w:val="false"/>
          <w:smallCaps w:val="false"/>
          <w:spacing w:val="4"/>
        </w:rPr>
        <w:t> </w:t>
      </w:r>
    </w:p>
    <w:p>
      <w:pPr>
        <w:pStyle w:val="TextBody"/>
        <w:bidi w:val="0"/>
        <w:spacing w:before="0" w:after="0"/>
        <w:ind w:left="0" w:right="0" w:firstLine="72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In such examination, we have assumed the genuineness of all signatures, the legal capacity of all natural persons, the authenticity of all documents submitted to us as originals, the conformity to original documents of all documents submitted to us as reproduced or certified copies and the authenticity of the originals of such latter documents. We have assumed the same to have been properly given and to be accurate. We have also assumed the truth of all facts communicated to us by the Company and that all consents and minutes of meetings of committees of the Board, the Board and the shareholders of the Company that have been provided to us are true and accurate and have been properly prepared in accordance with the Articles and all applicable laws.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center"/>
        <w:rPr>
          <w:caps w:val="false"/>
          <w:smallCaps w:val="false"/>
          <w:spacing w:val="4"/>
        </w:rPr>
      </w:pPr>
      <w:r>
        <w:rPr>
          <w:caps w:val="false"/>
          <w:smallCaps w:val="false"/>
          <w:spacing w:val="4"/>
        </w:rPr>
        <w:t> </w:t>
      </w:r>
      <w:r>
        <w:rPr>
          <w:caps w:val="false"/>
          <w:smallCaps w:val="false"/>
          <w:spacing w:val="4"/>
        </w:rPr>
        <w:drawing>
          <wp:inline distT="0" distB="0" distL="0" distR="0">
            <wp:extent cx="6606540" cy="51816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6606540" cy="518160"/>
                    </a:xfrm>
                    <a:prstGeom prst="rect">
                      <a:avLst/>
                    </a:prstGeom>
                  </pic:spPr>
                </pic:pic>
              </a:graphicData>
            </a:graphic>
          </wp:inline>
        </w:drawing>
      </w:r>
    </w:p>
    <w:p>
      <w:pPr>
        <w:pStyle w:val="TextBody"/>
        <w:bidi w:val="0"/>
        <w:spacing w:before="0" w:after="0"/>
        <w:ind w:left="0" w:right="0" w:firstLine="720"/>
        <w:jc w:val="left"/>
        <w:rPr>
          <w:caps w:val="false"/>
          <w:smallCaps w:val="false"/>
          <w:spacing w:val="4"/>
        </w:rPr>
      </w:pPr>
      <w:r>
        <w:rPr>
          <w:caps w:val="false"/>
          <w:smallCaps w:val="false"/>
          <w:spacing w:val="4"/>
        </w:rPr>
        <w:t> </w:t>
      </w:r>
    </w:p>
    <w:p>
      <w:pPr>
        <w:pStyle w:val="TextBody"/>
        <w:bidi w:val="0"/>
        <w:spacing w:before="0" w:after="0"/>
        <w:ind w:left="0" w:right="0" w:firstLine="72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Based upon and subject to the foregoing, we are of the opinion that the Ordinary Shares represented by the Offered ADSs and the Warrant ADSs have been duly authorized for issuance and sale pursuant to the Purchase Agreement and, in the case of the Warrant ADSs, the Pre-Funded Warrants, by all necessary corporate action on the part of the Company and, when issued, delivered and paid for in accordance with the terms and conditions of the Purchase Agreement, and, with respect to the Warrant ADSs, the Pre-Funded Warrants, will be validly issued, fully paid and non-assessable.</w:t>
      </w:r>
    </w:p>
    <w:p>
      <w:pPr>
        <w:pStyle w:val="TextBody"/>
        <w:bidi w:val="0"/>
        <w:spacing w:before="0" w:after="0"/>
        <w:ind w:left="0" w:right="0" w:firstLine="720"/>
        <w:jc w:val="left"/>
        <w:rPr>
          <w:caps w:val="false"/>
          <w:smallCaps w:val="false"/>
          <w:spacing w:val="4"/>
        </w:rPr>
      </w:pPr>
      <w:r>
        <w:rPr>
          <w:caps w:val="false"/>
          <w:smallCaps w:val="false"/>
          <w:spacing w:val="4"/>
        </w:rPr>
        <w:t> </w:t>
      </w:r>
    </w:p>
    <w:p>
      <w:pPr>
        <w:pStyle w:val="TextBody"/>
        <w:bidi w:val="0"/>
        <w:spacing w:before="0" w:after="0"/>
        <w:ind w:left="0" w:right="0" w:firstLine="72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Members of our firm are admitted to the Bar of the State of Israel, and we do not express any opinion as to the laws of any other jurisdiction. This opinion is limited to the matters stated herein and no opinion is implied or may be inferred beyond the matters expressly stated.</w:t>
      </w:r>
    </w:p>
    <w:p>
      <w:pPr>
        <w:pStyle w:val="TextBody"/>
        <w:bidi w:val="0"/>
        <w:spacing w:before="0" w:after="0"/>
        <w:ind w:left="0" w:right="0" w:firstLine="720"/>
        <w:jc w:val="left"/>
        <w:rPr>
          <w:caps w:val="false"/>
          <w:smallCaps w:val="false"/>
          <w:spacing w:val="4"/>
        </w:rPr>
      </w:pPr>
      <w:r>
        <w:rPr>
          <w:caps w:val="false"/>
          <w:smallCaps w:val="false"/>
          <w:spacing w:val="4"/>
        </w:rPr>
        <w:t> </w:t>
      </w:r>
    </w:p>
    <w:p>
      <w:pPr>
        <w:pStyle w:val="TextBody"/>
        <w:bidi w:val="0"/>
        <w:spacing w:before="0" w:after="0"/>
        <w:ind w:left="0" w:right="0" w:firstLine="72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We hereby consent to the filing of this opinion as an exhibit to a Report on Form 6-K to be filed by the Company with the Commission in connection with the closing of the transactions under the Purchase Agreement and to the reference to this firm under the captions “Legal Matters” and “Enforceability of Civil Liabilities” in the Prospectus Supplement. In giving this consent, we do not thereby admit that we are an “expert” within the meaning of the Securities Act.</w:t>
      </w:r>
    </w:p>
    <w:p>
      <w:pPr>
        <w:pStyle w:val="TextBody"/>
        <w:bidi w:val="0"/>
        <w:spacing w:before="0" w:after="0"/>
        <w:ind w:left="0" w:right="0" w:firstLine="720"/>
        <w:jc w:val="left"/>
        <w:rPr>
          <w:caps w:val="false"/>
          <w:smallCaps w:val="false"/>
          <w:spacing w:val="4"/>
        </w:rPr>
      </w:pPr>
      <w:r>
        <w:rPr>
          <w:caps w:val="false"/>
          <w:smallCaps w:val="false"/>
          <w:spacing w:val="4"/>
        </w:rPr>
        <w:t> </w:t>
      </w:r>
    </w:p>
    <w:p>
      <w:pPr>
        <w:pStyle w:val="TextBody"/>
        <w:bidi w:val="0"/>
        <w:spacing w:before="0" w:after="0"/>
        <w:ind w:left="0" w:right="0" w:firstLine="72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This opinion letter is rendered as of the date hereof and we disclaim any obligation to advise you of facts, circumstances, events or developments that may be brought to our attention after the date hereof that may alter, affect or modify the opinions expressed herein.</w:t>
      </w:r>
    </w:p>
    <w:p>
      <w:pPr>
        <w:pStyle w:val="TextBody"/>
        <w:bidi w:val="0"/>
        <w:spacing w:before="0" w:after="0"/>
        <w:ind w:left="0" w:right="0" w:firstLine="720"/>
        <w:jc w:val="left"/>
        <w:rPr>
          <w:caps w:val="false"/>
          <w:smallCaps w:val="false"/>
          <w:spacing w:val="4"/>
        </w:rPr>
      </w:pPr>
      <w:r>
        <w:rPr>
          <w:caps w:val="false"/>
          <w:smallCaps w:val="false"/>
          <w:spacing w:val="4"/>
        </w:rPr>
        <w:t> </w:t>
      </w:r>
    </w:p>
    <w:tbl>
      <w:tblPr>
        <w:tblW w:w="2270" w:type="dxa"/>
        <w:jc w:val="left"/>
        <w:tblInd w:w="0" w:type="dxa"/>
        <w:tblLayout w:type="fixed"/>
        <w:tblCellMar>
          <w:top w:w="0" w:type="dxa"/>
          <w:left w:w="0" w:type="dxa"/>
          <w:bottom w:w="0" w:type="dxa"/>
          <w:right w:w="0" w:type="dxa"/>
        </w:tblCellMar>
      </w:tblPr>
      <w:tblGrid>
        <w:gridCol w:w="75"/>
        <w:gridCol w:w="2195"/>
      </w:tblGrid>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Very truly yours,</w:t>
            </w:r>
          </w:p>
          <w:p>
            <w:pPr>
              <w:pStyle w:val="TableContents"/>
              <w:bidi w:val="0"/>
              <w:spacing w:before="0" w:after="0"/>
              <w:ind w:left="4536" w:right="0" w:hanging="0"/>
              <w:jc w:val="both"/>
              <w:rPr>
                <w:caps w:val="false"/>
                <w:smallCaps w:val="false"/>
                <w:spacing w:val="4"/>
              </w:rPr>
            </w:pPr>
            <w:r>
              <w:rPr>
                <w:caps w:val="false"/>
                <w:smallCaps w:val="false"/>
                <w:spacing w:val="4"/>
              </w:rPr>
              <w:t> </w:t>
            </w:r>
          </w:p>
          <w:p>
            <w:pPr>
              <w:pStyle w:val="TableContents"/>
              <w:bidi w:val="0"/>
              <w:spacing w:before="0" w:after="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/s/ FISCHER (FBC &amp; Co.)</w:t>
            </w:r>
          </w:p>
        </w:tc>
      </w:tr>
    </w:tbl>
    <w:p>
      <w:pPr>
        <w:pStyle w:val="TextBody"/>
        <w:bidi w:val="0"/>
        <w:spacing w:before="0" w:after="0"/>
        <w:ind w:left="0" w:right="0" w:firstLine="720"/>
        <w:jc w:val="left"/>
        <w:rPr>
          <w:caps w:val="false"/>
          <w:smallCaps w:val="false"/>
          <w:spacing w:val="4"/>
        </w:rPr>
      </w:pPr>
      <w:r>
        <w:rPr>
          <w:caps w:val="false"/>
          <w:smallCaps w:val="false"/>
          <w:spacing w:val="4"/>
        </w:rPr>
        <w:t> </w:t>
      </w:r>
    </w:p>
    <w:p>
      <w:pPr>
        <w:pStyle w:val="TextBody"/>
        <w:bidi w:val="0"/>
        <w:spacing w:before="60" w:after="240"/>
        <w:ind w:left="4536"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240" w:after="60"/>
        <w:jc w:val="left"/>
        <w:rPr>
          <w:bdr w:val="single" w:sz="16" w:space="1" w:color="000000"/>
        </w:rPr>
      </w:pPr>
      <w:bookmarkStart w:id="4" w:name="exhibit_5-2.htm"/>
      <w:bookmarkStart w:id="5" w:name="ksexhibit_52"/>
      <w:bookmarkEnd w:id="4"/>
      <w:bookmarkEnd w:id="5"/>
      <w:r>
        <w:rPr>
          <w:bdr w:val="single" w:sz="16" w:space="1" w:color="000000"/>
        </w:rPr>
        <w:t> </w:t>
      </w:r>
      <w:r>
        <w:br w:type="page"/>
      </w:r>
    </w:p>
    <w:p>
      <w:pPr>
        <w:pStyle w:val="TextBody"/>
        <w:bidi w:val="0"/>
        <w:jc w:val="right"/>
        <w:rPr>
          <w:b/>
          <w:u w:val="single"/>
        </w:rPr>
      </w:pPr>
      <w:r>
        <w:rPr>
          <w:b/>
          <w:u w:val="single"/>
        </w:rPr>
        <w:t>Exhibit 5.2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619375" cy="41910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2619375" cy="419100"/>
                    </a:xfrm>
                    <a:prstGeom prst="rect">
                      <a:avLst/>
                    </a:prstGeom>
                  </pic:spPr>
                </pic:pic>
              </a:graphicData>
            </a:graphic>
          </wp:inline>
        </w:drawing>
      </w: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31,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BioLineRx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HaMa’ayan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Modi’in, Israel 7177871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w:t>
      </w:r>
      <w:r>
        <w:rPr>
          <w:rFonts w:ascii="Times New Roman;Times;Serif" w:hAnsi="Times New Roman;Times;Serif"/>
          <w:b w:val="false"/>
          <w:i w:val="false"/>
          <w:caps w:val="false"/>
          <w:smallCaps w:val="false"/>
          <w:sz w:val="20"/>
          <w:u w:val="single"/>
        </w:rPr>
        <w:t>Prospectus Supplement Pursuant to Rule 424(b)(5)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U.S. counsel to BioLineRx Ltd., an Israeli company (the “Company”) in connection with a Prospectus Supplement pursuant to Rule 424(b)(5) (the “Prospectus Supplement”) filed by the Company with the Securities and Exchange Commission (the “Commission”), relating to the offer and sale of the following securities (collectively, the “Securities”): (a) 480,696 American Depositary Shares (the “ADSs”) representing 288,417,600 ordinary shares of the Company, par value NIS 0.10 per share (the “Ordinary Shares”) and (b) pre-funded warrants to purchase up to an aggregate of 868,225 ADSs representing 520,935,000 Ordinary Shares of the Company (each, a “Pre-Funded Warrant” and such Ordinary Shares underlying the Pre-Funded Warrants, the “Pre-Funded Warrant Shares”),at a purchase price of $2.78 per ADS and $2.7799 per Pre-Funded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supplements the registration statement on Form F-3 (File No. 333-276323) (the “Registration Statement”) filed by the Company with the Commission under the Securities Act of 1933, as amended (the “Securities Act”) on December 29, 2023 and which became effective on January 5,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and the Pre-Funded Warrants are to be sold by the Company pursuant to a securities purchase agreement by and between the Company and those certain investors signatory thereto, the form of which has been filed as Exhibit 10.1 to the Report of Foreign Private Issuer on Form 6-K that is incorporated by reference into the Registration Statement (together with all schedules, exhibits and ancillary documents and agreements thereto,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in connection with the requirements of Item 601(b)(5) of Regulation S-K under the Securities Act, and no opinion is expressed herein as to any matter pertaining to the contents of the Registration Statement or the Prospectus Supplement that is a part of the Registration Statement, other than as expressly stated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originals or copies, certified or otherwise identified to our satisfaction, of such records of the Company and such agreements, certificates and statements of public officials, certificates of officers or representatives of the Company, and such other documents, certificates and records as we have deemed necessary or appropriate as a basis for the opinion set forth herein. In our examination, we have assumed the legal capacity of all natural persons, the genuineness of all signatures, the authenticity of all documents submitted to us as originals, the conformity to original documents of all documents submitted to us as certified or photostatic copies and the authenticity of all originals of such latter documents. In making our examination of the documents executed by the parties, we have assumed that such parties had the power, corporate or other, to enter into and perform all obligations thereunder and have also assumed the due authorization by all requisite action, corporate or other, and execution and delivery by such parties of such documents and the validity and binding effect thereof. In addition, we have assumed that when issued and paid for pursuant to the Securities Purchase Agreement, the Ordinary Shares, the Pre-Funded Warrants, and the Pre-Funded Warrant Shares will be validly issued, fully paid and non-assessable. Except as expressly set forth herein, we have not undertaken any independent investigation to determine the existence or absence of facts material to the opinions expressed herein and no inference as to our knowledge concerning such facts should be drawn from the fact that such representation has been relied upon by us in connection with the preparation and delivery of this opinion. As to any facts material to the opinions expressed herein which were not independently established or verified, we have relied upon oral or written statements and representations of officers and other representatives of the Company and others, including those set forth in the Securities Purchase Agreement.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Greenberg Traurig, P.A. | Attorneys at Law</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Azrieli Center, Round Tower | 132 Menachem Begin Road, 30th Floor | Tel Aviv, Israel 6701101 | T +1 +972 (0) 3 636 6000 | F +1 +972 (0) 3 636 6010</w:t>
            </w:r>
          </w:p>
        </w:tc>
      </w:tr>
      <w:tr>
        <w:trPr/>
        <w:tc>
          <w:tcPr>
            <w:tcW w:w="10205" w:type="dxa"/>
            <w:tcBorders>
              <w:top w:val="single" w:sz="12" w:space="0" w:color="000000"/>
            </w:tcBorders>
            <w:tcMar>
              <w:top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www.gtlaw.com</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admitted to the Bar in the State of New York. We express no opinion as to the laws of any jurisdiction other than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separately receiving an opinion from FISCHER (FBC &amp; Co.) with respect to the corporate proceedings relating to the issuance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assumptions and qualifications set forth herein, we are of the opinion that each Pre-Funded Warrant, when issued and sold by the Company and delivered by the Company in accordance with and in the manner described in the Prospectus Supplement and the Securities Purchase Agreement, when executed and delivered by the Company will constitute the valid and binding obligation of the Company, enforceable against the Company in accordance with its terms, subject to applicable bankruptcy, insolvency, fraudulent conveyance, moratorium and similar laws affecting creditors’ rights generally and equitable principles of general applicability.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the enforceability of any rights to indemnification or contribution provided for in the Securities Purchase Agreement that are violative of the public policy underlying any law, rule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as an exhibit to the Registration Statement (as an exhibit to a Report of Foreign Private Issuer on Form 6-K that is incorporated by reference into the Registration Statement), and we further consent to the use of our name under the caption “Legal Matters” in the Registration Statement and the Prospectus Supplement that forms a part thereof. In giving these consents, we do not thereby admit that we are within the category of persons whose consent is required under Section 7 of the Securities Act or the rules and regulations of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limited to the matters expressly set forth herein and no opinion is implied or may be inferred beyond the matters expressly so stated. This opinion letter is given as of the date hereof and we do not undertake any liability or responsibility to inform you of any change in circumstances occurring, or additional information becoming available to us, after the date hereof which might alter the opinions contained herein.</w:t>
      </w:r>
    </w:p>
    <w:p>
      <w:pPr>
        <w:pStyle w:val="TextBody"/>
        <w:bidi w:val="0"/>
        <w:spacing w:before="0" w:after="0"/>
        <w:ind w:left="0" w:right="0" w:firstLine="720"/>
        <w:jc w:val="both"/>
        <w:rPr>
          <w:caps w:val="false"/>
          <w:smallCaps w:val="false"/>
        </w:rPr>
      </w:pPr>
      <w:r>
        <w:rPr>
          <w:caps w:val="false"/>
          <w:smallCaps w:val="false"/>
        </w:rPr>
        <w:t> </w:t>
      </w:r>
    </w:p>
    <w:tbl>
      <w:tblPr>
        <w:tblW w:w="2270" w:type="dxa"/>
        <w:jc w:val="left"/>
        <w:tblInd w:w="0" w:type="dxa"/>
        <w:tblLayout w:type="fixed"/>
        <w:tblCellMar>
          <w:top w:w="0" w:type="dxa"/>
          <w:left w:w="0" w:type="dxa"/>
          <w:bottom w:w="0" w:type="dxa"/>
          <w:right w:w="0" w:type="dxa"/>
        </w:tblCellMar>
      </w:tblPr>
      <w:tblGrid>
        <w:gridCol w:w="75"/>
        <w:gridCol w:w="2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Greenberg Traurig P.A.</w:t>
            </w:r>
          </w:p>
        </w:tc>
      </w:tr>
    </w:tbl>
    <w:p>
      <w:pPr>
        <w:pStyle w:val="TextBody"/>
        <w:bidi w:val="0"/>
        <w:spacing w:before="0" w:after="283"/>
        <w:jc w:val="left"/>
        <w:rPr/>
      </w:pPr>
      <w:r>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240" w:after="60"/>
        <w:jc w:val="left"/>
        <w:rPr>
          <w:bdr w:val="single" w:sz="16" w:space="1" w:color="000000"/>
        </w:rPr>
      </w:pPr>
      <w:bookmarkStart w:id="6" w:name="exhibit_10-1.htm"/>
      <w:bookmarkStart w:id="7" w:name="ksexhibit_101"/>
      <w:bookmarkEnd w:id="6"/>
      <w:bookmarkEnd w:id="7"/>
      <w:r>
        <w:rPr>
          <w:bdr w:val="single" w:sz="16" w:space="1" w:color="000000"/>
        </w:rPr>
        <w:t> </w:t>
      </w:r>
      <w:r>
        <w:br w:type="page"/>
      </w:r>
    </w:p>
    <w:p>
      <w:pPr>
        <w:pStyle w:val="TextBody"/>
        <w:bidi w:val="0"/>
        <w:jc w:val="right"/>
        <w:rPr>
          <w:b/>
          <w:u w:val="single"/>
        </w:rPr>
      </w:pPr>
      <w:r>
        <w:rPr>
          <w:b/>
          <w:u w:val="single"/>
        </w:rPr>
        <w:t>Exhibit 10.1</w:t>
      </w:r>
    </w:p>
    <w:p>
      <w:pPr>
        <w:pStyle w:val="TextBody"/>
        <w:bidi w:val="0"/>
        <w:spacing w:before="0" w:after="0"/>
        <w:ind w:left="0" w:right="0" w:hanging="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August 27, 2026, between BioLineRx Ltd., a company organized under the laws of Israel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purchaser identified on the signature pages hereto (each, including its successors and assigns,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pursuant to an effective registration statement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and the rules and regulations (the “</w:t>
      </w:r>
      <w:r>
        <w:rPr>
          <w:rFonts w:ascii="Times New Roman;Times;Serif" w:hAnsi="Times New Roman;Times;Serif"/>
          <w:b w:val="false"/>
          <w:i w:val="false"/>
          <w:caps w:val="false"/>
          <w:smallCaps w:val="false"/>
          <w:sz w:val="20"/>
          <w:u w:val="single"/>
        </w:rPr>
        <w:t>Rules and Regulations</w:t>
      </w:r>
      <w:r>
        <w:rPr>
          <w:rFonts w:ascii="Times New Roman;Times;Serif" w:hAnsi="Times New Roman;Times;Serif"/>
          <w:b w:val="false"/>
          <w:i w:val="false"/>
          <w:caps w:val="false"/>
          <w:smallCaps w:val="false"/>
          <w:sz w:val="20"/>
        </w:rPr>
        <w:t>”) of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thereunder as to the Shares (as defined below), the Pre-Funded Warrants (as defined below) and the Pre-Funded Warrant Shares (as defined below); and an exemption from the registration requirements of Section 5 of the Securities Act contained in Section 4(a)(2) thereof and/or Regulation D thereunder as to the Ordinary Warrants (as defined below) and the Ordinary Warrant Shares (as defined below),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w:t>
      </w:r>
      <w:r>
        <w:rPr>
          <w:rFonts w:ascii="Times New Roman;Times;Serif" w:hAnsi="Times New Roman;Times;Serif"/>
          <w:b w:val="false"/>
          <w:i w:val="false"/>
          <w:caps w:val="false"/>
          <w:smallCaps w:val="false"/>
          <w:sz w:val="20"/>
        </w:rPr>
        <w:b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shall have the meaning ascribed to such term in Section 4.5.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shall have the meaning ascribed to such term in Section 3.1(j).</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means American Depositary Shares issued pursuant to the Deposit Agreement (as defined below), each representing six hundred (600)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closing of the purchase and sale of the Securities pursuant to Section 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(1st) Trading Day following the date hereof (or the second (2nd) Trading Day following the date hereof (i) if this Agreement is signed on a day that is not a Trading Day or after 4:00 p.m. (New York City time) and before midnight (New York City time) on a Trading Day; or (ii) the first (1st) Trading Day following the date hereof is a Friday or any other day on which commercial banks in Israel are closed).</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means Greenberg Traurig P.A, with offices located at One Azrieli Center, Round Tower, 30th Floor, 132 Menachem Begin Rd., Tel Aviv 6701101,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Israeli Counsel</w:t>
      </w:r>
      <w:r>
        <w:rPr>
          <w:rFonts w:ascii="Times New Roman;Times;Serif" w:hAnsi="Times New Roman;Times;Serif"/>
          <w:b w:val="false"/>
          <w:i w:val="false"/>
          <w:caps w:val="false"/>
          <w:smallCaps w:val="false"/>
          <w:sz w:val="20"/>
        </w:rPr>
        <w:t>” means FISCHER (FBC &amp; Co.), with offices located at 146 Menachem Begin Street, Tel Aviv 6492103,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means the Deposit Agreement dated as of July 21, 2011, among the Company, The Bank of New York Mellon as Depositary and the owners and holders of ADSs from time to time, as such agreement may be amended or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means The Bank of New York Mellon, as Depositary under the Deposit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means the Disclosure Schedules of the Company delivered concurrently 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Time</w:t>
      </w:r>
      <w:r>
        <w:rPr>
          <w:rFonts w:ascii="Times New Roman;Times;Serif" w:hAnsi="Times New Roman;Times;Serif"/>
          <w:b w:val="false"/>
          <w:i w:val="false"/>
          <w:caps w:val="false"/>
          <w:smallCaps w:val="false"/>
          <w:sz w:val="20"/>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xml:space="preserve">” means the issuance of (a) ADSs, Ordinary Shares or options, restricted share units or performance share units to employees, officers, directors, or consultants of the Company pursuant to any incentive or option plan duly adopted for such purpose, in existence as of the date hereof, provided that any issuances to consultants are issued as “restricted securities” (as defined in Rule 144) and carry no registration rights that require or permit the filing of any registration statement in connection therewith during the prohibition period in Section 4.11(a) herein, (b) securities upon the exercise or exchange of or conversion of any Securities issued hereunder and any securities upon exercise of securities exercisable or exchangeable for or convertible into ADSs or Ordinary Shares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issuable pursuant to an agreement as set forth in </w:t>
      </w:r>
      <w:r>
        <w:rPr>
          <w:rFonts w:ascii="Times New Roman;Times;Serif" w:hAnsi="Times New Roman;Times;Serif"/>
          <w:b w:val="false"/>
          <w:i w:val="false"/>
          <w:caps w:val="false"/>
          <w:smallCaps w:val="false"/>
          <w:sz w:val="20"/>
          <w:u w:val="single"/>
        </w:rPr>
        <w:t>Schedule 3.1(t),</w:t>
      </w:r>
      <w:r>
        <w:rPr>
          <w:rFonts w:ascii="Times New Roman;Times;Serif" w:hAnsi="Times New Roman;Times;Serif"/>
          <w:b w:val="false"/>
          <w:i w:val="false"/>
          <w:caps w:val="false"/>
          <w:smallCaps w:val="false"/>
          <w:sz w:val="20"/>
        </w:rPr>
        <w:t xml:space="preserve"> and (d)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 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shall have the meaning ascribed to such term in Section 3.1(hh).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FDCA</w:t>
      </w:r>
      <w:r>
        <w:rPr>
          <w:rFonts w:ascii="Times New Roman;Times;Serif" w:hAnsi="Times New Roman;Times;Serif"/>
          <w:b w:val="false"/>
          <w:i w:val="false"/>
          <w:caps w:val="false"/>
          <w:smallCaps w:val="false"/>
          <w:sz w:val="20"/>
        </w:rPr>
        <w:t>” shall have the meaning ascribed to such term in Section 3.1(hh).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IFRS</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shall have the meaning ascribed to such term in Section 3.1(aa).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have the meaning ascribed to such term in Section 3.1(p).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xml:space="preserve">” means each of the Lock-Up Agreements, dated as of the date hereof, by and among the Company and the directors and officers of the Company,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assigned to such term in Section 3.1(b).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shall have the meaning ascribed to such term in Section 3.1(n).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has the meaning ascribed to such term in Section 3.1(kk).</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the ordinary shares of the Company, par value NIS 0.10 per share, and any other class of securities into which such securities may hereafter be reclassified or 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Ordinary Shares or ADSs, including, without limitation, any debt, preferred share, right, option, warrant or other instrument that is at any time convertible into or exercisable or exchangeable for, or otherwise entitles the holder thereof to receive, Ordinary Shares or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Warrants</w:t>
      </w:r>
      <w:r>
        <w:rPr>
          <w:rFonts w:ascii="Times New Roman;Times;Serif" w:hAnsi="Times New Roman;Times;Serif"/>
          <w:b w:val="false"/>
          <w:i w:val="false"/>
          <w:caps w:val="false"/>
          <w:smallCaps w:val="false"/>
          <w:sz w:val="20"/>
        </w:rPr>
        <w:t>” means, collectively, the Ordinary Shares purchase warrants delivered to the Purchasers at the Closing in accordance with Section 2.2 hereof, which Ordinary Warrants shall be exercisable immediately upon issuance and have a term of exercise equal to five (5) years, in the form of Exhibit A-2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Warrant Shares</w:t>
      </w:r>
      <w:r>
        <w:rPr>
          <w:rFonts w:ascii="Times New Roman;Times;Serif" w:hAnsi="Times New Roman;Times;Serif"/>
          <w:b w:val="false"/>
          <w:i w:val="false"/>
          <w:caps w:val="false"/>
          <w:smallCaps w:val="false"/>
          <w:sz w:val="20"/>
        </w:rPr>
        <w:t>” means the ADSs and the Ordinary Shares issuable upon exercise of the Ordinary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equals $2.78, subject to adjustment for reverse and forward stock splits, stock dividends, stock combinations and other similar transactions of the Ordinary Shares that occur after the date of this Agreement and prior to the Closing Date, provided that the purchase price per Pre-Funded Warrant shall be the Per Share Purchase Price minus $0.001.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Pharmaceutical Product</w:t>
      </w:r>
      <w:r>
        <w:rPr>
          <w:rFonts w:ascii="Times New Roman;Times;Serif" w:hAnsi="Times New Roman;Times;Serif"/>
          <w:b w:val="false"/>
          <w:i w:val="false"/>
          <w:caps w:val="false"/>
          <w:smallCaps w:val="false"/>
          <w:sz w:val="20"/>
        </w:rPr>
        <w:t>” shall have the meaning ascribed to such term in Section 3.1(hh).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Placement Agent</w:t>
      </w:r>
      <w:r>
        <w:rPr>
          <w:rFonts w:ascii="Times New Roman;Times;Serif" w:hAnsi="Times New Roman;Times;Serif"/>
          <w:b w:val="false"/>
          <w:i w:val="false"/>
          <w:caps w:val="false"/>
          <w:smallCaps w:val="false"/>
          <w:sz w:val="20"/>
        </w:rPr>
        <w:t>” means Chardan Capital Markets, LLC.</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Pre-Funded Warrants</w:t>
      </w:r>
      <w:r>
        <w:rPr>
          <w:rFonts w:ascii="Times New Roman;Times;Serif" w:hAnsi="Times New Roman;Times;Serif"/>
          <w:b w:val="false"/>
          <w:i w:val="false"/>
          <w:caps w:val="false"/>
          <w:smallCaps w:val="false"/>
          <w:sz w:val="20"/>
        </w:rPr>
        <w:t xml:space="preserve">” means, collectively, the pre-funded Ordinary Shares purchase warrants delivered to the Purchasers at the Closing in accordance with Section 2.2(a) hereof, which Pre-Funded Warrants shall be exercisable immediately and shall expire when exercised in full,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final base prospectus filed pursuant to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means the supplement to the Prospectus complying with Rule 424(b) of the Securities Act that is filed with the Commission and delivered by the Company to each Purchaser at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shall have the meaning ascribed to such term in Section 4.8.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effective registration statement on Form F-3, filed with the Commission (File No. 333-276323), which registers the sale of the Securities to the Purchasers, including all information, documents and exhibits filed with or incorporated by reference into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3.1(e).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Resale Registration Statement</w:t>
      </w:r>
      <w:r>
        <w:rPr>
          <w:rFonts w:ascii="Times New Roman;Times;Serif" w:hAnsi="Times New Roman;Times;Serif"/>
          <w:b w:val="false"/>
          <w:i w:val="false"/>
          <w:caps w:val="false"/>
          <w:smallCaps w:val="false"/>
          <w:sz w:val="20"/>
        </w:rPr>
        <w:t>” shall have the meaning ascribed to such term in Section 4.15.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the Shares, the Warrants, the Warrant Shares and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Law</w:t>
      </w:r>
      <w:r>
        <w:rPr>
          <w:rFonts w:ascii="Times New Roman;Times;Serif" w:hAnsi="Times New Roman;Times;Serif"/>
          <w:b w:val="false"/>
          <w:i w:val="false"/>
          <w:caps w:val="false"/>
          <w:smallCaps w:val="false"/>
          <w:sz w:val="20"/>
        </w:rPr>
        <w:t>” means the Israeli Securities Law, 5728-1968.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ADSs issued pursuant to the Deposit Agreement, each ADS representing six hundred (600) Ordinary Shares, issued or issuable to each Purchaser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of ADSs or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as set forth in the SEC Reports, and shall, where applicable, also include any direct or indirect subsidiary of the Company formed or acquired after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Sullivan</w:t>
      </w:r>
      <w:r>
        <w:rPr>
          <w:rFonts w:ascii="Times New Roman;Times;Serif" w:hAnsi="Times New Roman;Times;Serif"/>
          <w:b w:val="false"/>
          <w:i w:val="false"/>
          <w:caps w:val="false"/>
          <w:smallCaps w:val="false"/>
          <w:sz w:val="20"/>
        </w:rPr>
        <w:t>” means Sullivan &amp; Worcester LLP, with offices located at 1251 Avenue of the Americas, New York, New York 10020.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ADSs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Warrants, the Lock-Up Agreements, all exhibits and schedules thereto and hereto and any other documents or agreements executed in connection with the transactions contemplated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shall have the meaning ascribed to such term in Section 4.11(b).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means, collectively, the Ordinary Warrants and the Pre-Funded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means the ADSs and the Ordinary Shares issuable upon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II.</w:t>
      </w:r>
      <w:r>
        <w:rPr>
          <w:rFonts w:ascii="Times New Roman;Times;Serif" w:hAnsi="Times New Roman;Times;Serif"/>
          <w:b w:val="false"/>
          <w:i w:val="false"/>
          <w:caps w:val="false"/>
          <w:smallCaps w:val="false"/>
          <w:sz w:val="20"/>
        </w:rPr>
        <w:br/>
        <w:t>PURCHASE AND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On the Closing Date, upon the terms and subject to the conditions set forth herein, the Company agrees to sell, and the Purchasers, severally and not jointly, agree to purchase, up to an aggregate of approximately $3,750,000 of Shares and Ordinary Warrants;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to purchase Pre-Funded Warrants in such manner to result in the same aggregate purchase price being paid by such Purchaser to the Company (minus such Purchaser’s aggregate exercise price under such Purchaser’s Pre-Funded Warrants, which amount shall be paid as and when such Pre-Funded Warrants are exercised). The “Beneficial Ownership Limitation” shall be 4.99% (or, with respect to each Purchaser, at the election of such Purchaser at Closing, 9.99%) of the number of Ordinary Shares outstanding immediately after giving effect to the issuance of the Securities on the Closing Date. In each case, the election to receive Pre-Funded Warrants is solely at the option of the Purchaser. Each Purchaser’s Subscription Amount as set forth on the signature page hereto executed by such Purchaser shall be made available for “Delivery Versus Payment” (“</w:t>
      </w:r>
      <w:r>
        <w:rPr>
          <w:rFonts w:ascii="Times New Roman;Times;Serif" w:hAnsi="Times New Roman;Times;Serif"/>
          <w:b w:val="false"/>
          <w:i w:val="false"/>
          <w:caps w:val="false"/>
          <w:smallCaps w:val="false"/>
          <w:sz w:val="20"/>
          <w:u w:val="single"/>
        </w:rPr>
        <w:t>DVP</w:t>
      </w:r>
      <w:r>
        <w:rPr>
          <w:rFonts w:ascii="Times New Roman;Times;Serif" w:hAnsi="Times New Roman;Times;Serif"/>
          <w:b w:val="false"/>
          <w:i w:val="false"/>
          <w:caps w:val="false"/>
          <w:smallCaps w:val="false"/>
          <w:sz w:val="20"/>
        </w:rPr>
        <w:t>”) settlement with the Company or its designee. The Company shall deliver to each Purchaser its respective Shares and Warrants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Unless otherwise directed by the Placement Agent, settlement of the Shares shall occur via DVP (i.e., on the Closing Date, the Company shall deliver the Shares registered in the Purchasers’ names and addresses and released by the Depositary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anything herein to the contrary, if at any time on or after the time of execution of this Agreement by the Company and an applicable Purchaser, through, and including the time immediately prior to the Closing (the “</w:t>
      </w:r>
      <w:r>
        <w:rPr>
          <w:rFonts w:ascii="Times New Roman;Times;Serif" w:hAnsi="Times New Roman;Times;Serif"/>
          <w:b w:val="false"/>
          <w:i w:val="false"/>
          <w:caps w:val="false"/>
          <w:smallCaps w:val="false"/>
          <w:sz w:val="20"/>
          <w:u w:val="single"/>
        </w:rPr>
        <w:t>Pre-Settlement Period</w:t>
      </w:r>
      <w:r>
        <w:rPr>
          <w:rFonts w:ascii="Times New Roman;Times;Serif" w:hAnsi="Times New Roman;Times;Serif"/>
          <w:b w:val="false"/>
          <w:i w:val="false"/>
          <w:caps w:val="false"/>
          <w:smallCaps w:val="false"/>
          <w:sz w:val="20"/>
        </w:rPr>
        <w:t>”), such Purchaser sells to any Person all, or any portion, of the Shares to be issued hereunder to such Purchaser at the Closing (collectively, the “</w:t>
      </w:r>
      <w:r>
        <w:rPr>
          <w:rFonts w:ascii="Times New Roman;Times;Serif" w:hAnsi="Times New Roman;Times;Serif"/>
          <w:b w:val="false"/>
          <w:i w:val="false"/>
          <w:caps w:val="false"/>
          <w:smallCaps w:val="false"/>
          <w:sz w:val="20"/>
          <w:u w:val="single"/>
        </w:rPr>
        <w:t>Pre-Settlement Shares</w:t>
      </w:r>
      <w:r>
        <w:rPr>
          <w:rFonts w:ascii="Times New Roman;Times;Serif" w:hAnsi="Times New Roman;Times;Serif"/>
          <w:b w:val="false"/>
          <w:i w:val="false"/>
          <w:caps w:val="false"/>
          <w:smallCaps w:val="false"/>
          <w:sz w:val="20"/>
        </w:rPr>
        <w:t>”), such Purchaser shall, automatically hereunder (without any additional required actions by such Purchaser or the Company), be deemed to be unconditionally bound to purchase, such Pre-Settlement Shares at the Closing, and the Company shall be deemed unconditionally bound to sell such Pre-Settlement Shares to such Person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ADSs and/or Ordinary Shares to any Person and that any such decision to sell any ADSs and/or Ordinary Shares by such Purchaser shall solely be made at the time such Purchaser elects to effect any such sale, if any. Notwithstanding the foregoing, with respect to any Notice(s) of Exercise (as defined in the Warrants) delivered on or prior to 4:00 p.m. (New York City time) on the day preceding the Closing Date, which may be delivered at any time after the time of execution of this Agreement, the Company agrees to deliver the Warrant Shares subject to such notice(s) by 4:00 p.m. (New York City time) on the Closing Date and the Closing Date shall be the Warrant ADS Delivery Date (as defined in the Warrants) for purposes hereunder.</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each Purchaser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legal opinion of Company Counsel, directed to the Placement Agent and the Purchasers, in form and substance reasonably acceptable to the Placement Agent and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legal opinion of Company Israeli Counsel, directed to the Placement Agent and the Purchasers, in form and substance reasonably acceptable to the Placement Agent and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shall have provided each Purchaser in writing with the Company’s wire instructions, on Company letterhead and executed by the Chief Executive Officer or Chief Financial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subject to Section 2.1, a copy of the irrevocable instructions to the Depositary instructing the Depositary to deliver on an expedited basis via The Depository Trust Company Deposit or Withdrawal at Custodian system (“DWAC”) Shares equal to such Purchaser’s Subscription Amount divided by the Per Share Purchase Price (minus the number of ADSs issuable upon exercise of such Purchaser’s Pre-Funded Warrant, if applicable), registered in the name of such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 Ordinary Warrant registered in the name of such Purchaser to purchase up to a number of ADSs equal to 150% of such Purchaser’s Shares and Pre-Funded Warrants on the date hereof, with an exercise price equal to $2.78, subject to adjustment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for each Purchaser of Pre-Funded Warrants pursuant to Section 2.1, a Pre-Funded Warrant registered in the name of such Purchaser to purchase up to a number of ADSs equal to the portion of such Purchaser’s Subscription Amount applicable to Pre-Funded Warrant divided by the Per Share Purchase Price minus $0.001, with an exercise price equal to $0.001, subject to adjustment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duly executed Lock-Up Agreements;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with respect to Purchasers in the United States of America, the Prospectus and Prospectus Supplement (which may be delivered in accordance with Rule 172 under the Securities Act).</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Purchaser shall deliver or cause to be delivered to the Company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 respect to each Purchaser that is in the State of Israel, written confirmation of such Purchaser that as of the date of any offer of Securities, and as of the Closing Date, such Purchaser is an investor of the type enumerated in the First Addendum to the Securities Law (a “</w:t>
      </w:r>
      <w:r>
        <w:rPr>
          <w:rFonts w:ascii="Times New Roman;Times;Serif" w:hAnsi="Times New Roman;Times;Serif"/>
          <w:b w:val="false"/>
          <w:i w:val="false"/>
          <w:caps w:val="false"/>
          <w:smallCaps w:val="false"/>
          <w:sz w:val="20"/>
          <w:u w:val="single"/>
        </w:rPr>
        <w:t>Qualified Israeli Investor</w:t>
      </w:r>
      <w:r>
        <w:rPr>
          <w:rFonts w:ascii="Times New Roman;Times;Serif" w:hAnsi="Times New Roman;Times;Serif"/>
          <w:b w:val="false"/>
          <w:i w:val="false"/>
          <w:caps w:val="false"/>
          <w:smallCaps w:val="false"/>
          <w:sz w:val="20"/>
        </w:rPr>
        <w:t>”), is fully aware of the implications of being a Qualified Israeli Investor investing in the Securities and consents to such implications, in form and substance reasonably satisfactory in all respects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such Purchaser’s Subscription Amount (minus, if applicable, such Purchaser’s aggregate exercise price under the Pre-Funded Warrants, which amount shall be paid as and when such Pre-Funded Warrants are exercised), which shall be made available for DVP settlement with the Company or its designee;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such Purchaser shall hold 5% or more of the Company’s outstanding Ordinary Shares as of the Closing, a completed and duly executed undertaking of such Purchaser to the Israel Innovation Authority (the “</w:t>
      </w:r>
      <w:r>
        <w:rPr>
          <w:rFonts w:ascii="Times New Roman;Times;Serif" w:hAnsi="Times New Roman;Times;Serif"/>
          <w:b w:val="false"/>
          <w:i w:val="false"/>
          <w:caps w:val="false"/>
          <w:smallCaps w:val="false"/>
          <w:sz w:val="20"/>
          <w:u w:val="single"/>
        </w:rPr>
        <w:t>IIA</w:t>
      </w:r>
      <w:r>
        <w:rPr>
          <w:rFonts w:ascii="Times New Roman;Times;Serif" w:hAnsi="Times New Roman;Times;Serif"/>
          <w:b w:val="false"/>
          <w:i w:val="false"/>
          <w:caps w:val="false"/>
          <w:smallCaps w:val="false"/>
          <w:sz w:val="20"/>
        </w:rPr>
        <w:t>”) in customary form (the “</w:t>
      </w:r>
      <w:r>
        <w:rPr>
          <w:rFonts w:ascii="Times New Roman;Times;Serif" w:hAnsi="Times New Roman;Times;Serif"/>
          <w:b w:val="false"/>
          <w:i w:val="false"/>
          <w:caps w:val="false"/>
          <w:smallCaps w:val="false"/>
          <w:sz w:val="20"/>
          <w:u w:val="single"/>
        </w:rPr>
        <w:t>IIA Undertaking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Purchasers contained herein (unless such representations and warranties are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Purchaser required to be performed hereunder at or prior to the Closing Date shall have been performed;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each Purchaser of the items set forth in Section 2.2(b)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Purchasers hereunder in connection with the Closing are subject to the following conditions being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such representations and warranties are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hereunder at or prior to the Closing Date shall have been performed;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the Company of the items set forth in Section 2.2(a)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been no Material Adverse Effect with respect to the Company since the date hereof; and</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from the date hereof to the Closing Date, trading in the ADSs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after the date of this Agreement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III.</w:t>
      </w:r>
      <w:r>
        <w:rPr>
          <w:rFonts w:ascii="Times New Roman;Times;Serif" w:hAnsi="Times New Roman;Times;Serif"/>
          <w:b w:val="false"/>
          <w:i w:val="false"/>
          <w:caps w:val="false"/>
          <w:smallCaps w:val="false"/>
          <w:sz w:val="20"/>
        </w:rPr>
        <w:br/>
        <w:t>REPRESENTATIONS AND WARRANTIES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if applicable under the laws of the jurisdiction in which they are formed, in good standing under the laws of the jurisdiction of its incorporation or organization (if the concept of good standing exists in such jurisdiction), with the requisite power and authority to own and use its properties and assets and to carry on its business as currently conducted. Neither the Company nor any Subsidiary is in violation nor default of any of the provisions of its respective certificate or articles of association or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and no Proceeding has been instituted in any such jurisdiction revoking, limiting or curtailing or seeking to revoke, limit or curtail such power and authority or qualification.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association or incorporation, bylaws or other organizational or charter documents, or (ii) subject to the Required Approvals,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(including that the Company is not required to publish a prospectus in the State of Israel under the laws of the State of Israel with respect to the offer or sale of the Securities, assuming that the Placement Agent has not offered the Securities in Israel other than to Qualified Israeli Investors and that each Purchaser that is in the State of Israel is a Qualified Israeli Investor),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(including that the Company is not required to publish a prospectus in the State of Israel under the laws of the State of Israel with respect to the offer or sale of the Securities, assuming that the Placement Agent has not offered the Securities in Israel other than to Qualified Israeli Investors and that each Purchaser that is in the State of Israel is a Qualified Israeli Investor), other than: (i) the filings required pursuant to Section 4.4 of this Agreement, (ii) the filing with the Commission of the Prospectus Supplement, (iii) application(s) to and approvals by each applicable Trading Market for the listing of the Shares and Warrant Shares for trading thereon in the time and manner required thereby, (iv) the approval of the Tel Aviv Stock Exchange for the listing of the Ordinary Shares underlying the Securities for trading thereon, (v) such filings as are required to be made under applicable Israeli and state securities laws, and (vi) the submission of a written notice to the IIA, together with the executed IIA Undertaking(s) to be delivered by any applicable Purchaser at Closing, which notice may be submitted to the IIA following the Closing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Issuance of the Securities; Registration</w:t>
      </w:r>
      <w:r>
        <w:rPr>
          <w:rFonts w:ascii="Times New Roman;Times;Serif" w:hAnsi="Times New Roman;Times;Serif"/>
          <w:b w:val="false"/>
          <w:i w:val="false"/>
          <w:caps w:val="false"/>
          <w:smallCaps w:val="false"/>
          <w:sz w:val="20"/>
        </w:rPr>
        <w:t>. The Securities are duly authorized and, when issued and paid for in accordance with the applicable Transaction Documents, will be duly and validly issued, fully paid and nonassessable, free and clear of all Liens imposed by the Company. The Warrants are duly authorized and, when issued in accordance with this Agreement, will be duly and validly issued, free and clear of all Liens imposed by the Company. The Company has reserved from its duly authorized share capital the maximum number of Ordinary Shares issuable pursuant to this Agreement and the Warrants. The Company has prepared and filed the Registration Statement in conformity in all material respects with the requirements of the Securities Act, which became effective on January 5, 2024, including the Prospectus, and such amendments and supplements thereto as may have been required to the date of this Agreement. The Company is eligible to use Form F-3 under the Securities Act and it meets the transaction requirements with respect to the aggregate market value of securities being sold pursuant to this offering and during the twelve (12) calendar months prior to this offering, as set forth in General Instruction I.B.5 of Form F-3. The Company and the Depositary have prepared and filed with the Commission a registration statement relating to ADSs on Form F-6 (File No. 333-175360) for registration under the Securities Act (the “</w:t>
      </w:r>
      <w:r>
        <w:rPr>
          <w:rFonts w:ascii="Times New Roman;Times;Serif" w:hAnsi="Times New Roman;Times;Serif"/>
          <w:b w:val="false"/>
          <w:i w:val="false"/>
          <w:caps w:val="false"/>
          <w:smallCaps w:val="false"/>
          <w:sz w:val="20"/>
          <w:u w:val="single"/>
        </w:rPr>
        <w:t>ADS Registration Statement</w:t>
      </w:r>
      <w:r>
        <w:rPr>
          <w:rFonts w:ascii="Times New Roman;Times;Serif" w:hAnsi="Times New Roman;Times;Serif"/>
          <w:b w:val="false"/>
          <w:i w:val="false"/>
          <w:caps w:val="false"/>
          <w:smallCaps w:val="false"/>
          <w:sz w:val="20"/>
        </w:rPr>
        <w:t>”) which is effective as of the date hereof. The Registration Statement and the ADS Registration Statement are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ADS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The capitalization of the Company as of the date hereof is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the Company has not issued any share capital since its most recently filed periodic report under the Exchange Act, other than pursuant to the exercise of options and vesting of restricted share units and performance share units under the Company’s stock option and equity-based incentive plans, the award of options, restricted share units and performance share units under the Company’s stock option and equity-incentive plans, the issuance of Ordinary Shares to employees pursuant to the Company’s employee stock purchase plans, the issuance of Ordinary Shares pursuant to the conversion and/or exercise and/or vesting of Ordinary Share Equivalents outstanding as of the date of the most recently filed periodic report under the Exchange Act and the issuance of ADSs under the Company’s “at-the-market” equity offering program. [No Person has any right of first refusal, preemptive right, right of participation, or any similar right to participate in the transactions contemplated by the Transaction Documents. Except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and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ADSs, Ordinary Shares, or contracts, commitments, understandings or arrangements by which the Company or any Subsidiary is or may become bound to issue additional ADSs, Ordinary Shares or Ordinary Share Equivalents. The issuance and sale of the Securities will not obligate the Company or any Subsidiary to issue ADSs or Ordinary Shares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shareholder, the Board of Directors or committee thereof is required for the issuance and sale of the Securities. Except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there are no shareholders agreements, voting agreements or other similar agreements with respect to the Company’s capital stock to which the Company is a party or, to the knowledge of the Company, between or among any of the Company’s shareholders.</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International Financial Reporting Standards (“</w:t>
      </w:r>
      <w:r>
        <w:rPr>
          <w:rFonts w:ascii="Times New Roman;Times;Serif" w:hAnsi="Times New Roman;Times;Serif"/>
          <w:b w:val="false"/>
          <w:i w:val="false"/>
          <w:caps w:val="false"/>
          <w:smallCaps w:val="false"/>
          <w:sz w:val="20"/>
          <w:u w:val="single"/>
        </w:rPr>
        <w:t>IFRS</w:t>
      </w:r>
      <w:r>
        <w:rPr>
          <w:rFonts w:ascii="Times New Roman;Times;Serif" w:hAnsi="Times New Roman;Times;Serif"/>
          <w:b w:val="false"/>
          <w:i w:val="false"/>
          <w:caps w:val="false"/>
          <w:smallCaps w:val="false"/>
          <w:sz w:val="20"/>
        </w:rPr>
        <w:t>”) applied on a consistent basis during the periods involved, except as may be otherwise specified in such financial statements or the notes thereto and except that unaudited financial statements may not contain all footnotes required by IFRS,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xml:space="preserve">. Since the date of the latest audited financial statements included within the SEC Reports, except as set forth on </w:t>
      </w:r>
      <w:r>
        <w:rPr>
          <w:rFonts w:ascii="Times New Roman;Times;Serif" w:hAnsi="Times New Roman;Times;Serif"/>
          <w:b w:val="false"/>
          <w:i w:val="false"/>
          <w:caps w:val="false"/>
          <w:smallCaps w:val="false"/>
          <w:sz w:val="20"/>
          <w:u w:val="single"/>
        </w:rPr>
        <w:t>Schedule 3.1(i)</w:t>
      </w:r>
      <w:r>
        <w:rPr>
          <w:rFonts w:ascii="Times New Roman;Times;Serif" w:hAnsi="Times New Roman;Times;Serif"/>
          <w:b w:val="false"/>
          <w:i w:val="false"/>
          <w:caps w:val="false"/>
          <w:smallCaps w:val="false"/>
          <w:sz w:val="20"/>
        </w:rPr>
        <w:t xml:space="preserve">, (i) there has been no event, occurrence or development that has had or that could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IFRS or disclosed in the SEC Reports, (iii) the Company has not altered its method of accounting, (iv) the Company has not declared or made any dividend or distribution of cash or other property to its shareholders or purchased, redeemed or made any agreements to purchase or redeem any shares of its capital stock and (v) the Company has not issued any equity securities to any officer, director or Affiliate, except pursuant to existing Company stock option and share incentive plans. The Company does not have pending before the Commission any request for confidential treatment of information. Except for the issuance of the Securities contemplated by this Agreement or as set forth on </w:t>
      </w:r>
      <w:r>
        <w:rPr>
          <w:rFonts w:ascii="Times New Roman;Times;Serif" w:hAnsi="Times New Roman;Times;Serif"/>
          <w:b w:val="false"/>
          <w:i w:val="false"/>
          <w:caps w:val="false"/>
          <w:smallCaps w:val="false"/>
          <w:sz w:val="20"/>
          <w:u w:val="single"/>
        </w:rPr>
        <w:t>Schedule 3.1(i)</w:t>
      </w:r>
      <w:r>
        <w:rPr>
          <w:rFonts w:ascii="Times New Roman;Times;Serif" w:hAnsi="Times New Roman;Times;Serif"/>
          <w:b w:val="false"/>
          <w:i w:val="false"/>
          <w:caps w:val="false"/>
          <w:smallCaps w:val="false"/>
          <w:sz w:val="20"/>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3.1(j)</w:t>
      </w:r>
      <w:r>
        <w:rPr>
          <w:rFonts w:ascii="Times New Roman;Times;Serif" w:hAnsi="Times New Roman;Times;Serif"/>
          <w:b w:val="false"/>
          <w:i w:val="false"/>
          <w:caps w:val="false"/>
          <w:smallCaps w:val="false"/>
          <w:sz w:val="20"/>
        </w:rPr>
        <w:t>, there is no action, suit, inquiry, notice of violation, proceeding or, to the knowledge of the Company,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xml:space="preserve">”) which (i) adversely affects or challenges the legality, validity or enforceability of any of the Transaction Documents or the Securities or (ii) could, if there were an unfavorable decision, have or reasonably be expected to result in a Material Adverse Effect. Except as set forth on </w:t>
      </w:r>
      <w:r>
        <w:rPr>
          <w:rFonts w:ascii="Times New Roman;Times;Serif" w:hAnsi="Times New Roman;Times;Serif"/>
          <w:b w:val="false"/>
          <w:i w:val="false"/>
          <w:caps w:val="false"/>
          <w:smallCaps w:val="false"/>
          <w:sz w:val="20"/>
          <w:u w:val="single"/>
        </w:rPr>
        <w:t>Schedule 3.1(j)</w:t>
      </w:r>
      <w:r>
        <w:rPr>
          <w:rFonts w:ascii="Times New Roman;Times;Serif" w:hAnsi="Times New Roman;Times;Serif"/>
          <w:b w:val="false"/>
          <w:i w:val="false"/>
          <w:caps w:val="false"/>
          <w:smallCaps w:val="false"/>
          <w:sz w:val="20"/>
        </w:rPr>
        <w:t>, neither the Company nor any Subsidiary, nor any director or officer thereof in such capacity,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in such a capacity.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to the knowledge of the Company,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of (i), (ii) and (iii) as could not have or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or have valid and marketable rights to lease or otherwise use all real property that is described on the SEC Reports and good and marketable title in or have valid and marketable rights to lease or otherwise use all personal property owned by them that is material to the business of the Company and the Subsidiaries, in each case free and clear of all Liens, except for (i) Liens as do not materially affect the value of such property and do not materially interfere with the use made and currently proposed to be made of such property by the Company and the Subsidiaries and (ii) Liens for the payment of Israeli, federal, state or other taxes, for which appropriate reserves have been made therefor in accordance with IFRS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or can acquire on reasonable terms,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or have the right to use, or acquire could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as described in the SEC Reports. Neither the Company nor any Subsidiary has any reason to believe that it will not be able to renew its existing insurance coverage as and when such coverage expires or to obtain similar coverage from similar insurers as may be necessary to continue its business at a cost that would not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3.1(r)</w:t>
      </w:r>
      <w:r>
        <w:rPr>
          <w:rFonts w:ascii="Times New Roman;Times;Serif" w:hAnsi="Times New Roman;Times;Serif"/>
          <w:b w:val="false"/>
          <w:i w:val="false"/>
          <w:caps w:val="false"/>
          <w:smallCaps w:val="false"/>
          <w:sz w:val="20"/>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and (iii) other employee benefits, including stock option, restricted share unit, performance share unit and other equity-based compensation agreements under any stock option and equity-based incentive plans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The Company and the Subsidiaries are in compliance in all material respects with any and all applicable requirements of the Sarbanes-Oxley Act of 2002 that are effective as of the date hereof and as of the Closing Date,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material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Form 20-F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Form 20-F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xml:space="preserve">. Except for fees payable by the Company to the Placement Agent, and except as set forth on </w:t>
      </w:r>
      <w:r>
        <w:rPr>
          <w:rFonts w:ascii="Times New Roman;Times;Serif" w:hAnsi="Times New Roman;Times;Serif"/>
          <w:b w:val="false"/>
          <w:i w:val="false"/>
          <w:caps w:val="false"/>
          <w:smallCaps w:val="false"/>
          <w:sz w:val="20"/>
          <w:u w:val="single"/>
        </w:rPr>
        <w:t>Schedule 3.1(t)</w:t>
      </w:r>
      <w:r>
        <w:rPr>
          <w:rFonts w:ascii="Times New Roman;Times;Serif" w:hAnsi="Times New Roman;Times;Serif"/>
          <w:b w:val="false"/>
          <w:i w:val="false"/>
          <w:caps w:val="false"/>
          <w:smallCaps w:val="false"/>
          <w:sz w:val="20"/>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Other than persons engaged by the Purchasers, if any,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No Person has any right to cause the Company or any Subsidiary to effect the registration under the Securities Act of any securities of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ADSs are registered pursuant to Section 12(b) or 12(g) of the Exchange Act, and the Company has taken no action designed to, or which to its knowledge is likely to have the effect of, terminating the registration of the ADSs under the Exchange Act nor has the Company received any notification that the Commission is contemplating terminating such registration. The Company has not, in the 12 months preceding the date hereof, received notice from any Trading Market on which the ADSs or Ordinary Shares are or have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ADSs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subject to and to the extent permitted under applicable law,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Purchasers’ representations and warranties set forth in Section 3.2, neither the Company, nor, to the knowledge of the Company,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Times New Roman;Times;Serif" w:hAnsi="Times New Roman;Times;Serif"/>
          <w:b w:val="false"/>
          <w:i w:val="false"/>
          <w:caps w:val="false"/>
          <w:smallCaps w:val="false"/>
          <w:sz w:val="20"/>
          <w:u w:val="single"/>
        </w:rPr>
        <w:t>Schedule 3.1(aa)</w:t>
      </w:r>
      <w:r>
        <w:rPr>
          <w:rFonts w:ascii="Times New Roman;Times;Serif" w:hAnsi="Times New Roman;Times;Serif"/>
          <w:b w:val="false"/>
          <w:i w:val="false"/>
          <w:caps w:val="false"/>
          <w:smallCaps w:val="false"/>
          <w:sz w:val="20"/>
        </w:rPr>
        <w:t xml:space="preserve"> sets forth as of the date hereof all outstanding secured and unsecured Indebtedness of the Company or any Subsidiary, or for which the Company or any Subsidiary has commitments. For the purposes of this Agreement,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by the Company in excess of $100,000 (other than trade accounts payable incurred in the ordinary course of business), (y) all guaranties, endorsements and other contingent obligations in respect of indebtedness of others to third parties,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$100,000 due under leases required to be capitalized in accordance with IFRS. Neither the Company nor any Subsidiary is in default with respect to any Indebtedness.</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except for such taxes, if any, as are being contested in good faith and as to which adequate reserves have been established by the Company in accordance with IFRS and (iii) has set aside on its books adequate reserves for unpaid taxes in accordance with IFRS.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independent registered public accounting firm is as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Acknowledgment Regarding Purchasers’ Purchase of Securities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and/or ADSs,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As to each product subject to the jurisdiction of the U.S. Food and Drug Administration (“</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under the Federal Food, Drug and Cosmetic Act, as amended, and the regulations thereunder (“</w:t>
      </w:r>
      <w:r>
        <w:rPr>
          <w:rFonts w:ascii="Times New Roman;Times;Serif" w:hAnsi="Times New Roman;Times;Serif"/>
          <w:b w:val="false"/>
          <w:i w:val="false"/>
          <w:caps w:val="false"/>
          <w:smallCaps w:val="false"/>
          <w:sz w:val="20"/>
          <w:u w:val="single"/>
        </w:rPr>
        <w:t>FDCA</w:t>
      </w:r>
      <w:r>
        <w:rPr>
          <w:rFonts w:ascii="Times New Roman;Times;Serif" w:hAnsi="Times New Roman;Times;Serif"/>
          <w:b w:val="false"/>
          <w:i w:val="false"/>
          <w:caps w:val="false"/>
          <w:smallCaps w:val="false"/>
          <w:sz w:val="20"/>
        </w:rPr>
        <w:t>”) that is manufactured, packaged, labeled, tested, distributed, sold, and/or marketed by the Company or any of its Subsidiaries (each such product, a “</w:t>
      </w:r>
      <w:r>
        <w:rPr>
          <w:rFonts w:ascii="Times New Roman;Times;Serif" w:hAnsi="Times New Roman;Times;Serif"/>
          <w:b w:val="false"/>
          <w:i w:val="false"/>
          <w:caps w:val="false"/>
          <w:smallCaps w:val="false"/>
          <w:sz w:val="20"/>
          <w:u w:val="single"/>
        </w:rPr>
        <w:t>Pharmaceutical Product</w:t>
      </w:r>
      <w:r>
        <w:rPr>
          <w:rFonts w:ascii="Times New Roman;Times;Serif" w:hAnsi="Times New Roman;Times;Serif"/>
          <w:b w:val="false"/>
          <w:i w:val="false"/>
          <w:caps w:val="false"/>
          <w:smallCaps w:val="false"/>
          <w:sz w:val="20"/>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The FDA has not expressed any concern as to approving or clearing for marketing any product being developed or proposed to be developed by the Company which would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(i) To the knowledge of the Company, there (x)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and (y) the Company and the Subsidiaries have not been notified of, and has no knowledge of any event or condition that would reasonably be expected to result in, any security breach or other compromise to its IT Systems and Data, in each case, except as would not, individually or in the aggregate, have a Material Adverse Effect;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 Except as would not, individually or in the aggregate, have a Material Adverse Effect, (i) the Company and the Subsidiaries are, and at all times during the last three (3) years were, in material compliance with all applicable state, federal and foreign data privacy and security laws and regulations, including, without limitation, the European Union General Data Protection Regulation (“</w:t>
      </w:r>
      <w:r>
        <w:rPr>
          <w:rFonts w:ascii="Times New Roman;Times;Serif" w:hAnsi="Times New Roman;Times;Serif"/>
          <w:b w:val="false"/>
          <w:i w:val="false"/>
          <w:caps w:val="false"/>
          <w:smallCaps w:val="false"/>
          <w:sz w:val="20"/>
          <w:u w:val="single"/>
        </w:rPr>
        <w:t>GDPR</w:t>
      </w:r>
      <w:r>
        <w:rPr>
          <w:rFonts w:ascii="Times New Roman;Times;Serif" w:hAnsi="Times New Roman;Times;Serif"/>
          <w:b w:val="false"/>
          <w:i w:val="false"/>
          <w:caps w:val="false"/>
          <w:smallCaps w:val="false"/>
          <w:sz w:val="20"/>
        </w:rPr>
        <w:t>”) (EU 2016/679) (collectively, “</w:t>
      </w:r>
      <w:r>
        <w:rPr>
          <w:rFonts w:ascii="Times New Roman;Times;Serif" w:hAnsi="Times New Roman;Times;Serif"/>
          <w:b w:val="false"/>
          <w:i w:val="false"/>
          <w:caps w:val="false"/>
          <w:smallCaps w:val="false"/>
          <w:sz w:val="20"/>
          <w:u w:val="single"/>
        </w:rPr>
        <w:t>Privacy Laws</w:t>
      </w:r>
      <w:r>
        <w:rPr>
          <w:rFonts w:ascii="Times New Roman;Times;Serif" w:hAnsi="Times New Roman;Times;Serif"/>
          <w:b w:val="false"/>
          <w:i w:val="false"/>
          <w:caps w:val="false"/>
          <w:smallCaps w:val="false"/>
          <w:sz w:val="20"/>
        </w:rPr>
        <w:t>”); (ii) the Company and the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(as defined below) (the “</w:t>
      </w:r>
      <w:r>
        <w:rPr>
          <w:rFonts w:ascii="Times New Roman;Times;Serif" w:hAnsi="Times New Roman;Times;Serif"/>
          <w:b w:val="false"/>
          <w:i w:val="false"/>
          <w:caps w:val="false"/>
          <w:smallCaps w:val="false"/>
          <w:sz w:val="20"/>
          <w:u w:val="single"/>
        </w:rPr>
        <w:t>Policies</w:t>
      </w:r>
      <w:r>
        <w:rPr>
          <w:rFonts w:ascii="Times New Roman;Times;Serif" w:hAnsi="Times New Roman;Times;Serif"/>
          <w:b w:val="false"/>
          <w:i w:val="false"/>
          <w:caps w:val="false"/>
          <w:smallCaps w:val="false"/>
          <w:sz w:val="20"/>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Except as would not, individually or in the aggregate, have a Material Adverse Effect, (i) none of such disclosures made or contained in any of the Policies have, to the knowledge of the Company, been inaccurate, misleading, or deceptive in violation of any Privacy Laws in any material respect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material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Purchaser’s reasonable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Neither the Company nor any Person acting on behalf of the Company (other than the Placement Agent, as to whom the Company makes no representation) has offered or sold any of the Ordinary Warrants or Ordinary Warrant Shares by any form of general solicitation or general advertising. The Company has offered the Ordinary Warrants and Ordinary Warrant Shares for sale only to the Purchasers and certain other “qualified institutional buyers” within the meaning of Rule 144A under the Securities Act and institutional “accredited investors” within the meaning of Rule 501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val="false"/>
          <w:caps w:val="false"/>
          <w:smallCaps w:val="false"/>
          <w:sz w:val="20"/>
          <w:u w:val="single"/>
        </w:rPr>
        <w:t>No Issuer Disqualification Events</w:t>
      </w:r>
      <w:r>
        <w:rPr>
          <w:rFonts w:ascii="Times New Roman;Times;Serif" w:hAnsi="Times New Roman;Times;Serif"/>
          <w:b w:val="false"/>
          <w:i w:val="false"/>
          <w:caps w:val="false"/>
          <w:smallCaps w:val="false"/>
          <w:sz w:val="20"/>
        </w:rPr>
        <w:t>. With respect to the Ordinary Warrants and the Ordinary Warrant Shares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“Issuer Covered Person”) is subject to any of the “Bad Actor” disqualifications described in Rule 506(d)(1)(i) to (viii) under the Securities Act (an “</w:t>
      </w:r>
      <w:r>
        <w:rPr>
          <w:rFonts w:ascii="Times New Roman;Times;Serif" w:hAnsi="Times New Roman;Times;Serif"/>
          <w:b w:val="false"/>
          <w:i w:val="false"/>
          <w:caps w:val="false"/>
          <w:smallCaps w:val="false"/>
          <w:sz w:val="20"/>
          <w:u w:val="single"/>
        </w:rPr>
        <w:t>Issuer Disqualification Event</w:t>
      </w:r>
      <w:r>
        <w:rPr>
          <w:rFonts w:ascii="Times New Roman;Times;Serif" w:hAnsi="Times New Roman;Times;Serif"/>
          <w:b w:val="false"/>
          <w:i w:val="false"/>
          <w:caps w:val="false"/>
          <w:smallCaps w:val="false"/>
          <w:sz w:val="20"/>
        </w:rPr>
        <w:t>”), except for an Issuer Disqualification Event covered by Rule 506(d)(2) or (d)(3). The Company has exercised reasonable care to determine whether any Issuer Covered Person is subject to an Issuer Disqualification Event. The Company has complied, to the extent applicable, with its disclosure obligations under Rule 506(e), and has furnished to each Purchaser a copy of any disclosures provided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val="false"/>
          <w:caps w:val="false"/>
          <w:smallCaps w:val="false"/>
          <w:sz w:val="20"/>
          <w:u w:val="single"/>
        </w:rPr>
        <w:t>Notice of Issuer Disqualification Events</w:t>
      </w:r>
      <w:r>
        <w:rPr>
          <w:rFonts w:ascii="Times New Roman;Times;Serif" w:hAnsi="Times New Roman;Times;Serif"/>
          <w:b w:val="false"/>
          <w:i w:val="false"/>
          <w:caps w:val="false"/>
          <w:smallCaps w:val="false"/>
          <w:sz w:val="20"/>
        </w:rPr>
        <w:t>. The Company will notify the Purchasers in writing, prior to the Closing Date of (i) any Issuer Disqualification Event relating to any Issuer Covered Person and (ii) any event that would, with the passage of time, reasonably be expected to become a Disqualification Event relating to any Issuer Covered Person, in each case of which it is 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Assuming the accuracy of the Purchaser’s representations and warranties set forth in Section ‎3.2, no registration under the Securities Act is required for the offer and sale of the Ordinary Warrants and the Ordinary Warrant Shares by the Company to the Purchaser as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 natural person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Understandings or Arrangements</w:t>
      </w:r>
      <w:r>
        <w:rPr>
          <w:rFonts w:ascii="Times New Roman;Times;Serif" w:hAnsi="Times New Roman;Times;Serif"/>
          <w:b w:val="false"/>
          <w:i w:val="false"/>
          <w:caps w:val="false"/>
          <w:smallCaps w:val="false"/>
          <w:sz w:val="20"/>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understands that no action has or will be taken in Israel that would permit the offering of the Securities or the distribution of any prospectus or other offering document to the public in Israel, and that the Securities were and are issued in Israel pursuant to an exemption from the prospectus requirements under the Securities Law and are therefore subject to the resale restrictions under the Securities Law.</w:t>
      </w:r>
    </w:p>
    <w:p>
      <w:pPr>
        <w:pStyle w:val="TextBody"/>
        <w:bidi w:val="0"/>
        <w:spacing w:before="0" w:after="0"/>
        <w:ind w:left="0" w:right="0" w:firstLine="1020"/>
        <w:jc w:val="both"/>
        <w:rPr>
          <w:caps w:val="false"/>
          <w:smallCaps w:val="false"/>
        </w:rPr>
      </w:pPr>
      <w:r>
        <w:rPr>
          <w:caps w:val="false"/>
          <w:smallCaps w:val="false"/>
        </w:rPr>
        <w:t> </w:t>
      </w:r>
    </w:p>
    <w:p>
      <w:pPr>
        <w:pStyle w:val="TextBody"/>
        <w:bidi w:val="0"/>
        <w:spacing w:before="0" w:after="0"/>
        <w:ind w:left="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such Purchaser was offered the Securities, it was, and as of the date hereof it is, and on each date on which it exercises any Warrants, it will be either (i) an “accredited investor” as defined in Rule 501(a)(1), (a)(2), (a)(3), (a)(7), (a)(8), (a)(9), (a)(12) or (a)(13) under the Securities Act; (ii) a “qualified institutional buyer” as defined in Rule 144A(a) under the Securities Act; (iii) if the Purchaser is located in the State of Israel, (A) a Qualified Israeli Investor, purchasing for itself, or where permitted under the First Addendum to the Securities Law, for the accounts of its clients who are Qualified Israeli Investors, and undertakes to provide the Company with appropriate documentation to such effect, as required under applicable Israeli law; and (B) located outside the United States and not a “U.S. Person” as defined in Rule 902 under the Securities Act, or (iv) if the Purchaser is located in another non-U.S. jurisdiction, located outside the United States and not a “U.S. Person” as defined in Rule 902 under the Securities Act. Such Purchaser undertakes that it will provide the Company with appropriate documentation to such effect, as required under applicable Israeli or other relevant law and regulation.</w:t>
      </w:r>
    </w:p>
    <w:p>
      <w:pPr>
        <w:pStyle w:val="TextBody"/>
        <w:bidi w:val="0"/>
        <w:spacing w:before="0" w:after="0"/>
        <w:ind w:left="0" w:right="0" w:firstLine="1020"/>
        <w:jc w:val="both"/>
        <w:rPr>
          <w:caps w:val="false"/>
          <w:smallCaps w:val="false"/>
        </w:rPr>
      </w:pPr>
      <w:r>
        <w:rPr>
          <w:caps w:val="false"/>
          <w:smallCaps w:val="false"/>
        </w:rPr>
        <w:t> </w:t>
      </w:r>
    </w:p>
    <w:p>
      <w:pPr>
        <w:pStyle w:val="TextBody"/>
        <w:bidi w:val="0"/>
        <w:spacing w:before="0" w:after="0"/>
        <w:ind w:left="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his, her or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0"/>
        <w:ind w:left="0" w:right="0" w:firstLine="1020"/>
        <w:jc w:val="both"/>
        <w:rPr>
          <w:caps w:val="false"/>
          <w:smallCaps w:val="false"/>
        </w:rPr>
      </w:pPr>
      <w:r>
        <w:rPr>
          <w:caps w:val="false"/>
          <w:smallCaps w:val="false"/>
        </w:rPr>
        <w:t> </w:t>
      </w:r>
    </w:p>
    <w:p>
      <w:pPr>
        <w:pStyle w:val="TextBody"/>
        <w:bidi w:val="0"/>
        <w:spacing w:before="0" w:after="0"/>
        <w:ind w:left="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pStyle w:val="TextBody"/>
        <w:bidi w:val="0"/>
        <w:spacing w:before="0" w:after="0"/>
        <w:ind w:left="0" w:right="0" w:firstLine="1020"/>
        <w:jc w:val="both"/>
        <w:rPr>
          <w:caps w:val="false"/>
          <w:smallCaps w:val="false"/>
        </w:rPr>
      </w:pPr>
      <w:r>
        <w:rPr>
          <w:caps w:val="false"/>
          <w:smallCaps w:val="false"/>
        </w:rPr>
        <w:t> </w:t>
      </w:r>
    </w:p>
    <w:p>
      <w:pPr>
        <w:pStyle w:val="TextBody"/>
        <w:bidi w:val="0"/>
        <w:spacing w:before="0" w:after="0"/>
        <w:ind w:left="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 </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of the Company contained in any other Transaction Document or any other document or instrument executed and/or delivered by the Company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IV.</w:t>
      </w:r>
      <w:r>
        <w:rPr>
          <w:rFonts w:ascii="Times New Roman;Times;Serif" w:hAnsi="Times New Roman;Times;Serif"/>
          <w:b w:val="false"/>
          <w:i w:val="false"/>
          <w:caps w:val="false"/>
          <w:smallCaps w:val="false"/>
          <w:sz w:val="20"/>
        </w:rPr>
        <w:br/>
        <w:t>OTHER AGREEMENTS OF THE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5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Shares and Pre-Funded Warrants will be issued free of legends.</w:t>
      </w:r>
    </w:p>
    <w:p>
      <w:pPr>
        <w:pStyle w:val="TextBody"/>
        <w:bidi w:val="0"/>
        <w:spacing w:before="0" w:after="0"/>
        <w:ind w:left="450" w:right="0" w:firstLine="990"/>
        <w:jc w:val="both"/>
        <w:rPr>
          <w:caps w:val="false"/>
          <w:smallCaps w:val="false"/>
        </w:rPr>
      </w:pPr>
      <w:r>
        <w:rPr>
          <w:caps w:val="false"/>
          <w:smallCaps w:val="false"/>
        </w:rPr>
        <w:t> </w:t>
      </w:r>
    </w:p>
    <w:p>
      <w:pPr>
        <w:pStyle w:val="TextBody"/>
        <w:bidi w:val="0"/>
        <w:spacing w:before="0" w:after="0"/>
        <w:ind w:left="45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Securities may only be disposed of in compliance with state and federal securities laws. In connection with any transfer of Ordinary Warrants and issuance or transfer of Ordinary Warrant Shares other than pursuant to an effective registration statement or Rule 144, to the Company or to an Affiliate of a Purchaser or in connection with a pledge as contemplated in Section 4.1(d),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Ordinary Warrant or Ordinary Warrant Shares under the Securities Act.</w:t>
      </w:r>
    </w:p>
    <w:p>
      <w:pPr>
        <w:pStyle w:val="TextBody"/>
        <w:bidi w:val="0"/>
        <w:spacing w:before="0" w:after="0"/>
        <w:ind w:left="450" w:right="0" w:firstLine="990"/>
        <w:jc w:val="both"/>
        <w:rPr>
          <w:caps w:val="false"/>
          <w:smallCaps w:val="false"/>
        </w:rPr>
      </w:pPr>
      <w:r>
        <w:rPr>
          <w:caps w:val="false"/>
          <w:smallCaps w:val="false"/>
        </w:rPr>
        <w:t> </w:t>
      </w:r>
    </w:p>
    <w:p>
      <w:pPr>
        <w:pStyle w:val="TextBody"/>
        <w:bidi w:val="0"/>
        <w:spacing w:before="0" w:after="0"/>
        <w:ind w:left="45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Purchasers agree, so long as is required by this Section 4.1, to the imprinting of a legend on, or the book-entry registrations bearing a legend for, any of the Ordinary Warrants and Ordinary Warrant Shares substantially in the following form:</w:t>
      </w:r>
    </w:p>
    <w:p>
      <w:pPr>
        <w:pStyle w:val="TextBody"/>
        <w:bidi w:val="0"/>
        <w:spacing w:before="0" w:after="0"/>
        <w:ind w:left="450" w:right="0" w:firstLine="990"/>
        <w:jc w:val="both"/>
        <w:rPr>
          <w:caps w:val="false"/>
          <w:smallCaps w:val="false"/>
        </w:rPr>
      </w:pPr>
      <w:r>
        <w:rPr>
          <w:caps w:val="false"/>
          <w:smallCaps w:val="false"/>
        </w:rPr>
        <w:t> </w:t>
      </w:r>
    </w:p>
    <w:p>
      <w:pPr>
        <w:pStyle w:val="TextBody"/>
        <w:bidi w:val="0"/>
        <w:spacing w:before="0" w:after="0"/>
        <w:ind w:left="45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 DEALER OR OTHER LOAN WITH A FINANCIAL INSTITUTION THAT IS AN “ACCREDITED INVESTOR” AS DEFINED IN RULE 501(a) UNDER THE SECURITIES ACT OR OTHER LOAN SECURED BY SUCH SECURITIES. </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5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a Purchaser may from time to time pledge pursuant to a bona fide margin agreement with a registered broker-dealer or grant a security interest in some or all of the Ordinary Warrants and Ordinary Warrant Shares to a financial institution that is an “accredited investor” as defined in Rule 501(a) of Regulation D under the Securities Act and, if required under the terms of such arrangement, such Purchaser may transfer pledged or secured Ordinary Warrants and Ordinary Warrant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Ordinary Warrants and Ordinary Warrant Shares may reasonably request in connection with a pledge or transfer of the Securities, including, if the Ordinary Warrants and Ordinary Warrant Shares are subject to registration pursuant to this Agreement, the preparation and filing of any required prospectus supplement under Rule 424(b)(3) under the Securities Act or other applicable provision of the Securities Act to appropriately amend the list of selling shareholders thereunder.</w:t>
      </w:r>
    </w:p>
    <w:p>
      <w:pPr>
        <w:pStyle w:val="TextBody"/>
        <w:bidi w:val="0"/>
        <w:spacing w:before="0" w:after="0"/>
        <w:ind w:left="450" w:right="0" w:firstLine="990"/>
        <w:jc w:val="both"/>
        <w:rPr>
          <w:caps w:val="false"/>
          <w:smallCaps w:val="false"/>
        </w:rPr>
      </w:pPr>
      <w:r>
        <w:rPr>
          <w:caps w:val="false"/>
          <w:smallCaps w:val="false"/>
        </w:rPr>
        <w:t> </w:t>
      </w:r>
    </w:p>
    <w:p>
      <w:pPr>
        <w:pStyle w:val="TextBody"/>
        <w:bidi w:val="0"/>
        <w:spacing w:before="0" w:after="0"/>
        <w:ind w:left="45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Book-entry registrations for the Securities shall not contain any legend (including the legend set forth in Section 4.1(b) hereof), (i) while a registration statement (including the Registration Statement) covering the resale of such Securities is effective under the Securities Act, (ii) following any sale of such Securities pursuant to Rule 144 and the Company is then in compliance with the current public information required under Rule 144, (iii) if such Securities are eligible for sale under Rule 144, without the requirement for the Company to be in compliance with the current public information required under Rule 144 as to such Securities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Depositary or the Purchaser promptly after the Effective Date if required by the Depositary to effect the removal of the legend hereunder, or if requested by a Purchaser, respectively The Company agrees that following the Effective Date or at such time as such legend is no longer required under this Section 4.1(c), it will, no later than (i) two (2) Trading Days and (ii) the number of Trading Days comprising the Standard Settlement Period (as defined below) following the delivery by a Purchaser to the Company or the Depositary of a written request by the Purchaser to the Company or the Depositary (“Request Notice”) (such date, the “Legend Removal Date”), and provided that the Purchaser delivered a letter of representation as the Company’s counsel may reasonably request on the date of the Request Notice, deliver or cause to be delivered to such Purchaser confirmation that such shares are free from all restrictive and other legends. The Company may not make any notation on its records or give instructions to the Depositary that enlarge the restrictions on transfer set forth in this Section 4.1. Book-entry registrations for Securities subject to legend removal hereunder shall be transmitted by the Depositary to the Purchaser by crediting the account of the Purchaser’s prime broker with The Depository Trust Company as directed by such Purchaser. As used herein, “Standard Settlement Period” means the standard settlement period, expressed in a number of Trading Days, on the Company’s primary Trading Market with respect to the ADSs as in effect on the date of delivery of a certificate representing Securities, as the case may be, issued with a restrictive legend.</w:t>
      </w:r>
    </w:p>
    <w:p>
      <w:pPr>
        <w:pStyle w:val="TextBody"/>
        <w:bidi w:val="0"/>
        <w:spacing w:before="0" w:after="0"/>
        <w:ind w:left="450" w:right="0" w:firstLine="990"/>
        <w:jc w:val="both"/>
        <w:rPr>
          <w:caps w:val="false"/>
          <w:smallCaps w:val="false"/>
        </w:rPr>
      </w:pPr>
      <w:r>
        <w:rPr>
          <w:caps w:val="false"/>
          <w:smallCaps w:val="false"/>
        </w:rPr>
        <w:t> </w:t>
      </w:r>
    </w:p>
    <w:p>
      <w:pPr>
        <w:pStyle w:val="TextBody"/>
        <w:bidi w:val="0"/>
        <w:spacing w:before="0" w:after="0"/>
        <w:ind w:left="45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addition to such Purchaser’s other available remedies, (i) if the Company fails to issue and deliver (or cause to be delivered) to a Purchaser by the Legend Removal Date confirmation that such shares identified in the Request Notice are free from all restrictive and other legends pursuant to Section 4.1(c) above, the Company shall pay to a Purchaser, in cash, as partial liquidated damages and not as a penalty, for each $1,000 of Securities (based on the VWAP of the ADSs on the date such Securities are submitted to the Depositary) delivered for removal of the restrictive legend and subject to Section 4.1(c), $10 per Trading Day (increasing to $20 per Trading Day five (5) Trading Days after such damages have begun to accrue) for each Trading Day after the second Trading Day following the Legend Removal Date (or, if later, four (4) days after the Request Notice date) until such certificate is delivered without a legend and (ii) (A) if the Company fails to issue and deliver (or cause to be delivered) to a Purchaser by the Legend Removal Date confirmation that such ADSs identified in the Request Notice are free from all restrictive and other legends pursuant to Section 4.1(c) above and (B) if after the Legend Removal Date such Purchaser purchases (in an open market transaction or otherwise) ADSs or Ordinary Shares to deliver in satisfaction of a sale by such Purchaser of all or any portion of the number of ADSs or Ordinary Shares, or a sale of a number of ADSs or Ordinary Shares equal to all or any portion of the number of ADSs or Ordinary Shares that such Purchaser anticipated receiving from the Company without any restrictive legend, then, an amount equal to the excess of such Purchaser’s total purchase price (including brokerage commissions and other out-of-pocket expenses, if any) for the ADSs or Ordinary Shares so purchased (including brokerage commissions and other out-of-pocket expenses, if any) (the “Buy-In Price”) over the product of (I) such number of ADS and Ordinary Shares or Warrant ADSs and Warrant Shares that the Company was required to deliver to such Purchaser by the Legend Removal Date multiplied by (II) the lowest closing sale price of the ADSs on any Trading Day during the period commencing on the date of the delivery by such Purchaser to the Company of the applicable Securities and ending on the date of such delivery and payment under this Section 4.1(d) .</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5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book-entry registrations representing Securities as set forth in this Section 4.1 is predicated upon the Company’s reliance upon this understanding.</w:t>
      </w:r>
    </w:p>
    <w:p>
      <w:pPr>
        <w:pStyle w:val="TextBody"/>
        <w:bidi w:val="0"/>
        <w:spacing w:before="0" w:after="0"/>
        <w:ind w:left="450" w:right="0" w:firstLine="9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Furnishing of Information</w:t>
      </w:r>
      <w:r>
        <w:rPr>
          <w:rFonts w:ascii="Times New Roman;Times;Serif" w:hAnsi="Times New Roman;Times;Serif"/>
          <w:b w:val="false"/>
          <w:i w:val="false"/>
          <w:caps w:val="false"/>
          <w:smallCaps w:val="false"/>
          <w:sz w:val="20"/>
        </w:rPr>
        <w:t>. Until no Purchaser owns Securities, the Company covenants to maintain the registration of the ADSs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the Disclosure Time, issue a press release disclosing the material terms of the transactions contemplated hereby, and (b) file a Report on Form 6-K,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 any of their Affiliates on the other hand, shall terminate and be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If all or any portion of a Warrant is exercised at a time when there is an effective registration statement to cover the issuance or resale of the Warrant Shares or if the Warrant is exercised via cashless exercise,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commercially reasonable best efforts to keep a registration statement (including the Registration Statement) registering the issuance or resale of the Warrant Shares effective during the term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the material terms of such notice with the Commission pursuant to a Report on Form 6-K. The Company understands and confirms that each Purchaser shall be relying on the foregoing covenant in effecting transactions in securities of the Company.</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4.7</w:t>
      </w:r>
      <w:r>
        <w:rPr>
          <w:rFonts w:ascii="Times New Roman;Times;Serif" w:hAnsi="Times New Roman;Times;Serif"/>
          <w:b w:val="false"/>
          <w:i w:val="false"/>
          <w:caps w:val="false"/>
          <w:smallCaps w:val="false"/>
          <w:sz w:val="20"/>
        </w:rPr>
        <w:t xml:space="preserve"> attached hereto,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ADSs, Ordinary Shares or Ordinary Share Equivalents, (c) for the settlement of any outstanding litigation or (d) in violation of FCPA or OFAC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Indemnification of Purchasers</w:t>
      </w:r>
      <w:r>
        <w:rPr>
          <w:rFonts w:ascii="Times New Roman;Times;Serif" w:hAnsi="Times New Roman;Times;Serif"/>
          <w:b w:val="false"/>
          <w:i w:val="false"/>
          <w:caps w:val="false"/>
          <w:smallCaps w:val="false"/>
          <w:sz w:val="20"/>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shareholder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shareholder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and documented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or the fraud, gross negligence or willful misconduct of such Purchaser Party as determined by a final, non-appealable judgment of a court of competent jurisdiction.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Reservation of Ordinary Shares</w:t>
      </w:r>
      <w:r>
        <w:rPr>
          <w:rFonts w:ascii="Times New Roman;Times;Serif" w:hAnsi="Times New Roman;Times;Serif"/>
          <w:b w:val="false"/>
          <w:i w:val="false"/>
          <w:caps w:val="false"/>
          <w:smallCaps w:val="false"/>
          <w:sz w:val="20"/>
        </w:rPr>
        <w:t>. As of the date hereof, the Company has reserved and the Company shall continue to reserve and keep available at all times, free of preemptive rights, a sufficient number of Ordinary Shares for the purpose of enabling the Company to issue ADSs and Ordinary Shares pursuant to this Agreement and Warrant Shares pursuant to any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Listing of ADSs</w:t>
      </w:r>
      <w:r>
        <w:rPr>
          <w:rFonts w:ascii="Times New Roman;Times;Serif" w:hAnsi="Times New Roman;Times;Serif"/>
          <w:b w:val="false"/>
          <w:i w:val="false"/>
          <w:caps w:val="false"/>
          <w:smallCaps w:val="false"/>
          <w:sz w:val="20"/>
        </w:rPr>
        <w:t>. The Company hereby agrees to use commercially reasonable best efforts to maintain the listing or quotation of the ADSs, Warrant Shares and Ordinary Shares on each Trading Market on which each is currently listed, and concurrently with the Closing, the Company shall, to the extent required by the applicable Trading Market, apply to list or quote all of the Shares, Warrant Shares and/or ADSs on such Trading Markets and promptly secure the listing of all of the Warrant Shares, ADSs and Shares on such Trading Markets. The Company further agrees, if the Company applies to have the Ordinary Shares or ADSs traded on any other Trading Market, it will then include in such application all of the ADSs, Shares and Warrant Shares, and will take such other action as is necessary to cause all of the ADSs, Shares and Warrant Shares to be listed or quoted on such other Trading Market as promptly as possible. The Company will then take all action reasonably necessary to continue the listing and trading of its ADSs and Ordinary Shares on a Trading Market and will comply in all material respects with the Company’s reporting, filing and other obligations under the bylaws or rules of the Trading Market. The Company agrees to use commercially reasonable efforts to maintain the eligibility of the ADSs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Subsequent Equity Sales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the date hereof until sixty (60) days after the Closing Date, neither the Company nor any Subsidiary shall (i) issue, enter into any agreement to issue or announce the issuance or proposed issuance of any ADSs, Ordinary Shares or Ordinary Share Equivalents or (ii) file any registration statement or amendment or supplement thereto, other than the Prospectus Supplement, the </w:t>
      </w:r>
      <w:r>
        <w:rPr>
          <w:rFonts w:ascii="Times New Roman;Times;Serif" w:hAnsi="Times New Roman;Times;Serif"/>
          <w:b w:val="false"/>
          <w:i w:val="false"/>
          <w:caps w:val="false"/>
          <w:smallCaps w:val="false"/>
          <w:sz w:val="20"/>
          <w:u w:val="single"/>
        </w:rPr>
        <w:t>Resale Registration Statement</w:t>
      </w:r>
      <w:r>
        <w:rPr>
          <w:rFonts w:ascii="Times New Roman;Times;Serif" w:hAnsi="Times New Roman;Times;Serif"/>
          <w:b w:val="false"/>
          <w:i w:val="false"/>
          <w:caps w:val="false"/>
          <w:smallCaps w:val="false"/>
          <w:sz w:val="20"/>
        </w:rPr>
        <w:t xml:space="preserve"> or filing a registration statement on Form S-8 in connection with any employee benefit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date hereof until one hundred twenty (120) days after the Closing Date, the Company shall be prohibited from effecting or entering into an agreement to effect any issuance by the Company or any of its Subsidiaries of ADSs, Ordinary Shares or Ordinary Share Equivalents (or a combination of units thereof) involving a Variable Rate Transaction. “Variable Rate Transaction” means a transaction in which the Company (i) issues or sells any debt or equity securities that are convertible into, exchangeable or exercisable for, or include the right to receive additional ADSs or Ordinary Shares either (A) at a conversion price, exercise price or exchange rate or other price that is based upon and/or varies with the trading prices of or quotations for the ADSs or Ordinary Shares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ADSs or the Ordinary Shares or (ii) enters into, or effects a transaction under, any agreement, including, but not limited to, an equity line of credit, “at-the-market” offering or similar transactions whereby the Company may issue securities at a future determined price, regardless of whether shares pursuant to such agreement have actually been issued and regardless of whether such agreement is subsequently canceled, except that following the date that is sixty (60) days after the Closing Date, the Company may enter into and/or issue ADSs and/or Ordinary Shares pursuant to an “at-the-market” or “ATM” offering program with the Placement Agent as the sales agent or with the sales agent engaged by the Company under its existing at-the-market offering program. Any Purchaser shall be entitled to obtain injunctive relief against the Company to preclude any such issuance, which remedy shall be in addition to any right to collect damages.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this Section 4.11 shall not apply in respect of an Exempt Issuance, except that no Variable Rate Transaction shall be an Exempt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Equal Treatment of Purchasers</w:t>
      </w:r>
      <w:r>
        <w:rPr>
          <w:rFonts w:ascii="Times New Roman;Times;Serif" w:hAnsi="Times New Roman;Times;Serif"/>
          <w:b w:val="false"/>
          <w:i w:val="false"/>
          <w:caps w:val="false"/>
          <w:smallCaps w:val="false"/>
          <w:sz w:val="20"/>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Exercise Procedures</w:t>
      </w:r>
      <w:r>
        <w:rPr>
          <w:rFonts w:ascii="Times New Roman;Times;Serif" w:hAnsi="Times New Roman;Times;Serif"/>
          <w:b w:val="false"/>
          <w:i w:val="false"/>
          <w:caps w:val="false"/>
          <w:smallCaps w:val="false"/>
          <w:sz w:val="20"/>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4.16       </w:t>
      </w:r>
      <w:r>
        <w:rPr>
          <w:rFonts w:ascii="Times New Roman;Times;Serif" w:hAnsi="Times New Roman;Times;Serif"/>
          <w:b w:val="false"/>
          <w:i w:val="false"/>
          <w:caps w:val="false"/>
          <w:smallCaps w:val="false"/>
          <w:sz w:val="20"/>
          <w:u w:val="single"/>
        </w:rPr>
        <w:t>Resale Registration Statement</w:t>
      </w:r>
      <w:r>
        <w:rPr>
          <w:rFonts w:ascii="Times New Roman;Times;Serif" w:hAnsi="Times New Roman;Times;Serif"/>
          <w:b w:val="false"/>
          <w:i w:val="false"/>
          <w:caps w:val="false"/>
          <w:smallCaps w:val="false"/>
          <w:sz w:val="20"/>
        </w:rPr>
        <w:t>. As soon as practicable (and in any event within thirty (30) calendar days following the Closing Date), the Company shall file a registration statement (the “</w:t>
      </w:r>
      <w:r>
        <w:rPr>
          <w:rFonts w:ascii="Times New Roman;Times;Serif" w:hAnsi="Times New Roman;Times;Serif"/>
          <w:b w:val="false"/>
          <w:i w:val="false"/>
          <w:caps w:val="false"/>
          <w:smallCaps w:val="false"/>
          <w:sz w:val="20"/>
          <w:u w:val="single"/>
        </w:rPr>
        <w:t>Resale Registration Statement</w:t>
      </w:r>
      <w:r>
        <w:rPr>
          <w:rFonts w:ascii="Times New Roman;Times;Serif" w:hAnsi="Times New Roman;Times;Serif"/>
          <w:b w:val="false"/>
          <w:i w:val="false"/>
          <w:caps w:val="false"/>
          <w:smallCaps w:val="false"/>
          <w:sz w:val="20"/>
        </w:rPr>
        <w:t>”) (or any other available form) registering the issuance of the Ordinary Warrant Shares and the resale by the Purchasers of the Ordinary Warrants and the Ordinary Warrant Shares. The Company shall use commercially reasonable efforts to (a) cause the Resale Registration Statement to become effective within sixty (60) days ninety (90) days in the event the Commission elects to review the Resale Registration Statement) (such sixty (60) days or ninety (90) days for effectiveness, as the case may be, is referred to herein as the “Effectiveness Deadline”) following the filing date of the Resale Registration Statement and (b) keep the Resale Registration Statement effective at all times until no Purchaser owns any Ordinary Warrants or Ordinary Warrant Shares issuable upon exercise thereof; provided, that if the Commission is closed for operations due to a government shutdown or lapse in appropriations after the date on which the Company filed the Resale Registration Statement with the SEC, the Effectiveness Deadline shall be extended by the same number of calendar days that the Commission remains closed and/or shutdown for operations after the date on which the Company filed the Resale Registration Statement with the SEC, and any amendment to the Registration Statement thereafter declared effective by the Commission at the earliest possible date. Purchaser agrees that the information set forth on its signature page is accurate and sufficient for purposes of the Company’s preparation of the selling stockholder table and related footnotes registration statement.</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V.</w:t>
      </w:r>
      <w:r>
        <w:rPr>
          <w:rFonts w:ascii="Times New Roman;Times;Serif" w:hAnsi="Times New Roman;Times;Serif"/>
          <w:b w:val="false"/>
          <w:i w:val="false"/>
          <w:caps w:val="false"/>
          <w:smallCaps w:val="false"/>
          <w:sz w:val="20"/>
        </w:rPr>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(5th) Trading Day following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termination will affect the right of any party to sue for any breach by any other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Depositary fees (including, without limitation, any fees required for same-day processing of any instruction letter delivered by the Company and any exercise notice delivered by a Purchaser). The Company shall pay stamp taxes and other similar documentary taxes and duties levied in connection with the delivery of any Securities to the Purchasers and shall reimburse the Purchasers for any fees charged to Purchasers by the Depositary in connection with holding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the material terms of such notice with the Commission pursuant to a Report on Form 6-K.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the Purchasers who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supplement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or waived by, any other Person, except as otherwise set forth in Section 4.8 and this Section 5.8.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that would cause the application of the laws of any jurisdiction other than the State of New York.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Securities for the applicable statute of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Warrant, the applicable Purchaser shall be required to return any ADSs or Ordinary Shares subject to any such rescinded exercise notice concurrently with the return to such Purchaser of the aggregate exercise price paid to the Company for such ADSs or Ordinary Shares and the restoration of such Purchaser’s right to acquire such ADSs or Ordinary Shares pursuant to such Purchaser’s Warrant (including, issuance of a replacement warrant certificate evidencing such restored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Replacement of Securities</w:t>
      </w:r>
      <w:r>
        <w:rPr>
          <w:rFonts w:ascii="Times New Roman;Times;Serif" w:hAnsi="Times New Roman;Times;Serif"/>
          <w:b w:val="false"/>
          <w:i w:val="false"/>
          <w:caps w:val="false"/>
          <w:smallCaps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5.17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Sullivan. Sullivan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5.18 </w:t>
      </w:r>
      <w:r>
        <w:rPr>
          <w:rFonts w:ascii="Times New Roman;Times;Serif" w:hAnsi="Times New Roman;Times;Serif"/>
          <w:b w:val="false"/>
          <w:i w:val="false"/>
          <w:caps w:val="false"/>
          <w:smallCaps w:val="false"/>
          <w:sz w:val="20"/>
          <w:u w:val="single"/>
        </w:rPr>
        <w:t>Liquidated Damages</w:t>
      </w:r>
      <w:r>
        <w:rPr>
          <w:rFonts w:ascii="Times New Roman;Times;Serif" w:hAnsi="Times New Roman;Times;Serif"/>
          <w:b w:val="false"/>
          <w:i w:val="false"/>
          <w:caps w:val="false"/>
          <w:smallCaps w:val="false"/>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5.19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5.20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ADSs and Ordinary Shares in any Transaction Document shall be subject to adjustment for reverse and forward stock splits, stock dividends, stock combinations and other similar transactions of the ADSs and Ordinary Shares that occur after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5.21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firstLine="1440"/>
        <w:jc w:val="both"/>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4745"/>
        <w:gridCol w:w="1595"/>
      </w:tblGrid>
      <w:tr>
        <w:trPr/>
        <w:tc>
          <w:tcPr>
            <w:tcW w:w="474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BIOLINERX LTD.</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Address for Notice:</w:t>
            </w:r>
          </w:p>
        </w:tc>
      </w:tr>
      <w:tr>
        <w:trPr/>
        <w:tc>
          <w:tcPr>
            <w:tcW w:w="47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By:__________________________________________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tc>
        <w:tc>
          <w:tcPr>
            <w:tcW w:w="15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FOR PURCHASER FOLLOWS]</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SIGNATURE PAGES TO BLRX 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Purchaser</w:t>
      </w:r>
      <w:r>
        <w:rPr>
          <w:rFonts w:ascii="Times New Roman;Times;Serif" w:hAnsi="Times New Roman;Times;Serif"/>
          <w:b w:val="false"/>
          <w:i w:val="false"/>
          <w:caps w:val="false"/>
          <w:smallCaps w:val="false"/>
          <w:sz w:val="20"/>
        </w:rPr>
        <w:t>: 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Warrants to Purchaser (if not same as address for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 Shares: __________________ Beneficial Ownership Blocker 4.99% or 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Warrants: __________________ Beneficial Ownership Blocker ☐ 4.99% or ☐ 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first (1st) Trading Day following the date of this Agreement (or the second (2nd) Trading Day following the date of this Agreement (i) if this Agreement is signed on a day that is not a Trading Day or after 4:00 p.m. (New York City time) and before midnight (New York City time) on a Trading Day; or (ii) the first (1st) Trading Day following the date hereof is a Friday or any other day on which commercial banks in Israel are closed)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240" w:after="60"/>
        <w:jc w:val="left"/>
        <w:rPr>
          <w:bdr w:val="single" w:sz="16" w:space="1" w:color="000000"/>
        </w:rPr>
      </w:pPr>
      <w:bookmarkStart w:id="8" w:name="exhibit_10-2.htm"/>
      <w:bookmarkStart w:id="9" w:name="ksexhibit_102"/>
      <w:bookmarkEnd w:id="8"/>
      <w:bookmarkEnd w:id="9"/>
      <w:r>
        <w:rPr>
          <w:bdr w:val="single" w:sz="16" w:space="1" w:color="000000"/>
        </w:rPr>
        <w:t> </w:t>
      </w:r>
      <w:r>
        <w:br w:type="page"/>
      </w:r>
    </w:p>
    <w:p>
      <w:pPr>
        <w:pStyle w:val="TextBody"/>
        <w:bidi w:val="0"/>
        <w:jc w:val="right"/>
        <w:rPr>
          <w:b/>
          <w:u w:val="single"/>
        </w:rPr>
      </w:pPr>
      <w:r>
        <w:rPr>
          <w:b/>
          <w:u w:val="single"/>
        </w:rPr>
        <w:t>Exhibit 10.2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 TO PURCHASE AMERICAN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BIOLINERX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Number of ADSs: _______ </w:t>
        <w:tab/>
        <w:t xml:space="preserve"> Initial Exercise Date: August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PRE-FUNDED WARRANT TO PURCHASE AMERICAN DEPOSITARY SHARES (this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_____________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set forth above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until this Warrant is exercised in full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but not thereafter, to subscribe for and purchase from </w:t>
      </w:r>
      <w:r>
        <w:rPr>
          <w:rFonts w:ascii="Times New Roman;Times;Serif" w:hAnsi="Times New Roman;Times;Serif"/>
          <w:b/>
          <w:i w:val="false"/>
          <w:caps w:val="false"/>
          <w:smallCaps w:val="false"/>
          <w:sz w:val="20"/>
        </w:rPr>
        <w:t>BIOLINERX LTD.</w:t>
      </w:r>
      <w:r>
        <w:rPr>
          <w:rFonts w:ascii="Times New Roman;Times;Serif" w:hAnsi="Times New Roman;Times;Serif"/>
          <w:b w:val="false"/>
          <w:i w:val="false"/>
          <w:caps w:val="false"/>
          <w:smallCaps w:val="false"/>
          <w:sz w:val="20"/>
        </w:rPr>
        <w:t>, a company organized under the laws of the State of Israel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_______ Ordinary Shares, par value NIS 0.10 per share, of the Company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represented by American Depositary Shares (each, an "ADS" and, collectively, the "ADSs" and the ADSs issuable upon exercise of this Warrant, the "</w:t>
      </w:r>
      <w:r>
        <w:rPr>
          <w:rFonts w:ascii="Times New Roman;Times;Serif" w:hAnsi="Times New Roman;Times;Serif"/>
          <w:b w:val="false"/>
          <w:i w:val="false"/>
          <w:caps w:val="false"/>
          <w:smallCaps w:val="false"/>
          <w:sz w:val="20"/>
          <w:u w:val="single"/>
        </w:rPr>
        <w:t>Warrant ADSs</w:t>
      </w:r>
      <w:r>
        <w:rPr>
          <w:rFonts w:ascii="Times New Roman;Times;Serif" w:hAnsi="Times New Roman;Times;Serif"/>
          <w:b w:val="false"/>
          <w:i w:val="false"/>
          <w:caps w:val="false"/>
          <w:smallCaps w:val="false"/>
          <w:sz w:val="20"/>
        </w:rPr>
        <w:t>"), as subject to adjustment hereunder. The purchase price of one Warrant ADS shall be equal to the Exercise Price, as defined in Section 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"Purchase Agreement"), dated August [*], 2026, among the Company and the purchasers signatory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Exercise </w:t>
      </w:r>
      <w:r>
        <w:rPr>
          <w:rFonts w:ascii="Times New Roman;Times;Serif" w:hAnsi="Times New Roman;Times;Serif"/>
          <w:b w:val="false"/>
          <w:i w:val="false"/>
          <w:caps w:val="false"/>
          <w:smallCaps w:val="false"/>
          <w:sz w:val="20"/>
          <w:u w:val="single"/>
        </w:rPr>
        <w:t>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PDF copy submitted by electronic 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2(d)(i) herein) (provided, however, that, in each case of (i) and (ii), if such Trading Day is a Friday or any other day on which commercial banks in Israel are closed, then such Trading Day shall be the next Trading Day on which commercial banks in Israel are open) following the date of exercise as aforesaid, the Holder shall deliver to the Company the aggregate Exercise Price (as defined in Section 2(b) herein) for the Warrant ADSs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ADSs available hereunder and the Warrant has been exercised in full, in which case, the Holder shall, upon request of the Company, surrender this Warrant to the Company for cancellation within three (3) Trading Days of the date on which the final Notice of Exercise is delivered to the Company. Partial exercises of this Warrant resulting in purchases of a portion of the total number of Warrant ADSs available hereunder shall have the effect of lowering the outstanding number of Warrant ADSs purchasable hereunder in an amount equal to the applicable number of Warrant ADSs purchased. The Holder and the Company shall maintain records showing the number of Warrant ADSs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ADSs hereunder, the number of Warrant ADSs available for purchase hereunder at any given time may be less than the amount stated on the face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aggregate exercise price of this Warrant, except for a nominal exercise price of $0.0001 per Warrant ADS, was pre-funded to the Company on or prior to the Initial Exercise Date and, consequently, no additional consideration (other than the nominal exercise price of $0.0001 per Warrant ADS)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Warrant ADS under this Warrant shall be $0.0001,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This Warrant may also be exercised, in whole or in part, at such time by means of a "cashless exercise" in which the Holder shall be entitled to receive the number of Warrant ADSs equal to the quotient obtained by dividing [(A-B) (X)] by (A), 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60"/>
        <w:gridCol w:w="9884"/>
      </w:tblGrid>
      <w:tr>
        <w:trPr/>
        <w:tc>
          <w:tcPr>
            <w:tcW w:w="261" w:type="dxa"/>
            <w:tcBorders/>
            <w:vAlign w:val="center"/>
          </w:tcPr>
          <w:p>
            <w:pPr>
              <w:pStyle w:val="TableContents"/>
              <w:bidi w:val="0"/>
              <w:spacing w:before="0" w:after="283"/>
              <w:ind w:left="0" w:right="0" w:hanging="5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tc>
        <w:tc>
          <w:tcPr>
            <w:tcW w:w="60" w:type="dxa"/>
            <w:tcBorders/>
            <w:vAlign w:val="center"/>
          </w:tcPr>
          <w:p>
            <w:pPr>
              <w:pStyle w:val="TableContents"/>
              <w:bidi w:val="0"/>
              <w:spacing w:before="0" w:after="283"/>
              <w:jc w:val="left"/>
              <w:rPr/>
            </w:pPr>
            <w:r>
              <w:rPr/>
              <w:t> </w:t>
            </w:r>
          </w:p>
        </w:tc>
        <w:tc>
          <w:tcPr>
            <w:tcW w:w="9884" w:type="dxa"/>
            <w:tcBorders/>
            <w:vAlign w:val="center"/>
          </w:tcPr>
          <w:p>
            <w:pPr>
              <w:pStyle w:val="TableContents"/>
              <w:bidi w:val="0"/>
              <w:spacing w:before="0" w:after="283"/>
              <w:ind w:left="0" w:right="0" w:hanging="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ADSs on the principal Trading Market as reported by Bloomberg L.P. ("</w:t>
            </w:r>
            <w:r>
              <w:rPr>
                <w:rFonts w:ascii="Times New Roman;Times;Serif" w:hAnsi="Times New Roman;Times;Serif"/>
                <w:b w:val="false"/>
                <w:i w:val="false"/>
                <w:caps w:val="false"/>
                <w:smallCaps w:val="false"/>
                <w:sz w:val="20"/>
                <w:u w:val="single"/>
              </w:rPr>
              <w:t>Bloomberg</w:t>
            </w:r>
            <w:r>
              <w:rPr>
                <w:rFonts w:ascii="Times New Roman;Times;Serif" w:hAnsi="Times New Roman;Times;Serif"/>
                <w:b w:val="false"/>
                <w:i w:val="false"/>
                <w:caps w:val="false"/>
                <w:smallCaps w:val="false"/>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r>
        <w:trPr/>
        <w:tc>
          <w:tcPr>
            <w:tcW w:w="26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84" w:type="dxa"/>
            <w:tcBorders/>
            <w:vAlign w:val="center"/>
          </w:tcPr>
          <w:p>
            <w:pPr>
              <w:pStyle w:val="TableContents"/>
              <w:bidi w:val="0"/>
              <w:spacing w:before="0" w:after="283"/>
              <w:ind w:left="0" w:right="0" w:hanging="540"/>
              <w:jc w:val="both"/>
              <w:rPr>
                <w:caps w:val="false"/>
                <w:smallCaps w:val="false"/>
              </w:rPr>
            </w:pPr>
            <w:r>
              <w:rPr>
                <w:caps w:val="false"/>
                <w:smallCaps w:val="false"/>
              </w:rPr>
              <w:t> </w:t>
            </w:r>
          </w:p>
        </w:tc>
      </w:tr>
      <w:tr>
        <w:trPr/>
        <w:tc>
          <w:tcPr>
            <w:tcW w:w="2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c>
          <w:tcPr>
            <w:tcW w:w="60" w:type="dxa"/>
            <w:tcBorders/>
            <w:vAlign w:val="center"/>
          </w:tcPr>
          <w:p>
            <w:pPr>
              <w:pStyle w:val="TableContents"/>
              <w:bidi w:val="0"/>
              <w:spacing w:before="0" w:after="283"/>
              <w:jc w:val="left"/>
              <w:rPr/>
            </w:pPr>
            <w:r>
              <w:rPr/>
              <w:t> </w:t>
            </w:r>
          </w:p>
        </w:tc>
        <w:tc>
          <w:tcPr>
            <w:tcW w:w="9884" w:type="dxa"/>
            <w:tcBorders/>
            <w:vAlign w:val="center"/>
          </w:tcPr>
          <w:p>
            <w:pPr>
              <w:pStyle w:val="TableContents"/>
              <w:bidi w:val="0"/>
              <w:spacing w:before="0" w:after="283"/>
              <w:ind w:left="0" w:right="0" w:hanging="5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the Exercise Price of this Warrant, as adjusted hereunder; and </w:t>
            </w:r>
          </w:p>
        </w:tc>
      </w:tr>
      <w:tr>
        <w:trPr/>
        <w:tc>
          <w:tcPr>
            <w:tcW w:w="26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84" w:type="dxa"/>
            <w:tcBorders/>
            <w:vAlign w:val="center"/>
          </w:tcPr>
          <w:p>
            <w:pPr>
              <w:pStyle w:val="TableContents"/>
              <w:bidi w:val="0"/>
              <w:spacing w:before="0" w:after="283"/>
              <w:ind w:left="0" w:right="0" w:hanging="540"/>
              <w:jc w:val="both"/>
              <w:rPr>
                <w:caps w:val="false"/>
                <w:smallCaps w:val="false"/>
              </w:rPr>
            </w:pPr>
            <w:r>
              <w:rPr>
                <w:caps w:val="false"/>
                <w:smallCaps w:val="false"/>
              </w:rPr>
              <w:t> </w:t>
            </w:r>
          </w:p>
        </w:tc>
      </w:tr>
      <w:tr>
        <w:trPr/>
        <w:tc>
          <w:tcPr>
            <w:tcW w:w="2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p>
        </w:tc>
        <w:tc>
          <w:tcPr>
            <w:tcW w:w="60" w:type="dxa"/>
            <w:tcBorders/>
            <w:vAlign w:val="center"/>
          </w:tcPr>
          <w:p>
            <w:pPr>
              <w:pStyle w:val="TableContents"/>
              <w:bidi w:val="0"/>
              <w:spacing w:before="0" w:after="283"/>
              <w:jc w:val="left"/>
              <w:rPr/>
            </w:pPr>
            <w:r>
              <w:rPr/>
              <w:t> </w:t>
            </w:r>
          </w:p>
        </w:tc>
        <w:tc>
          <w:tcPr>
            <w:tcW w:w="98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Warrant ADSs that would be issuable upon exercise of this Warrant in accordance with the terms of this Warrant if such exercise were by means of a cash exercise rather than a cashless exercise.</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ind w:left="0" w:right="0" w:hanging="540"/>
              <w:jc w:val="left"/>
              <w:rPr>
                <w:sz w:val="4"/>
                <w:szCs w:val="4"/>
              </w:rPr>
            </w:pPr>
            <w:r>
              <w:rPr>
                <w:sz w:val="4"/>
                <w:szCs w:val="4"/>
              </w:rPr>
            </w:r>
          </w:p>
        </w:tc>
      </w:tr>
    </w:tbl>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ADSs are then listed or quoted on a Trading Market, the bid price of the ADSs for the time in question (or the nearest preceding date) on the Trading Market on which the ADSs are then listed or quoted as reported by Bloomberg (based on a Trading Day from 9:30 a.m. (New York City time) to 4:02 p.m. (New York City time)), (b) if OTCQB or OTCQX is not a Trading Market and if prices for the ADSs are then listed or quoted for trading on OTCQB or OTCQX, the VWAP of the ADSs for such date (or the nearest preceding date) on OTCQB or OTCQX as applicable, (c) if the ADSs are not then listed or quoted for trading on OTCQB or OTCQX and if prices for ADSs are then reported on The Pink Open Market (or a similar organization or agency succeeding to its functions of reporting prices), the most recent bid price per ADS so reported, or (d) in all other cases, the fair market value of an ADS as determined by an independent appraiser selected in good faith by the Holders of a majority in interest of the Warrant Shares issuable under the Warrants then outstanding and reasonably acceptable to the Company, the fees and expenses of which shall be paid by the Company.</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ADSs are then listed or quoted on a Trading Market, the daily volume weighted average price of the ADSs for such date (or the nearest preceding date) on the Trading Market on which the ADSs are then listed or quoted as reported by Bloomberg (based on a Trading Day from 9:30 a.m. (New York City time) to 4:02 p.m. (New York City time)), (b) if the OTCQB Venture Market (“OTCQB”) or the OTCQX Best Market (“OTCQX”) is not a Trading Market and if prices for the ADSs are then listed or quoted for trading on OTCQB or OTCQX, the volume weighted average price of the ADSs for such date (or the nearest preceding date) on OTCQB or OTCQX as applicable, (c) if the ADSs are not then listed or quoted for trading on OTCQB or OTCQX and if prices for the ADSs are then reported on the Pink Open Market (“Pink Market”) operated by the OTC Markets, Inc. (or a similar organization or agency succeeding to its functions of reporting prices), the most recent bid price per ADS so reported, or (d) in all other cases, the fair market value of an ADS as determined by an independent appraiser selected in good faith by the Holders of a majority in interest of the Warrants originally issued on the Issue Date then outstanding and reasonably acceptable to the Company, the fees and expenses of which shall be paid by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ADSs are issued in such a cashless exercise, the parties acknowledge and agree that in accordance with Section 3(a)(9) of the Securities Act, the Warrant ADSs shall take on the registered characteristics of the Warrants being exercised. The Company agrees not to take any position contrary to this Section 2(c).</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ADSs Upon Exercise</w:t>
      </w:r>
      <w:r>
        <w:rPr>
          <w:rFonts w:ascii="Times New Roman;Times;Serif" w:hAnsi="Times New Roman;Times;Serif"/>
          <w:b w:val="false"/>
          <w:i w:val="false"/>
          <w:caps w:val="false"/>
          <w:smallCaps w:val="false"/>
          <w:sz w:val="20"/>
        </w:rPr>
        <w:t>. The Company shall cause its registrar to deposit the Warrant Shares subject to such exercise with the Israeli custodian of The Bank of New York Mellon, the Depositary for the ADSs (the "Depositary"), and cause the Depositary to credit the account of the Holder's or its designee's balance account with The Depository Trust Company (or another established clearing corporation performing similar functions) through its Deposit/Withdrawal At Custodian system ("DWAC") if the Depositary is then a participant in such system and either (A) there is an effective registration statement permitting the issuance of the Warrant ADSs to or resale of the Warrant ADSs by the Holder or (B) this Warrant is being exercised via cashless exercise, and otherwise by physical delivery of a certificate, registered in the name of the Holder or its designee, for the number of Warrant ADSs to which the Holder is entitled pursuant to such exercise to the address specified by the Holder in the Notice of Exercise by the date that is the earlier of (i) one (1) Trading Day and (ii) the number of Trading Days comprising the Standard Settlement Period, in each case after the delivery to the Company of the Notice of Exercise (such date, the "</w:t>
      </w:r>
      <w:r>
        <w:rPr>
          <w:rFonts w:ascii="Times New Roman;Times;Serif" w:hAnsi="Times New Roman;Times;Serif"/>
          <w:b w:val="false"/>
          <w:i w:val="false"/>
          <w:caps w:val="false"/>
          <w:smallCaps w:val="false"/>
          <w:sz w:val="20"/>
          <w:u w:val="single"/>
        </w:rPr>
        <w:t>Warrant ADS Delivery Date</w:t>
      </w:r>
      <w:r>
        <w:rPr>
          <w:rFonts w:ascii="Times New Roman;Times;Serif" w:hAnsi="Times New Roman;Times;Serif"/>
          <w:b w:val="false"/>
          <w:i w:val="false"/>
          <w:caps w:val="false"/>
          <w:smallCaps w:val="false"/>
          <w:sz w:val="20"/>
        </w:rPr>
        <w:t>" provided, however, that if a Warrant ADS Delivery Date is a Friday or any other day on which commercial banks in Israel are closed, then “Warrant ADS Delivery Date” shall mean the next Trading Day on which commercial banks in Israel are open), provided, that the Company shall not be obligated to deliver the Warrant ADSs hereunder unless the Company has received the aggregate Exercise Price (other than in the case of a cashless exercise) on or before the Warrant ADS Delivery Date. The Warrant Shares represented by the Warrant ADSs shall be deemed to have been issued, and Holder or any other person so designated to be named therein shall be deemed to have become the holder of record of such Warrant Shares represented by the Warrant ADSs for all purposes, as of the date the Warrant has been exercised, irrespective of the date of delivery of the Warrant ADSs, provided that payment of the aggregate Exercise Price (other than in the case of a cashless exercise) is received by the Warrant ADS Delivery Date. If the Company fails for any reason to deliver to the Holder the Warrant ADSs subject to a Notice of Exercise by the Warrant ADS Delivery Date, the Company shall pay to the Holder, in cash, as liquidated damages and not as a penalty, for each $1,000 of Warrant ADSs subject to such exercise (based on the VWAP of an ADS on the date of the applicable Notice of Exercise), $10 per Trading Day (increasing to $20 per Trading Day on the fifth Trading Day after the Warrant ADS Delivery Date) for each Trading Day following such Warrant ADS Delivery Date until such Warrant ADSs are delivered or Holder rescinds such exercise. The Company agrees to maintain a transfer agent that is a participant in the FAST program so long as this Warrant remains outstanding and exercisable, if applicable.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ADS as in effect on the date of delivery of the Notice of Exercise. Notwithstanding the foregoing, with respect to any Notice(s) of Exercise delivered on or prior to 4:00 p.m. (New York City time) on the day preceding the Initial Exercise Date, which may be delivered at any time after the time of execution of the Purchase Agreement, the Company agrees to deliver the Warrant ADSs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ADSs, deliver to the Holder a new Warrant evidencing the rights of the Holder to purchase the unpurchased Warrant ADSs called for by this Warrant, which new Warrant shall in all other respects be identical with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Depositary to deliver to the Holder the Warrant ADSs pursuant to Section 2(d)(i) by the Warrant ADS Delivery Date, then the Holder will have the right to rescind such exercise by delivering written notice to the Company at any time prior to the delivery of such Warrant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ADSs Upon Exercise</w:t>
      </w:r>
      <w:r>
        <w:rPr>
          <w:rFonts w:ascii="Times New Roman;Times;Serif" w:hAnsi="Times New Roman;Times;Serif"/>
          <w:b w:val="false"/>
          <w:i w:val="false"/>
          <w:caps w:val="false"/>
          <w:smallCaps w:val="false"/>
          <w:sz w:val="20"/>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ADSs so purchased exceeds (y) the amount obtained by multiplying (1) the number of Warrant ADSs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ADSs for which such exercise was not honored (in which case such exercise shall be deemed rescinded) or deliver to the Holder the number of ADSs that would have been issued had the Company timely complied with its exercise and delivery obligations hereunder. For example, if the Holder purchases ADSs having a total purchase price of $11,000 to cover a Buy-In with respect to an attempted exercise of ADSs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ADSs upon exercise of the Warrant as required pursuant to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No </w:t>
      </w:r>
      <w:r>
        <w:rPr>
          <w:rFonts w:ascii="Times New Roman;Times;Serif" w:hAnsi="Times New Roman;Times;Serif"/>
          <w:b w:val="false"/>
          <w:i w:val="false"/>
          <w:caps w:val="false"/>
          <w:smallCaps w:val="false"/>
          <w:sz w:val="20"/>
          <w:u w:val="single"/>
        </w:rPr>
        <w:t>Fractional Shares or Scrip</w:t>
      </w:r>
      <w:r>
        <w:rPr>
          <w:rFonts w:ascii="Times New Roman;Times;Serif" w:hAnsi="Times New Roman;Times;Serif"/>
          <w:b w:val="false"/>
          <w:i w:val="false"/>
          <w:caps w:val="false"/>
          <w:smallCaps w:val="false"/>
          <w:sz w:val="20"/>
        </w:rPr>
        <w:t>. No fractional Warrant Shares or Warrant ADSs shall be issued upon the exercise of this Warrant. As to any fraction of an ADS which the Holder would otherwise be entitled to purchase upon such exercise, the Company shall, at its election, either pay a cash adjustment in respect of such final fraction in an amount equal to such fraction multiplied by the Exercise Price or round up to the next whole ADS.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ADSs shall be made without charge to the Holder for any issue or transfer tax or other incidental expense in respect of the issuance of such Warrant ADSs, all of which taxes and expenses (which, for the avoidance of doubt, shall exclude income tax) shall be paid by the Company, and such Warrant ADSs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ADSs are to be issued in a name other than the name of the Holder, this Warrant shall be surrendered for exercise and accompanied by the Assignment Form attached hereto duly executed by the Holder, and the Company may require, as a condition thereto, the payment of a sum sufficient to reimburse it for any transfer tax incidental thereto. The Holder shall pay all Depositary fees required for same-day processing of any Notice of Exercise and all fees to the Depository Trust Company (or another established clearing corporation performing similar functions) required for same-day electronic delivery of the ADSs, if any. The Company shall pay all applicable fees and expenses of the Depositary in connection with the issuance of the Warrant ADSs hereunder.</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that prevents the timely exercise of this Warrant pursuant to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Holder’s Exercise Limitations. The Company shall not effect any exercise of this Warrant, and the Holder shall not have the right to exercise any portion of this Warrant, pursuant to Section 2 or otherwise, to the extent that after giving effect to such issuance after exercise as set forth on the applicable Notice of Exercise, the Holder (together with (i) the Holder's Affiliates, (ii) any other Persons acting as a group together with the Holder or any of the Holder's Affiliates and (iii) any other Persons whose beneficial ownership of ADSs or Ordinary Shares would be aggregated with the Holder’s or any of the Holder’s Affiliates for the purposes of determination of beneficial ownership pursuant to Section 13(d) and Rule 13d-3 of the Exchange Act (such Persons, collectively, the "Attribution Parties")), would beneficially own in excess of the Beneficial Ownership Limitation (as defined below). For purposes of the foregoing sentence, the number of Ordinary Shares beneficially owned by the Holder and its Affiliates and Attribution Parties shall include the number of Ordinary Shares underlying ADSs held by the Holder and its Attribution Parties plus the number of Ordinary Shares underlying ADSs issuable upon exercise of this Warrant with respect to which such determination is being made, but shall exclude the number of Ordinary Shares underlying ADSs which would be issuable upon (i) exercise of the remaining, unexercised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that are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the Holder may rely on the number of outstanding Ordinary Shares as reflected in (x) the Company's most recent Annual Report on Form 20-F, Report on Form 6-K or other public filing with the Commission, as the case may be, (y) a more recent public announcement by the Company or (z) any other written notice by the Company or the Depositary setting forth the number of Ordinary Shares outstanding. Upon the written or oral request of the Holder, the Company shall within one (1) Trading Day confirm orally and in writing or by electronic mail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"Beneficial Ownership Limitation" shall be [4.99%/9.99%] of the number of Ordinary Shares outstanding immediately after giving effect to the issuance of Ordinary Shares issuable upon exercise of this Warrant. The Holder, upon notice to the Company, may increase or decrease the Beneficial Ownership Limitation provisions of this Section 2(e), provided that the Beneficial Ownership Limitation in no event exceeds 9.99% of the number of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 sixty first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 Dividends and Splits. If the Company, at any time while this Warrant is outstanding: (i) pays a share dividend or otherwise makes a distribution or distributions on its Ordinary Shares or ADSs or any other equity or equity equivalent securities payable in Ordinary Shares or ADSs (which, for avoidance of doubt, shall not include any ADSs issued by the Company upon exercise of this Warrant), as applicable, (ii) subdivides outstanding Ordinary Shares or ADSs (including by way of a change in the ratio of Ordinary Shares represented by an ADS) into a larger number of shares or ADSs, as applicable, (iii) combines (including by way of reverse share split) outstanding Ordinary Shares or ADSs (including by way of a change in the ratio of Ordinary Shares represented by an ADS) into a smaller number of shares or ADSs, as applicable, or (iv) issues by reclassification of Ordinary Shares, ADSs or any share capital of the Company, as applicable, then in each case the Exercise Price shall be multiplied by a fraction of which the numerator shall be the number of Ordinary Shares or ADSs, as applicable, (excluding treasury shares, if any) outstanding immediately before such event and of which the denominator shall be the number of Ordinary Shares or ADSs, as applicable,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that this Warrant is outstanding the Company grants, issues or sells any Ordinary Share Equivalents or rights to purchase shares, warrants, securities or other property pro rata to the record holders of Ordinary Shares or ADSs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Ordinary Shares or ADSs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Ordinary Shares or ADSs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Purchase Right would result in the Holder exceeding the Beneficial Ownership Limitation, then the Holder shall not be entitled to participate in such Purchase Right to such extent (or acquire beneficial ownership of such Ordinary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Ordinary Shares or ADSs,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xml:space="preserve">"), at any time after the issuance of this Warrant, then, in each such case, the Holder shall be entitled to participate in such Distribution to the same extent that the Holder would have participated therein if the Holder had held the number of Ordinary Shares or ADSs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Ordinary Shares or ADSs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or ADSs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(including any Ordinary Shares underlying ADSs) are permitted to sell, tender or exchange their shares for other securities, cash or property and has been accepted by the holders of 50% or more of the outstanding Ordinary Shares (including any Ordinary Shares underlying ADSs),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more than 50% of the outstanding Ordinary Shares (including any Ordinary Shares underlying ADSs) or 50% or more of the voting power of the ordinary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ADSs that would have been issuable upon such exercise immediately prior to the occurrence of such Fundamental Transaction, at the option of the Holder (without regard to any limitation in Section 2(e) on the exercise of this Warrant), the number of shares of capital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a number of Ordinary Shares (including any Ordinary Shares underlying ADSs) equal to the amount of Warrant ADSs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or ADS, as applicable, in such Fundamental Transaction, and the Company shall apportion the Exercise Price among the Alternate Consideration in a reasonable manner reflecting the relative value of any different components of the Alternate Consideration. If holders of Ordinary Shares or ADSs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or ADSs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or ADSs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For the avoidance of doubt, the Holder shall be entitled to the benefits of the provisions of this Section 3(d) regardless of (i) whether the Company has sufficient authorized Warrant Shares for the issuance of Warrant ADSs and/or (ii) whether a Fundamental Transaction occurs prior to the Initial Exercise Date.</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an ADS, as the case may be. For purposes of this Section 3, the number of Ordinary Shares or ADSs, as applicable, deemed to be issued and outstanding as of a given date shall be the sum of the number of Ordinary Shares or ADSs, as applicable, (excluding treasury shares, if any) issued and outstanding.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Notice to Allow Exercise by Holder. If (A) the Company shall declare a dividend (or any other distribution in whatever form) on the Ordinary Shares or ADSs,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(as defined below)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the material terms of such notice (including all such material, non-public information provided in such notice) with the Commission pursuant to a Report on Form 6-K.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attorney-in-fact and funds sufficient to pay any transfer taxes payable upon the making of such transfer. Upon such surrender and, if required, such payment, the Company shall execute and deliver a new Warrant or Warrants (in accordance with Section 4(b))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two (2) Trading Days of the date on which the Holder delivers an assignment form to the Company assigning this Warrant in full. The Warrant, if properly assigned in accordance herewith, may be exercised by a new holder for the purchase of Warrant ADSs without having a new Warrant issued.</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attorney-in-fact.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of this Warrant and shall be identical with this Warrant except as to the number of Warrant ADSs issuable pursuant thereto.</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2(d)(i), except as expressly set forth in Section 3. Without limiting the rights of a Holder to receive Warrant ADSs on a "cashless exercise" in accordance with Section 2(c) and to receive the cash payments contemplated pursuant to Sections 2(d)(i) and 2(d)(iv), in no event will the Company be required to net cash settle an exercise of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520" w:right="0" w:firstLine="7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Ordinary Shares a sufficient number of shares to provide for the issuance of the Warrant ADSs and underlying Ordinary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ADSs and Warrant Shares may be issued as provided herein without violation of any applicable law or regulation, or of any requirements of the applicable Trading Market upon which the Ordinary Shares and ADSs may be listed. The Company covenants that all Warrant ADSs which may be issued upon the exercise of the purchase rights represented by this Warrant will, upon exercise of the purchase rights represented by this Warrant and payment for such Warrant ADSs in accordance herewith, be duly authorized, validly issued, fully paid and nonassessable and free from all taxes, liens and charges created by the Company in respect of the issue thereof (other than taxes in respect of any transfer occurring contemporaneously with such issue). </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520" w:right="0" w:firstLine="7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ADSs above the amount payable therefor upon such exercise immediately prior to such increase in par value, (ii) take all such action as may be necessary or appropriate in order that the Company may validly and legally issue fully paid and nonassessable Warrant ADSs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1440" w:right="0" w:firstLine="780"/>
        <w:jc w:val="both"/>
        <w:rPr>
          <w:caps w:val="false"/>
          <w:smallCaps w:val="false"/>
        </w:rPr>
      </w:pPr>
      <w:r>
        <w:rPr>
          <w:caps w:val="false"/>
          <w:smallCaps w:val="false"/>
        </w:rPr>
        <w:t> </w:t>
      </w:r>
    </w:p>
    <w:p>
      <w:pPr>
        <w:pStyle w:val="TextBody"/>
        <w:bidi w:val="0"/>
        <w:spacing w:before="0" w:after="0"/>
        <w:ind w:left="2520" w:right="0" w:firstLine="7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2520" w:right="0" w:firstLine="78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ADSs and Warrant Shares acquired upon the exercise of this Warrant, if not registered, and if the Holder does not utilize cashless exercise, will have restrictions upon resale imposed by state and federal securities laws.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ADSs, and no enumeration herein of the rights or privileges of the Holder, shall give rise to any liability of the Holder for the purchase price of any Ordinary Shares or ADSs or as a shareholder of the Company, whether such liability is asserted by the Company or by creditors of the Company or otherwise.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on the one hand, and the Holder of this Warrant, on the other hand.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firstLine="1440"/>
        <w:jc w:val="both"/>
        <w:rPr>
          <w:caps w:val="false"/>
          <w:smallCaps w:val="false"/>
        </w:rPr>
      </w:pPr>
      <w:r>
        <w:rPr>
          <w:caps w:val="false"/>
          <w:smallCaps w:val="false"/>
        </w:rPr>
        <w:t> </w:t>
      </w:r>
    </w:p>
    <w:tbl>
      <w:tblPr>
        <w:tblW w:w="2134" w:type="dxa"/>
        <w:jc w:val="left"/>
        <w:tblInd w:w="0" w:type="dxa"/>
        <w:tblLayout w:type="fixed"/>
        <w:tblCellMar>
          <w:top w:w="0" w:type="dxa"/>
          <w:left w:w="0" w:type="dxa"/>
          <w:bottom w:w="0" w:type="dxa"/>
          <w:right w:w="0" w:type="dxa"/>
        </w:tblCellMar>
      </w:tblPr>
      <w:tblGrid>
        <w:gridCol w:w="75"/>
        <w:gridCol w:w="1652"/>
        <w:gridCol w:w="407"/>
      </w:tblGrid>
      <w:tr>
        <w:trPr/>
        <w:tc>
          <w:tcPr>
            <w:tcW w:w="7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b/>
              </w:rPr>
            </w:pPr>
            <w:r>
              <w:rPr>
                <w:b/>
              </w:rPr>
              <w:t>BIOLINERX LTD.</w:t>
            </w:r>
          </w:p>
        </w:tc>
      </w:tr>
      <w:tr>
        <w:trPr/>
        <w:tc>
          <w:tcPr>
            <w:tcW w:w="7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pPr>
            <w:r>
              <w:rPr/>
              <w:t>By:</w:t>
            </w:r>
          </w:p>
        </w:tc>
        <w:tc>
          <w:tcPr>
            <w:tcW w:w="40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BIOLINERX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ADSs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cancellation of such number of Warrant ADSs as is necessary, in accordance with the formula set forth in subsection 2(c), to exercise this Warrant with respect to the maximum number of Warrant ADSs purchasable pursuant to the cashless exercise procedure set forth in subsection 2(c).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register and issue said Warrant ADSs in the name of the undersigned or in such other name as is specified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ADSs shall be delivered to the following DWAC 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exercise the Warrant to purchase Warrant ADSs.)</w:t>
      </w:r>
    </w:p>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210"/>
        <w:jc w:val="left"/>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5600"/>
        <w:gridCol w:w="4025"/>
      </w:tblGrid>
      <w:tr>
        <w:trPr/>
        <w:tc>
          <w:tcPr>
            <w:tcW w:w="5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tc>
      </w:tr>
      <w:tr>
        <w:trPr/>
        <w:tc>
          <w:tcPr>
            <w:tcW w:w="560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560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ableContents"/>
              <w:bidi w:val="0"/>
              <w:spacing w:before="0" w:after="283"/>
              <w:jc w:val="both"/>
              <w:rPr>
                <w:caps w:val="false"/>
                <w:smallCaps w:val="false"/>
              </w:rPr>
            </w:pPr>
            <w:r>
              <w:rPr>
                <w:caps w:val="false"/>
                <w:smallCaps w:val="false"/>
              </w:rPr>
              <w:t> </w:t>
            </w:r>
          </w:p>
        </w:tc>
        <w:tc>
          <w:tcPr>
            <w:tcW w:w="402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56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p>
            <w:pPr>
              <w:pStyle w:val="TableContents"/>
              <w:bidi w:val="0"/>
              <w:spacing w:before="0" w:after="0"/>
              <w:ind w:left="0" w:right="0" w:hanging="0"/>
              <w:jc w:val="both"/>
              <w:rPr>
                <w:caps w:val="false"/>
                <w:smallCaps w:val="false"/>
              </w:rPr>
            </w:pPr>
            <w:r>
              <w:rPr>
                <w:caps w:val="false"/>
                <w:smallCaps w:val="false"/>
              </w:rPr>
              <w:t> </w:t>
            </w:r>
          </w:p>
        </w:tc>
        <w:tc>
          <w:tcPr>
            <w:tcW w:w="40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tc>
      </w:tr>
      <w:tr>
        <w:trPr/>
        <w:tc>
          <w:tcPr>
            <w:tcW w:w="56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 __, ______</w:t>
            </w:r>
          </w:p>
          <w:p>
            <w:pPr>
              <w:pStyle w:val="TableContents"/>
              <w:bidi w:val="0"/>
              <w:spacing w:before="0" w:after="0"/>
              <w:ind w:left="0" w:right="0" w:hanging="0"/>
              <w:jc w:val="both"/>
              <w:rPr>
                <w:caps w:val="false"/>
                <w:smallCaps w:val="false"/>
              </w:rPr>
            </w:pPr>
            <w:r>
              <w:rPr>
                <w:caps w:val="false"/>
                <w:smallCaps w:val="false"/>
              </w:rPr>
              <w:t> </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Signature:______________________________________</w:t>
            </w:r>
          </w:p>
          <w:p>
            <w:pPr>
              <w:pStyle w:val="TableContents"/>
              <w:bidi w:val="0"/>
              <w:spacing w:before="0" w:after="0"/>
              <w:ind w:left="0" w:right="0" w:hanging="0"/>
              <w:jc w:val="both"/>
              <w:rPr>
                <w:caps w:val="false"/>
                <w:smallCaps w:val="false"/>
              </w:rPr>
            </w:pPr>
            <w:r>
              <w:rPr>
                <w:caps w:val="false"/>
                <w:smallCaps w:val="false"/>
              </w:rPr>
              <w:t> </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Address:_______________________________________</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 Officers of corporations and those acting in a fiduciary or other representative capacity should file proper evidence of authority to assign the foregoing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240" w:after="60"/>
        <w:jc w:val="left"/>
        <w:rPr>
          <w:bdr w:val="single" w:sz="16" w:space="1" w:color="000000"/>
        </w:rPr>
      </w:pPr>
      <w:bookmarkStart w:id="10" w:name="exhibit_10-3.htm"/>
      <w:bookmarkStart w:id="11" w:name="ksexhibit_103"/>
      <w:bookmarkEnd w:id="10"/>
      <w:bookmarkEnd w:id="11"/>
      <w:r>
        <w:rPr>
          <w:bdr w:val="single" w:sz="16" w:space="1" w:color="000000"/>
        </w:rPr>
        <w:t> </w:t>
      </w:r>
      <w:r>
        <w:br w:type="page"/>
      </w:r>
    </w:p>
    <w:p>
      <w:pPr>
        <w:pStyle w:val="TextBody"/>
        <w:bidi w:val="0"/>
        <w:jc w:val="right"/>
        <w:rPr>
          <w:b/>
          <w:u w:val="single"/>
        </w:rPr>
      </w:pPr>
      <w:r>
        <w:rPr>
          <w:b/>
          <w:u w:val="single"/>
        </w:rPr>
        <w:t>Exhibit 10.3</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TO PURCHASE AMERICAN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BIOLINERX LTD.</w:t>
      </w:r>
    </w:p>
    <w:p>
      <w:pPr>
        <w:pStyle w:val="TextBody"/>
        <w:bidi w:val="0"/>
        <w:spacing w:before="0" w:after="0"/>
        <w:ind w:left="0" w:right="0" w:hanging="0"/>
        <w:jc w:val="center"/>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2225"/>
        <w:gridCol w:w="3155"/>
      </w:tblGrid>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ADSs: _______</w:t>
            </w:r>
          </w:p>
        </w:tc>
        <w:tc>
          <w:tcPr>
            <w:tcW w:w="31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Exercise Date: August [*], 2026</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TO PURCHASE AMERICAN DEPOSITARY SHARES (this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_____________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set forth above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August [*], 2031</w:t>
      </w:r>
      <w:r>
        <w:rPr>
          <w:rFonts w:ascii="Times New Roman;Times;Serif" w:hAnsi="Times New Roman;Times;Serif"/>
          <w:b w:val="false"/>
          <w:i w:val="false"/>
          <w:caps w:val="false"/>
          <w:smallCaps w:val="false"/>
          <w:position w:val="5"/>
          <w:sz w:val="13"/>
          <w:sz w:val="16"/>
        </w:rPr>
        <w:t>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but not thereafter, to subscribe for and purchase from </w:t>
      </w:r>
      <w:r>
        <w:rPr>
          <w:rFonts w:ascii="Times New Roman;Times;Serif" w:hAnsi="Times New Roman;Times;Serif"/>
          <w:b/>
          <w:i w:val="false"/>
          <w:caps w:val="false"/>
          <w:smallCaps w:val="false"/>
          <w:sz w:val="20"/>
        </w:rPr>
        <w:t>BIOLINERX LTD.</w:t>
      </w:r>
      <w:r>
        <w:rPr>
          <w:rFonts w:ascii="Times New Roman;Times;Serif" w:hAnsi="Times New Roman;Times;Serif"/>
          <w:b w:val="false"/>
          <w:i w:val="false"/>
          <w:caps w:val="false"/>
          <w:smallCaps w:val="false"/>
          <w:sz w:val="20"/>
        </w:rPr>
        <w:t>, a company organized under the laws of the State of Israel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_______ Ordinary Shares, par value NIS 0.10 per share, of the Company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represented by American Depositary Shares (each, an "ADS" and, collectively, the "ADSs" and the ADSs issuable upon exercise of this Warrant, the "</w:t>
      </w:r>
      <w:r>
        <w:rPr>
          <w:rFonts w:ascii="Times New Roman;Times;Serif" w:hAnsi="Times New Roman;Times;Serif"/>
          <w:b w:val="false"/>
          <w:i w:val="false"/>
          <w:caps w:val="false"/>
          <w:smallCaps w:val="false"/>
          <w:sz w:val="20"/>
          <w:u w:val="single"/>
        </w:rPr>
        <w:t>Warrant ADSs</w:t>
      </w:r>
      <w:r>
        <w:rPr>
          <w:rFonts w:ascii="Times New Roman;Times;Serif" w:hAnsi="Times New Roman;Times;Serif"/>
          <w:b w:val="false"/>
          <w:i w:val="false"/>
          <w:caps w:val="false"/>
          <w:smallCaps w:val="false"/>
          <w:sz w:val="20"/>
        </w:rPr>
        <w:t>"), as subject to adjustment hereunder. The purchase price of one Warrant ADS shall be equal to the Exercise Price, as defined in Section 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"Purchase Agreement"), dated August [*], 2026, among the Company and the purchasers signatory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PDF copy submitted by electronic 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2(d)(i) herein) (provided, however, that, in each case of (i) and (ii), if such Trading Day is a Friday or any other day on which commercial banks in Israel are closed, then such Trading Day shall be the next Trading Day on which commercial banks in Israel are open) following the date of exercise as aforesaid, the Holder shall deliver to the Company the aggregate Exercise Price (as defined in Section 2(b) herein) for the Warrant ADSs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ADSs available hereunder and the Warrant has been exercised in full, in which case, the Holder shall, upon request of the Company, surrender this Warrant to the Company for cancellation within three (3) Trading Days of the date on which the final Notice of Exercise is delivered to the Company. Partial exercises of this Warrant resulting in purchases of a portion of the total number of Warrant ADSs available hereunder shall have the effect of lowering the outstanding number of Warrant ADSs purchasable hereunder in an amount equal to the applicable number of Warrant ADSs purchased. The Holder and the Company shall maintain records showing the number of Warrant ADSs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ADSs hereunder, the number of Warrant ADSs available for purchase hereunder at any given time may be less than the amount stated on the face hereof.</w:t>
      </w:r>
      <w:r>
        <w:rPr>
          <w:rFonts w:ascii="Times New Roman;Times;Serif" w:hAnsi="Times New Roman;Times;Serif"/>
          <w:b w:val="false"/>
          <w:i w:val="false"/>
          <w:caps w:val="false"/>
          <w:smallCaps w:val="false"/>
          <w:sz w:val="20"/>
        </w:rPr>
        <w:t> </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60"/>
        <w:jc w:val="left"/>
        <w:rPr>
          <w:bdr w:val="single" w:sz="8" w:space="1" w:color="000000"/>
        </w:rPr>
      </w:pPr>
      <w:r>
        <w:rPr>
          <w:bdr w:val="single" w:sz="8"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5 year term  </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per ADS under this Warrant shall be </w:t>
      </w:r>
      <w:r>
        <w:rPr>
          <w:rFonts w:ascii="Times New Roman;Times;Serif" w:hAnsi="Times New Roman;Times;Serif"/>
          <w:b/>
          <w:i w:val="false"/>
          <w:caps w:val="false"/>
          <w:smallCaps w:val="false"/>
          <w:sz w:val="20"/>
        </w:rPr>
        <w:t>$2.78</w:t>
      </w:r>
      <w:r>
        <w:rPr>
          <w:rFonts w:ascii="Times New Roman;Times;Serif" w:hAnsi="Times New Roman;Times;Serif"/>
          <w:b w:val="false"/>
          <w:i w:val="false"/>
          <w:caps w:val="false"/>
          <w:smallCaps w:val="false"/>
          <w:sz w:val="20"/>
        </w:rPr>
        <w:t>,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hereof, there is no effective registration statement registering, or the prospectus contained therein is not available for the issuance or resale of the Warrant ADSs by the Holder, then this Warrant may also be exercised, in whole or in part, at such time by means of a "cashless exercise" in which the Holder shall be entitled to receive the number of Warrant ADSs equal to the quotient obtained by dividing [(A-B) (X)] by (A), where:</w:t>
      </w:r>
    </w:p>
    <w:p>
      <w:pPr>
        <w:pStyle w:val="TextBody"/>
        <w:bidi w:val="0"/>
        <w:spacing w:before="0" w:after="0"/>
        <w:ind w:left="144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
        <w:gridCol w:w="60"/>
        <w:gridCol w:w="10009"/>
      </w:tblGrid>
      <w:tr>
        <w:trPr/>
        <w:tc>
          <w:tcPr>
            <w:tcW w:w="136" w:type="dxa"/>
            <w:tcBorders/>
            <w:vAlign w:val="center"/>
          </w:tcPr>
          <w:p>
            <w:pPr>
              <w:pStyle w:val="TableContents"/>
              <w:bidi w:val="0"/>
              <w:spacing w:before="0" w:after="283"/>
              <w:ind w:left="0" w:right="0" w:hanging="200"/>
              <w:jc w:val="right"/>
              <w:rPr/>
            </w:pPr>
            <w:r>
              <w:rPr/>
              <w:t>(A) =</w:t>
            </w:r>
          </w:p>
        </w:tc>
        <w:tc>
          <w:tcPr>
            <w:tcW w:w="60" w:type="dxa"/>
            <w:tcBorders/>
            <w:vAlign w:val="center"/>
          </w:tcPr>
          <w:p>
            <w:pPr>
              <w:pStyle w:val="TableContents"/>
              <w:bidi w:val="0"/>
              <w:spacing w:before="0" w:after="283"/>
              <w:jc w:val="left"/>
              <w:rPr/>
            </w:pPr>
            <w:r>
              <w:rPr/>
              <w:t> </w:t>
            </w:r>
          </w:p>
        </w:tc>
        <w:tc>
          <w:tcPr>
            <w:tcW w:w="10009" w:type="dxa"/>
            <w:tcBorders/>
            <w:vAlign w:val="center"/>
          </w:tcPr>
          <w:p>
            <w:pPr>
              <w:pStyle w:val="TableContents"/>
              <w:bidi w:val="0"/>
              <w:spacing w:before="0" w:after="283"/>
              <w:jc w:val="both"/>
              <w:rPr/>
            </w:pPr>
            <w:r>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ADSs on the principal Trading Market as reported by Bloomberg L.P. ("</w:t>
            </w:r>
            <w:r>
              <w:rPr>
                <w:u w:val="single"/>
              </w:rPr>
              <w:t>Bloomberg</w:t>
            </w:r>
            <w:r>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bl>
    <w:p>
      <w:pPr>
        <w:pStyle w:val="TextBody"/>
        <w:bidi w:val="0"/>
        <w:spacing w:before="0" w:after="0"/>
        <w:ind w:left="3960" w:right="0" w:hanging="54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545"/>
        <w:gridCol w:w="60"/>
        <w:gridCol w:w="5825"/>
      </w:tblGrid>
      <w:tr>
        <w:trPr/>
        <w:tc>
          <w:tcPr>
            <w:tcW w:w="545" w:type="dxa"/>
            <w:tcBorders/>
            <w:vAlign w:val="center"/>
          </w:tcPr>
          <w:p>
            <w:pPr>
              <w:pStyle w:val="TableContents"/>
              <w:bidi w:val="0"/>
              <w:spacing w:before="0" w:after="283"/>
              <w:ind w:left="0" w:right="0" w:hanging="200"/>
              <w:jc w:val="right"/>
              <w:rPr/>
            </w:pPr>
            <w:r>
              <w:rPr/>
              <w:t>(B) =</w:t>
            </w:r>
          </w:p>
        </w:tc>
        <w:tc>
          <w:tcPr>
            <w:tcW w:w="60" w:type="dxa"/>
            <w:tcBorders/>
            <w:vAlign w:val="center"/>
          </w:tcPr>
          <w:p>
            <w:pPr>
              <w:pStyle w:val="TableContents"/>
              <w:bidi w:val="0"/>
              <w:spacing w:before="0" w:after="283"/>
              <w:ind w:left="0" w:right="0" w:hanging="200"/>
              <w:jc w:val="left"/>
              <w:rPr/>
            </w:pPr>
            <w:r>
              <w:rPr/>
              <w:t> </w:t>
            </w:r>
          </w:p>
        </w:tc>
        <w:tc>
          <w:tcPr>
            <w:tcW w:w="5825" w:type="dxa"/>
            <w:tcBorders/>
            <w:vAlign w:val="center"/>
          </w:tcPr>
          <w:p>
            <w:pPr>
              <w:pStyle w:val="TableContents"/>
              <w:bidi w:val="0"/>
              <w:spacing w:before="0" w:after="283"/>
              <w:jc w:val="both"/>
              <w:rPr/>
            </w:pPr>
            <w:r>
              <w:rPr/>
              <w:t>the Exercise Price of this Warrant, as adjusted hereunder; and</w:t>
            </w:r>
          </w:p>
        </w:tc>
      </w:tr>
    </w:tbl>
    <w:p>
      <w:pPr>
        <w:pStyle w:val="TextBody"/>
        <w:bidi w:val="0"/>
        <w:spacing w:before="0" w:after="0"/>
        <w:ind w:left="43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8"/>
        <w:gridCol w:w="60"/>
        <w:gridCol w:w="9827"/>
      </w:tblGrid>
      <w:tr>
        <w:trPr/>
        <w:tc>
          <w:tcPr>
            <w:tcW w:w="318" w:type="dxa"/>
            <w:tcBorders/>
            <w:vAlign w:val="center"/>
          </w:tcPr>
          <w:p>
            <w:pPr>
              <w:pStyle w:val="TableContents"/>
              <w:bidi w:val="0"/>
              <w:spacing w:before="0" w:after="283"/>
              <w:ind w:left="0" w:right="0" w:hanging="200"/>
              <w:jc w:val="right"/>
              <w:rPr/>
            </w:pPr>
            <w:r>
              <w:rPr/>
              <w:t>(X) =</w:t>
            </w:r>
          </w:p>
        </w:tc>
        <w:tc>
          <w:tcPr>
            <w:tcW w:w="60" w:type="dxa"/>
            <w:tcBorders/>
            <w:vAlign w:val="center"/>
          </w:tcPr>
          <w:p>
            <w:pPr>
              <w:pStyle w:val="TableContents"/>
              <w:bidi w:val="0"/>
              <w:spacing w:before="0" w:after="283"/>
              <w:jc w:val="left"/>
              <w:rPr/>
            </w:pPr>
            <w:r>
              <w:rPr/>
              <w:t> </w:t>
            </w:r>
          </w:p>
        </w:tc>
        <w:tc>
          <w:tcPr>
            <w:tcW w:w="9827" w:type="dxa"/>
            <w:tcBorders/>
            <w:vAlign w:val="center"/>
          </w:tcPr>
          <w:p>
            <w:pPr>
              <w:pStyle w:val="TableContents"/>
              <w:bidi w:val="0"/>
              <w:spacing w:before="0" w:after="283"/>
              <w:jc w:val="both"/>
              <w:rPr/>
            </w:pPr>
            <w:r>
              <w:rPr/>
              <w:t>the number of Warrant ADSs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16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ADSs are then listed or quoted on a Trading Market, the bid price of the ADSs for the time in question (or the nearest preceding date) on the Trading Market on which the ADSs are then listed or quoted as reported by Bloomberg (based on a Trading Day from 9:30 a.m. (New York City time) to 4:02 p.m. (New York City time)), (b) if OTCQB or OTCQX is not a Trading Market and if prices for the ADSs are then listed or quoted for trading on OTCQB or OTCQX, the VWAP of the ADSs for such date (or the nearest preceding date) on OTCQB or OTCQX as applicable, (c) if the ADSs are not then listed or quoted for trading on OTCQB or OTCQX and if prices for ADSs are then reported on The Pink Open Market (or a similar organization or agency succeeding to its functions of reporting prices), the most recent bid price per ADS so reported, or (d) in all other cases, the fair market value of an ADS as determined by an independent appraiser selected in good faith by the Holders of a majority in interest of the Warrant Shares issuable under the Warrants then outstanding and reasonably acceptable to the Company, the fees and expenses of which shall be paid by the Company.</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ADSs are then listed or quoted on a Trading Market, the daily volume weighted average price of the ADSs for such date (or the nearest preceding date) on the Trading Market on which the ADSs are then listed or quoted as reported by Bloomberg (based on a Trading Day from 9:30 a.m. (New York City time) to 4:02 p.m. (New York City time)), (b) if the OTCQB Venture Market (“OTCQB”) or the OTCQX Best Market (“OTCQX”) is not a Trading Market and if prices for the ADSs are then listed or quoted for trading on OTCQB or OTCQX, the volume weighted average price of the ADSs for such date (or the nearest preceding date) on OTCQB or OTCQX as applicable, (c) if the ADSs are not then listed or quoted for trading on OTCQB or OTCQX and if prices for the ADSs are then reported on the Pink Open Market (“Pink Market”) operated by the OTC Markets, Inc. (or a similar organization or agency succeeding to its functions of reporting prices), the most recent bid price per ADS so reported, or (d) in all other cases, the fair market value of an ADS as determined by an independent appraiser selected in good faith by the Holders of a majority in interest of the Warrants originally issued on the Issue Date then outstanding and reasonably acceptable to the Company, the fees and expenses of which shall be paid by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ADSs are issued in such a cashless exercise, the parties acknowledge and agree that in accordance with Section 3(a)(9) of the Securities Act, the Warrant ADSs shall take on the registered characteristics of the Warrants being exercised. The Company agrees not to take any position contrary to this Section 2(c).</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46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ADSs Upon Exercise</w:t>
      </w:r>
      <w:r>
        <w:rPr>
          <w:rFonts w:ascii="Times New Roman;Times;Serif" w:hAnsi="Times New Roman;Times;Serif"/>
          <w:b w:val="false"/>
          <w:i w:val="false"/>
          <w:caps w:val="false"/>
          <w:smallCaps w:val="false"/>
          <w:sz w:val="20"/>
        </w:rPr>
        <w:t>. The Company shall cause its registrar to deposit the Warrant Shares subject to such exercise with the Israeli custodian of The Bank of New York Mellon, the Depositary for the ADSs (the "Depositary"), and cause the Depositary to credit the account of the Holder's or its designee's balance account with The Depository Trust Company (or another established clearing corporation performing similar functions) through its Deposit/Withdrawal At Custodian system ("DWAC") if the Depositary is then a participant in such system and either (A) there is an effective registration statement permitting the issuance of the Warrant ADSs to or resale of the Warrant ADSs by the Holder or (B) this Warrant is being exercised via cashless exercise, and otherwise by physical delivery of a certificate, registered in the name of the Holder or its designee, for the number of Warrant ADSs to which the Holder is entitled pursuant to such exercise to the address specified by the Holder in the Notice of Exercise by the date that is the earlier of (i) one (1) Trading Day and (ii) the number of Trading Days comprising the Standard Settlement Period, in each case after the delivery to the Company of the Notice of Exercise (such date, the "</w:t>
      </w:r>
      <w:r>
        <w:rPr>
          <w:rFonts w:ascii="Times New Roman;Times;Serif" w:hAnsi="Times New Roman;Times;Serif"/>
          <w:b w:val="false"/>
          <w:i w:val="false"/>
          <w:caps w:val="false"/>
          <w:smallCaps w:val="false"/>
          <w:sz w:val="20"/>
          <w:u w:val="single"/>
        </w:rPr>
        <w:t>Warrant ADS Delivery Date</w:t>
      </w:r>
      <w:r>
        <w:rPr>
          <w:rFonts w:ascii="Times New Roman;Times;Serif" w:hAnsi="Times New Roman;Times;Serif"/>
          <w:b w:val="false"/>
          <w:i w:val="false"/>
          <w:caps w:val="false"/>
          <w:smallCaps w:val="false"/>
          <w:sz w:val="20"/>
        </w:rPr>
        <w:t>" provided, however, that if a Warrant ADS Delivery Date is a Friday or any other day on which commercial banks in Israel are closed, then “Warrant ADS Delivery Date” shall mean the next Trading Day on which commercial banks in Israel are open), provided, that the Company shall not be obligated to deliver the Warrant ADSs hereunder unless the Company has received the aggregate Exercise Price (other than in the case of a cashless exercise) on or before the Warrant ADS Delivery Date. The Warrant Shares represented by the Warrant ADSs shall be deemed to have been issued, and Holder or any other person so designated to be named therein shall be deemed to have become the holder of record of such Warrant Shares represented by the Warrant ADSs for all purposes, as of the date the Warrant has been exercised, irrespective of the date of delivery of the Warrant ADSs, provided that payment of the aggregate Exercise Price (other than in the case of a cashless exercise) is received by the Warrant ADS Delivery Date. If the Company fails for any reason to deliver to the Holder the Warrant ADSs subject to a Notice of Exercise by the Warrant ADS Delivery Date, the Company shall pay to the Holder, in cash, as liquidated damages and not as a penalty, for each $1,000 of Warrant ADSs subject to such exercise (based on the VWAP of an ADS on the date of the applicable Notice of Exercise), $10 per Trading Day (increasing to $20 per Trading Day on the fifth Trading Day after the Warrant ADS Delivery Date) for each Trading Day following such Warrant ADS Delivery Date until such Warrant ADSs are delivered or Holder rescinds such exercise. The Company agrees to maintain a transfer agent that is a participant in the FAST program so long as this Warrant remains outstanding and exercisable, if applicable.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ADS as in effect on the date of delivery of the Notice of Exercise.</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6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ADSs, deliver to the Holder a new Warrant evidencing the rights of the Holder to purchase the unpurchased Warrant ADSs called for by this Warrant, which new Warrant shall in all other respects be identical with this Warrant.</w:t>
      </w:r>
    </w:p>
    <w:p>
      <w:pPr>
        <w:pStyle w:val="TextBody"/>
        <w:bidi w:val="0"/>
        <w:spacing w:before="0" w:after="0"/>
        <w:ind w:left="4680" w:right="0" w:firstLine="720"/>
        <w:jc w:val="both"/>
        <w:rPr>
          <w:caps w:val="false"/>
          <w:smallCaps w:val="false"/>
        </w:rPr>
      </w:pPr>
      <w:r>
        <w:rPr>
          <w:caps w:val="false"/>
          <w:smallCaps w:val="false"/>
        </w:rPr>
        <w:t> </w:t>
      </w:r>
    </w:p>
    <w:p>
      <w:pPr>
        <w:pStyle w:val="TextBody"/>
        <w:bidi w:val="0"/>
        <w:spacing w:before="0" w:after="0"/>
        <w:ind w:left="46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Depositary to deliver to the Holder the Warrant ADSs pursuant to Section 2(d)(i) by the Warrant ADS Delivery Date, then the Holder will have the right to rescind such exercise by delivering written notice to the Company at any time prior to the delivery of such Warrant ADSs.</w:t>
      </w:r>
    </w:p>
    <w:p>
      <w:pPr>
        <w:pStyle w:val="TextBody"/>
        <w:bidi w:val="0"/>
        <w:spacing w:before="0" w:after="0"/>
        <w:ind w:left="4680" w:right="0" w:firstLine="720"/>
        <w:jc w:val="both"/>
        <w:rPr>
          <w:caps w:val="false"/>
          <w:smallCaps w:val="false"/>
        </w:rPr>
      </w:pPr>
      <w:r>
        <w:rPr>
          <w:caps w:val="false"/>
          <w:smallCaps w:val="false"/>
        </w:rPr>
        <w:t> </w:t>
      </w:r>
    </w:p>
    <w:p>
      <w:pPr>
        <w:pStyle w:val="TextBody"/>
        <w:bidi w:val="0"/>
        <w:spacing w:before="0" w:after="0"/>
        <w:ind w:left="46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ADSs Upon Exercise</w:t>
      </w:r>
      <w:r>
        <w:rPr>
          <w:rFonts w:ascii="Times New Roman;Times;Serif" w:hAnsi="Times New Roman;Times;Serif"/>
          <w:b w:val="false"/>
          <w:i w:val="false"/>
          <w:caps w:val="false"/>
          <w:smallCaps w:val="false"/>
          <w:sz w:val="20"/>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ADSs so purchased exceeds (y) the amount obtained by multiplying (1) the number of Warrant ADSs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ADSs for which such exercise was not honored (in which case such exercise shall be deemed rescinded) or deliver to the Holder the number of ADSs that would have been issued had the Company timely complied with its exercise and delivery obligations hereunder. For example, if the Holder purchases ADSs having a total purchase price of $11,000 to cover a Buy-In with respect to an attempted exercise of ADSs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ADSs upon exercise of the Warrant as required pursuant to the terms hereof.</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6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Warrant Shares or Warrant ADSs shall be issued upon the exercise of this Warrant. As to any fraction of an ADS which the Holder would otherwise be entitled to purchase upon such exercise, the Company shall, at its election, either pay a cash adjustment in respect of such final fraction in an amount equal to such fraction multiplied by the Exercise Price or round up to the next whole ADS.</w:t>
      </w:r>
    </w:p>
    <w:p>
      <w:pPr>
        <w:pStyle w:val="TextBody"/>
        <w:bidi w:val="0"/>
        <w:spacing w:before="0" w:after="0"/>
        <w:ind w:left="4680" w:right="0" w:firstLine="720"/>
        <w:jc w:val="both"/>
        <w:rPr>
          <w:caps w:val="false"/>
          <w:smallCaps w:val="false"/>
        </w:rPr>
      </w:pPr>
      <w:r>
        <w:rPr>
          <w:caps w:val="false"/>
          <w:smallCaps w:val="false"/>
        </w:rPr>
        <w:t> </w:t>
      </w:r>
    </w:p>
    <w:p>
      <w:pPr>
        <w:pStyle w:val="TextBody"/>
        <w:bidi w:val="0"/>
        <w:spacing w:before="0" w:after="0"/>
        <w:ind w:left="46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ADSs shall be made without charge to the Holder for any issue or transfer tax or other incidental expense in respect of the issuance of such Warrant ADSs, all of which taxes and expenses (which, for the avoidance of doubt, shall exclude income tax) shall be paid by the Company, and such Warrant ADSs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ADSs are to be issued in a name other than the name of the Holder, this Warrant shall be surrendered for exercise and accompanied by the Assignment Form attached hereto duly executed by the Holder, and the Company may require, as a condition thereto, the payment of a sum sufficient to reimburse it for any transfer tax incidental thereto. The Holder shall pay all Depositary fees required for same-day processing of any Notice of Exercise and all fees to the Depository Trust Company (or another established clearing corporation performing similar functions) required for same-day electronic delivery of the ADSs, if any. The Company shall pay all applicable fees and expenses of the Depositary in connection with the issuance of the Warrant ADSs hereunder.</w:t>
      </w:r>
    </w:p>
    <w:p>
      <w:pPr>
        <w:pStyle w:val="TextBody"/>
        <w:bidi w:val="0"/>
        <w:spacing w:before="0" w:after="0"/>
        <w:ind w:left="4680" w:right="0" w:firstLine="720"/>
        <w:jc w:val="both"/>
        <w:rPr>
          <w:caps w:val="false"/>
          <w:smallCaps w:val="false"/>
        </w:rPr>
      </w:pPr>
      <w:r>
        <w:rPr>
          <w:caps w:val="false"/>
          <w:smallCaps w:val="false"/>
        </w:rPr>
        <w:t> </w:t>
      </w:r>
    </w:p>
    <w:p>
      <w:pPr>
        <w:pStyle w:val="TextBody"/>
        <w:bidi w:val="0"/>
        <w:spacing w:before="0" w:after="0"/>
        <w:ind w:left="46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that prevents the timely exercise of this Warrant pursuant to the terms hereof.</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the Holder shall not have the right to exercise any portion of this Warrant, pursuant to Section 2 or otherwise, to the extent that after giving effect to such issuance after exercise as set forth on the applicable Notice of Exercise, the Holder (together with (i) the Holder's Affiliates, (ii) any other Persons acting as a group together with the Holder or any of the Holder's Affiliates and (iii) any other Persons whose beneficial ownership of ADSs or Ordinary Shares would be aggregated with the Holder’s or any of the Holder’s Affiliates for the purposes of determination of beneficial ownership pursuant to Section 13(d) and Rule 13d-3 of the Exchange Act (such Persons, collectively, the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underlying ADSs held by the Holder and its Attribution Parties plus the number of Ordinary Shares underlying ADSs issuable upon exercise of this Warrant with respect to which such determination is being made, but shall exclude the number of Ordinary Shares underlying ADSs which would be issuable upon (i) exercise of the remaining, unexercised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that are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the Holder may rely on the number of outstanding Ordinary Shares as reflected in (x) the Company's most recent Annual Report on Form 20-F, Report on Form 6-K or other public filing with the Commission, as the case may be, (y) a more recent public announcement by the Company or (z) any other written notice by the Company or the Depositary setting forth the number of Ordinary Shares outstanding. Upon the written or oral request of the Holder, the Company shall within one (1) Trading Day confirm orally and in writing or by electronic mail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[4.99%/9.99%] of the number of Ordinary Shares outstanding immediately after giving effect to the issuance of Ordinary Shares issuable upon exercise of this Warrant. The Holder, upon notice to the Company, may increase or decrease the Beneficial Ownership Limitation provisions of this Section 2(e), provided that the Beneficial Ownership Limitation in no event exceeds 9.99% of the number of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 sixty first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 Dividends and Splits</w:t>
      </w:r>
      <w:r>
        <w:rPr>
          <w:rFonts w:ascii="Times New Roman;Times;Serif" w:hAnsi="Times New Roman;Times;Serif"/>
          <w:b w:val="false"/>
          <w:i w:val="false"/>
          <w:caps w:val="false"/>
          <w:smallCaps w:val="false"/>
          <w:sz w:val="20"/>
        </w:rPr>
        <w:t>. If the Company, at any time while this Warrant is outstanding: (i) pays a share dividend or otherwise makes a distribution or distributions on its Ordinary Shares or ADSs or any other equity or equity equivalent securities payable in Ordinary Shares or ADSs (which, for avoidance of doubt, shall not include any ADSs issued by the Company upon exercise of this Warrant), as applicable, (ii) subdivides outstanding Ordinary Shares or ADSs (including by way of a change in the ratio of Ordinary Shares represented by an ADS) into a larger number of shares or ADSs, as applicable, (iii) combines (including by way of reverse share split) outstanding Ordinary Shares or ADSs (including by way of a change in the ratio of Ordinary Shares represented by an ADS) into a smaller number of shares or ADSs, as applicable, or (iv) issues by reclassification of Ordinary Shares, ADSs or any share capital of the Company, as applicable, then in each case the Exercise Price shall be multiplied by a fraction of which the numerator shall be the number of Ordinary Shares or ADSs, as applicable, (excluding treasury shares, if any) outstanding immediately before such event and of which the denominator shall be the number of Ordinary Shares or ADSs, as applicable,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that this Warrant is outstanding the Company grants, issues or sells any Ordinary Share Equivalents or rights to purchase shares, warrants, securities or other property pro rata to the record holders of Ordinary Shares or ADSs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Ordinary Shares or ADSs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Ordinary Shares or ADSs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Purchase Right would result in the Holder exceeding the Beneficial Ownership Limitation, then the Holder shall not be entitled to participate in such Purchase Right to such extent (or acquire beneficial ownership of such Ordinary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Ordinary Shares or ADSs,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xml:space="preserve">"), at any time after the issuance of this Warrant, then, in each such case, the Holder shall be entitled to participate in such Distribution to the same extent that the Holder would have participated therein if the Holder had held the number of Ordinary Shares or ADSs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Ordinary Shares or ADSs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or ADSs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(including any Ordinary Shares underlying ADSs) are permitted to sell, tender or exchange their shares for other securities, cash or property and has been accepted by the holders of 50% or more of the outstanding Ordinary Shares (including any Ordinary Shares underlying ADSs),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more than 50% of the outstanding Ordinary Shares (including any Ordinary Shares underlying ADSs) or 50% or more of the voting power of the ordinary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ADSs that would have been issuable upon such exercise immediately prior to the occurrence of such Fundamental Transaction, at the option of the Holder (without regard to any limitation in Section 2(e) on the exercise of this Warrant), the number of shares of capital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xml:space="preserve">") receivable as a result of such Fundamental Transaction by a holder of a number of Ordinary Shares (including any Ordinary Shares underlying ADSs) equal to the amount of Warrant ADSs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or ADS, as applicable, in such Fundamental Transaction, and the Company shall apportion the Exercise Price among the Alternate Consideration in a reasonable manner reflecting the relative value of any different components of the Alternate Consideration. If holders of Ordinary Shares or ADSs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ADSs and/or Ordinary Shares of the Company in connection with the Fundamental Transaction, whether that consideration be in the form of cash, stock or any combination thereof, or whether the holders of ADSs and/or Ordinary Shares are given the choice to receive from among alternative forms of consideration in connection with the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holders of ADSs and/or Ordinary Shares of the Company are not offered or paid any consideration in such Fundamental Transaction, such holders of ADSs and/or Ordinary Shares will be deemed to have received ordinary shares or common stock of the Successor Entity (which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or ADSs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or ADSs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For the avoidance of doubt, the Holder shall be entitled to the benefits of the provisions of this Section 3(d) regardless of (i) whether the Company has sufficient authorized Warrant Shares for the issuance of Warrant ADSs and/or (ii) whether a Fundamental Transaction occurs prior to the Initial Exercise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an ADS, as the case may be. For purposes of this Section 3, the number of Ordinary Shares or ADSs, as applicable, deemed to be issued and outstanding as of a given date shall be the sum of the number of Ordinary Shares or ADSs, as applicable, (excluding treasury shares, if any) issued and outstanding.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pStyle w:val="TextBody"/>
        <w:bidi w:val="0"/>
        <w:spacing w:before="0" w:after="0"/>
        <w:ind w:left="4320" w:right="0" w:firstLine="720"/>
        <w:jc w:val="both"/>
        <w:rPr>
          <w:caps w:val="false"/>
          <w:smallCaps w:val="false"/>
        </w:rPr>
      </w:pPr>
      <w:r>
        <w:rPr>
          <w:caps w:val="false"/>
          <w:smallCaps w:val="false"/>
        </w:rPr>
        <w:t> </w:t>
      </w:r>
    </w:p>
    <w:p>
      <w:pPr>
        <w:pStyle w:val="TextBody"/>
        <w:bidi w:val="0"/>
        <w:spacing w:before="0" w:after="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Ordinary Shares or ADSs,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(as defined below)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the material terms of such notice (including all such material, non-public information provided in such notice) with the Commission pursuant to a Report on Form 6-K.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360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and the conditions set forth in Section 4(d) hereof and to the provisions of Section 4.1 of the Purchase Agreement, this Warrant and all rights hereunder (including, without limitation, any registration rights, if any) are transferable, in whole or in part, upon surrender of this Warrant at the principal office of the Company or its designated agent, together with a written assignment of this Warrant substantially in the form attached hereto duly executed by the Holder or its agent or attorney-in-fact and funds sufficient to pay any transfer taxes payable upon the making of such transfer. Upon such surrender and, if required, such payment, the Company shall execute and deliver a new Warrant or Warrants (in accordance with Section 4(b))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two (2) Trading Days of the date on which the Holder delivers an assignment form to the Company assigning this Warrant in full. The Warrant, if properly assigned in accordance herewith, may be exercised by a new holder for the purchase of Warrant ADSs without having a new Warrant issued.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attorney-in-fact.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of this Warrant and shall be identical with this Warrant except as to the number of Warrant ADSs issuable pursuant thereto.</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ADSs issuable upon such exercise, for its own account and not with a view to or for distributing or reselling such Warrant ADSs or any part thereof in violation of the Securities Act or any applicable state securities law, except pursuant to sales registered or exempted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2(d)(i), except as expressly set forth in Section 3. Without limiting the rights of a Holder to receive Warrant ADSs on a "cashless exercise” in accordance with Section 2(c), and to receive the cash payments contemplated pursuant to Sections 2(d)(i) and 2(d)(iv), in no event will the Company be required to net cash settle an exercise of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Ordinary Shares a sufficient number of shares to provide for the issuance of the Warrant ADSs and underlying Ordinary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ADSs and Warrant Shares may be issued as provided herein without violation of any applicable law or regulation, or of any requirements of the applicable Trading Market upon which the Ordinary Shares and ADSs may be listed. The Company covenants that all Warrant ADSs which may be issued upon the exercise of the purchase rights represented by this Warrant will, upon exercise of the purchase rights represented by this Warrant and payment for such Warrant ADSs in accordance herewith, be duly authorized, validly issued, fully paid and nonassessable and free from all taxes, liens and charges created by the Company in respect of the issue thereof (other than taxes in respect of any transfer occurring contemporaneously with such issue). </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ADSs above the amount payable therefor upon such exercise immediately prior to such increase in par value, (ii) take all such action as may be necessary or appropriate in order that the Company may validly and legally issue fully paid and nonassessable Warrant ADSs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288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ADSs and Warrant Shares acquired upon the exercise of this Warrant, if not registered, and if the Holder does not utilize cashless exercise, will have restrictions upon resale imposed by state and federal securities laws.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 </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ADSs, and no enumeration herein of the rights or privileges of the Holder, shall give rise to any liability of the Holder for the purchase price of any Ordinary Shares or ADSs or as a shareholder of the Company, whether such liability is asserted by the Company or by creditors of the Company or otherwise.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on the one hand, and the Holder of this Warrant, on the other hand.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firstLine="1440"/>
        <w:jc w:val="both"/>
        <w:rPr>
          <w:caps w:val="false"/>
          <w:smallCaps w:val="false"/>
        </w:rPr>
      </w:pPr>
      <w:r>
        <w:rPr>
          <w:caps w:val="false"/>
          <w:smallCaps w:val="false"/>
        </w:rPr>
        <w:t> </w:t>
      </w:r>
    </w:p>
    <w:tbl>
      <w:tblPr>
        <w:tblW w:w="2134" w:type="dxa"/>
        <w:jc w:val="left"/>
        <w:tblInd w:w="0" w:type="dxa"/>
        <w:tblLayout w:type="fixed"/>
        <w:tblCellMar>
          <w:top w:w="0" w:type="dxa"/>
          <w:left w:w="0" w:type="dxa"/>
          <w:bottom w:w="0" w:type="dxa"/>
          <w:right w:w="0" w:type="dxa"/>
        </w:tblCellMar>
      </w:tblPr>
      <w:tblGrid>
        <w:gridCol w:w="75"/>
        <w:gridCol w:w="1652"/>
        <w:gridCol w:w="407"/>
      </w:tblGrid>
      <w:tr>
        <w:trPr/>
        <w:tc>
          <w:tcPr>
            <w:tcW w:w="7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b/>
              </w:rPr>
            </w:pPr>
            <w:r>
              <w:rPr>
                <w:b/>
              </w:rPr>
              <w:t>BIOLINERX LTD.</w:t>
            </w:r>
          </w:p>
        </w:tc>
      </w:tr>
      <w:tr>
        <w:trPr/>
        <w:tc>
          <w:tcPr>
            <w:tcW w:w="7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pPr>
            <w:r>
              <w:rPr/>
              <w:t>By:</w:t>
            </w:r>
          </w:p>
        </w:tc>
        <w:tc>
          <w:tcPr>
            <w:tcW w:w="40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BIOLINERX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ADSs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ADSs as is necessary, in accordance with the formula set forth in subsection 2(c), to exercise this Warrant with respect to the maximum number of Warrant ADSs purchasable pursuant to the cashless exercise procedure set forth in subsection 2(c).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register and issue said Warrant ADSs in the name of the undersigned or in such other name as is specified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ADSs shall be delivered to the following DWAC 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exercise the Warrant to purchase Warrant ADSs.)</w:t>
      </w:r>
    </w:p>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210"/>
        <w:jc w:val="left"/>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5600"/>
        <w:gridCol w:w="4025"/>
      </w:tblGrid>
      <w:tr>
        <w:trPr/>
        <w:tc>
          <w:tcPr>
            <w:tcW w:w="5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tc>
      </w:tr>
      <w:tr>
        <w:trPr/>
        <w:tc>
          <w:tcPr>
            <w:tcW w:w="560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5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tc>
      </w:tr>
      <w:tr>
        <w:trPr/>
        <w:tc>
          <w:tcPr>
            <w:tcW w:w="5600"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40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tc>
      </w:tr>
      <w:tr>
        <w:trPr/>
        <w:tc>
          <w:tcPr>
            <w:tcW w:w="56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 __, ______</w:t>
            </w:r>
          </w:p>
          <w:p>
            <w:pPr>
              <w:pStyle w:val="TableContents"/>
              <w:bidi w:val="0"/>
              <w:spacing w:before="0" w:after="0"/>
              <w:ind w:left="0" w:right="0" w:hanging="0"/>
              <w:jc w:val="both"/>
              <w:rPr>
                <w:caps w:val="false"/>
                <w:smallCaps w:val="false"/>
              </w:rPr>
            </w:pPr>
            <w:r>
              <w:rPr>
                <w:caps w:val="false"/>
                <w:smallCaps w:val="false"/>
              </w:rPr>
              <w:t> </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Signature:______________________________________</w:t>
            </w:r>
          </w:p>
          <w:p>
            <w:pPr>
              <w:pStyle w:val="TableContents"/>
              <w:bidi w:val="0"/>
              <w:spacing w:before="0" w:after="0"/>
              <w:ind w:left="0" w:right="0" w:hanging="0"/>
              <w:jc w:val="both"/>
              <w:rPr>
                <w:caps w:val="false"/>
                <w:smallCaps w:val="false"/>
              </w:rPr>
            </w:pPr>
            <w:r>
              <w:rPr>
                <w:caps w:val="false"/>
                <w:smallCaps w:val="false"/>
              </w:rPr>
              <w:t> </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Address:_______________________________________</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 Officers of corporations and those acting in a fiduciary or other representative capacity should file proper evidence of authority to assign the foregoing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240" w:after="60"/>
        <w:jc w:val="left"/>
        <w:rPr>
          <w:bdr w:val="single" w:sz="16" w:space="1" w:color="000000"/>
        </w:rPr>
      </w:pPr>
      <w:bookmarkStart w:id="12" w:name="exhibit_10-4.htm"/>
      <w:bookmarkStart w:id="13" w:name="ksexhibit_104"/>
      <w:bookmarkEnd w:id="12"/>
      <w:bookmarkEnd w:id="13"/>
      <w:r>
        <w:rPr>
          <w:bdr w:val="single" w:sz="16" w:space="1" w:color="000000"/>
        </w:rPr>
        <w:t> </w:t>
      </w:r>
      <w:r>
        <w:br w:type="page"/>
      </w:r>
    </w:p>
    <w:p>
      <w:pPr>
        <w:pStyle w:val="TextBody"/>
        <w:bidi w:val="0"/>
        <w:jc w:val="right"/>
        <w:rPr>
          <w:b/>
          <w:u w:val="single"/>
        </w:rPr>
      </w:pPr>
      <w:r>
        <w:rPr>
          <w:b/>
          <w:u w:val="single"/>
        </w:rPr>
        <w:t>Exhibit 10.4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to the Warrant to Purchase American Depositary Shares (this “Amendment”) dated this 27th day of August, 2026, by and between BIOLINERX LTD., a company organized under the laws of the State of Israel (the “Company”), and Armistice Capital Master Fund Ltd. (the “Holder”).</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Holder is the holder of outstanding warrants to purchase an aggregate of 277,273 American Depositary Shares (“ADSs”), each ADS representing 600 ordinary shares of the Company, issued to the Holder by the Company on September 21, 2022 (the “Existing Warrants”). Capitalized terms used but not otherwise defined herein shall have the meanings set forth in the Existing Warrants; and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Holder desire to amend the Existing Warrants as more particularly set forth below;</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do hereby agree as follows: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Effective as of the date hereof, the respective Exercise Price of the Existing Warrants is hereby amended to be $2.78 per ADS, subject to further adjustment as set forth in the Existing Warrants, and the respective Termination Date of the Existing Warrants is hereby amended to be August 31, 2031.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as modified herein, the terms of the Existing Warrants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Holder (i) represents and warrants to the Company that it is not a tax resident of Israel, does not maintain a permanent establishment in Israel, and is not otherwise subject to Israeli taxation; and (ii) undertakes to reasonably cooperate with the Company (including by providing, within five (5) business days of a request by the Company, any reasonably requested documents) in connection with the filing by the Company of any required application with the Israel Tax Authority for an Israeli tax withholding exemption, certificate, or ruling in connection with the transactions contemplated by this Amendment. In connection therewith, Holder undertakes to execute and deliver to the Company, simultaneously with Holder’s execution and delivery of this Amendment, a “Declaration of Status for Israeli Income Tax Purposes” in the form attached hereto as Exhibit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This Amendment may be executed in any number of counterparts, each of which when so executed shall be deemed to be an original and shall be binding upon all parties, their successors and assigns, and all of which taken together shall constitute one and the same Amendment. A signature delivered by email shall constitute an original.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 </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Amendment as of the date first written above.</w:t>
      </w:r>
    </w:p>
    <w:p>
      <w:pPr>
        <w:pStyle w:val="TextBody"/>
        <w:bidi w:val="0"/>
        <w:spacing w:before="0" w:after="0"/>
        <w:ind w:left="0" w:right="0" w:firstLine="490"/>
        <w:jc w:val="left"/>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2056"/>
        <w:gridCol w:w="446"/>
        <w:gridCol w:w="561"/>
      </w:tblGrid>
      <w:tr>
        <w:trPr/>
        <w:tc>
          <w:tcPr>
            <w:tcW w:w="306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BIOLINERX LTD.</w:t>
            </w:r>
          </w:p>
        </w:tc>
      </w:tr>
      <w:tr>
        <w:trPr/>
        <w:tc>
          <w:tcPr>
            <w:tcW w:w="2056" w:type="dxa"/>
            <w:tcBorders/>
            <w:vAlign w:val="center"/>
          </w:tcPr>
          <w:p>
            <w:pPr>
              <w:pStyle w:val="TableContents"/>
              <w:bidi w:val="0"/>
              <w:spacing w:before="0" w:after="283"/>
              <w:jc w:val="left"/>
              <w:rPr/>
            </w:pPr>
            <w:r>
              <w:rPr/>
              <w:t> </w:t>
            </w:r>
          </w:p>
        </w:tc>
        <w:tc>
          <w:tcPr>
            <w:tcW w:w="1007" w:type="dxa"/>
            <w:gridSpan w:val="2"/>
            <w:tcBorders/>
            <w:vAlign w:val="center"/>
          </w:tcPr>
          <w:p>
            <w:pPr>
              <w:pStyle w:val="TableContents"/>
              <w:bidi w:val="0"/>
              <w:spacing w:before="0" w:after="283"/>
              <w:jc w:val="left"/>
              <w:rPr/>
            </w:pPr>
            <w:r>
              <w:rPr/>
              <w:t> </w:t>
            </w:r>
          </w:p>
        </w:tc>
      </w:tr>
      <w:tr>
        <w:trPr/>
        <w:tc>
          <w:tcPr>
            <w:tcW w:w="2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46" w:type="dxa"/>
            <w:tcBorders>
              <w:bottom w:val="single" w:sz="8" w:space="0" w:color="000000"/>
            </w:tcBorders>
            <w:tcMar>
              <w:bottom w:w="28" w:type="dxa"/>
            </w:tcMar>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pPr>
            <w:r>
              <w:rPr/>
              <w:t> </w:t>
            </w:r>
          </w:p>
        </w:tc>
      </w:tr>
      <w:tr>
        <w:trPr/>
        <w:tc>
          <w:tcPr>
            <w:tcW w:w="306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r>
      <w:tr>
        <w:trPr/>
        <w:tc>
          <w:tcPr>
            <w:tcW w:w="306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r>
      <w:tr>
        <w:trPr/>
        <w:tc>
          <w:tcPr>
            <w:tcW w:w="3063" w:type="dxa"/>
            <w:gridSpan w:val="3"/>
            <w:tcBorders/>
            <w:vAlign w:val="center"/>
          </w:tcPr>
          <w:p>
            <w:pPr>
              <w:pStyle w:val="TableContents"/>
              <w:bidi w:val="0"/>
              <w:spacing w:before="0" w:after="283"/>
              <w:jc w:val="left"/>
              <w:rPr/>
            </w:pPr>
            <w:r>
              <w:rPr/>
              <w:t> </w:t>
            </w:r>
          </w:p>
        </w:tc>
      </w:tr>
      <w:tr>
        <w:trPr/>
        <w:tc>
          <w:tcPr>
            <w:tcW w:w="306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Armistice Capital Master Fund Ltd.</w:t>
            </w:r>
          </w:p>
        </w:tc>
      </w:tr>
      <w:tr>
        <w:trPr/>
        <w:tc>
          <w:tcPr>
            <w:tcW w:w="306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2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46" w:type="dxa"/>
            <w:tcBorders>
              <w:bottom w:val="single" w:sz="8" w:space="0" w:color="000000"/>
            </w:tcBorders>
            <w:tcMar>
              <w:bottom w:w="28" w:type="dxa"/>
            </w:tcMar>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pPr>
            <w:r>
              <w:rPr/>
              <w:t> </w:t>
            </w:r>
          </w:p>
        </w:tc>
      </w:tr>
      <w:tr>
        <w:trPr/>
        <w:tc>
          <w:tcPr>
            <w:tcW w:w="306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r>
      <w:tr>
        <w:trPr/>
        <w:tc>
          <w:tcPr>
            <w:tcW w:w="306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r>
    </w:tbl>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Declaration of Status for Israeli Income Tax Purposes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240" w:after="60"/>
        <w:ind w:left="0" w:right="0" w:hanging="0"/>
        <w:jc w:val="left"/>
        <w:rPr>
          <w:bdr w:val="single" w:sz="16" w:space="1" w:color="000000"/>
        </w:rPr>
      </w:pPr>
      <w:bookmarkStart w:id="14" w:name="exhibit_10-5.htm"/>
      <w:bookmarkStart w:id="15" w:name="ksexhibit_105"/>
      <w:bookmarkEnd w:id="14"/>
      <w:bookmarkEnd w:id="15"/>
      <w:r>
        <w:rPr>
          <w:bdr w:val="single" w:sz="16" w:space="1" w:color="000000"/>
        </w:rPr>
        <w:t> </w:t>
      </w:r>
      <w:r>
        <w:br w:type="page"/>
      </w:r>
    </w:p>
    <w:p>
      <w:pPr>
        <w:pStyle w:val="TextBody"/>
        <w:bidi w:val="0"/>
        <w:spacing w:before="0" w:after="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PLACEMENT AGENCY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27,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BioLineRx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Modi’in Technology Park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HaMa’ayan Street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Modi’in, 7177871, Israel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Philip Serlin,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Serlin: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constitutes the agreement between Chardan Capital Markets, LLC, as sole placement agent (the “</w:t>
      </w:r>
      <w:r>
        <w:rPr>
          <w:rFonts w:ascii="Times New Roman;Times;Serif" w:hAnsi="Times New Roman;Times;Serif"/>
          <w:b/>
          <w:i w:val="false"/>
          <w:caps w:val="false"/>
          <w:smallCaps w:val="false"/>
          <w:sz w:val="20"/>
        </w:rPr>
        <w:t>Placement Agent</w:t>
      </w:r>
      <w:r>
        <w:rPr>
          <w:rFonts w:ascii="Times New Roman;Times;Serif" w:hAnsi="Times New Roman;Times;Serif"/>
          <w:b w:val="false"/>
          <w:i w:val="false"/>
          <w:caps w:val="false"/>
          <w:smallCaps w:val="false"/>
          <w:sz w:val="20"/>
        </w:rPr>
        <w:t>”), and BioLineRx Ltd, a company organized under the laws of the State of Israel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that the Placement Agent shall serve as the Placement Agent for the Company, on a “reasonable best efforts” basis, in connection with the proposed placement (the “</w:t>
      </w:r>
      <w:r>
        <w:rPr>
          <w:rFonts w:ascii="Times New Roman;Times;Serif" w:hAnsi="Times New Roman;Times;Serif"/>
          <w:b/>
          <w:i w:val="false"/>
          <w:caps w:val="false"/>
          <w:smallCaps w:val="false"/>
          <w:sz w:val="20"/>
        </w:rPr>
        <w:t>Placement</w:t>
      </w:r>
      <w:r>
        <w:rPr>
          <w:rFonts w:ascii="Times New Roman;Times;Serif" w:hAnsi="Times New Roman;Times;Serif"/>
          <w:b w:val="false"/>
          <w:i w:val="false"/>
          <w:caps w:val="false"/>
          <w:smallCaps w:val="false"/>
          <w:sz w:val="20"/>
        </w:rPr>
        <w:t>”) of American Depositary Shares (the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each representing 600 Ordinary Shares, no par value, of the Company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pre-funded warrants to purchase ADSs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and certain ordinary warrants (the “</w:t>
      </w:r>
      <w:r>
        <w:rPr>
          <w:rFonts w:ascii="Times New Roman;Times;Serif" w:hAnsi="Times New Roman;Times;Serif"/>
          <w:b/>
          <w:i w:val="false"/>
          <w:caps w:val="false"/>
          <w:smallCaps w:val="false"/>
          <w:sz w:val="20"/>
        </w:rPr>
        <w:t>Ordinary Warrants</w:t>
      </w:r>
      <w:r>
        <w:rPr>
          <w:rFonts w:ascii="Times New Roman;Times;Serif" w:hAnsi="Times New Roman;Times;Serif"/>
          <w:b w:val="false"/>
          <w:i w:val="false"/>
          <w:caps w:val="false"/>
          <w:smallCaps w:val="false"/>
          <w:sz w:val="20"/>
        </w:rPr>
        <w:t>”) to purchase ADSs. The Shares, Pre-Funded Warrants and Ordinary Warrants actually placed by the Placement Agent are referred to herein as the “</w:t>
      </w:r>
      <w:r>
        <w:rPr>
          <w:rFonts w:ascii="Times New Roman;Times;Serif" w:hAnsi="Times New Roman;Times;Serif"/>
          <w:b/>
          <w:i w:val="false"/>
          <w:caps w:val="false"/>
          <w:smallCaps w:val="false"/>
          <w:sz w:val="20"/>
        </w:rPr>
        <w:t>Placement Agent Securities</w:t>
      </w:r>
      <w:r>
        <w:rPr>
          <w:rFonts w:ascii="Times New Roman;Times;Serif" w:hAnsi="Times New Roman;Times;Serif"/>
          <w:b w:val="false"/>
          <w:i w:val="false"/>
          <w:caps w:val="false"/>
          <w:smallCaps w:val="false"/>
          <w:sz w:val="20"/>
        </w:rPr>
        <w:t>.” The Shares and Pre-Funded Warrants shall be offered and sold under the Company’s registration statement on Form F-3 (File No. 333-276323), which was declared effective by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on January 5, 2024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The Ordinary Warrants and the ADSs and Ordinary Shares issuable upon the exercise of the Ordinary Warrant shall be offered and sold in a concurrent private placement pursuant to an exemption from the registration requirements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If the Company files any registration statement pursuant to Rule 462(b) of the Securities Act, then after such filing, the term “Registration Statement” shall include such registration statement filed pursuant to Rule 462(b). The documents executed and delivered by the Company and the Purchasers (as defined below) in connection with the Placement, including, without limitation, a securities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shall be collectively referred to herein as the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The purchase price to the Purchasers for each ADS is $2.78 and the purchase price to the Purchasers for each Pre-Funded Warrant is $2.7799. The Placement Agent may retain other brokers or dealers to act as sub-agents or selected-dealers on its behalf in connection with the Placement with the Company’s prior consent.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Placement shall be mutually agreed upon by the Company and the purchasers listed in the Purchase Agreement (each, a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Purchasers</w:t>
      </w:r>
      <w:r>
        <w:rPr>
          <w:rFonts w:ascii="Times New Roman;Times;Serif" w:hAnsi="Times New Roman;Times;Serif"/>
          <w:b w:val="false"/>
          <w:i w:val="false"/>
          <w:caps w:val="false"/>
          <w:smallCaps w:val="false"/>
          <w:sz w:val="20"/>
        </w:rPr>
        <w:t>”), and nothing herein constitutes that the Placement Agent would have the power or authority to bind the Company or any Purchaser, or an obligation for the Company will issue any Placement Agent Securities or complete the Placement. The Company expressly acknowledges and agrees that the Placement Agent’s obligations hereunder are on a reasonable best efforts basis only and that the execution of this Agreement does not constitute a commitment by the Placement Agent to purchase the Placement Agent Securities and does not ensure the successful placement of the Placement Agent Securities or any portion thereof or the success of the Placement Agent with respect to securing any other financing on behalf of the Company. Certain affiliates of the Placement Agent may participate in the Placement by purchasing some of the Placement Agent Securities. The sale of Placement Agent Securities to any Purchaser will be evidenced by the Purchase Agreement between the Company and such Purchaser, in a form reasonably acceptable to the Company and the Purchaser. Capitalized terms that are not otherwise defined herein have the meanings given to such terms in the Purchase Agreement. Prior to the signing of any Purchase Agreement, officers of the Company will be available to answer inquiries from prospective Purchasers.</w:t>
      </w:r>
    </w:p>
    <w:p>
      <w:pPr>
        <w:pStyle w:val="TextBody"/>
        <w:bidi w:val="0"/>
        <w:spacing w:before="0" w:after="0"/>
        <w:ind w:left="0" w:right="0" w:firstLine="720"/>
        <w:jc w:val="center"/>
        <w:rPr>
          <w:bdr w:val="single" w:sz="8" w:space="1" w:color="000000"/>
        </w:rPr>
      </w:pPr>
      <w:r>
        <w:rPr>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REPRESENTATIONS AND WARRANTIES OF THE COMPANY; COVENANTS OF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With respect to the Placement Agent Securities, each of the representations and warranties (together with any related disclosure schedules thereto) and covenants made by the Company to the Purchasers in the Purchase Agreement in connection with the Placement is hereby incorporated herein by reference into this Agreement (as though fully restated herein) and is, as of the date of this Agreement and as of the Closing Date, hereby made to, and in favor of, the Placement Agent. In addition to the foregoing, the Company represents and warrants that there are no affiliations with any FINRA (as defined below) member firm among the Company’s officers, directors or, to the knowledge of the Company, any ten percent (10.0%) or greater stockholder of the Company, except as set forth in the Purchase Agreement and SEC Reports.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sz w:val="20"/>
          <w:u w:val="single"/>
        </w:rPr>
        <w:t>Covenants of the Company</w:t>
      </w:r>
      <w:r>
        <w:rPr>
          <w:rFonts w:ascii="Times New Roman;Times;Serif" w:hAnsi="Times New Roman;Times;Serif"/>
          <w:b w:val="false"/>
          <w:i w:val="false"/>
          <w:caps w:val="false"/>
          <w:smallCaps w:val="false"/>
          <w:sz w:val="20"/>
        </w:rPr>
        <w:t>. The Company covenants and agrees to continue to retain (i) a firm of Public Company Accounting Oversight Board independent registered public accountants for a period of at least two (2) years after the Closing Date and (ii) a nationally recognized depositary with respect to the ADSs for a period of two (2) years after the Closing Date. Furthermore, (i) for sixty (60) days after the closing date of the Placement (the “</w:t>
      </w:r>
      <w:r>
        <w:rPr>
          <w:rFonts w:ascii="Times New Roman;Times;Serif" w:hAnsi="Times New Roman;Times;Serif"/>
          <w:b/>
          <w:i w:val="false"/>
          <w:caps w:val="false"/>
          <w:smallCaps w:val="false"/>
          <w:sz w:val="20"/>
        </w:rPr>
        <w:t>Restriction Period</w:t>
      </w:r>
      <w:r>
        <w:rPr>
          <w:rFonts w:ascii="Times New Roman;Times;Serif" w:hAnsi="Times New Roman;Times;Serif"/>
          <w:b w:val="false"/>
          <w:i w:val="false"/>
          <w:caps w:val="false"/>
          <w:smallCaps w:val="false"/>
          <w:sz w:val="20"/>
        </w:rPr>
        <w:t>”), the Company shall not, without the prior written consent of the Placement Agent, issue, enter into any agreement to issue or announce the issuance or proposed issuance of any ADSs, Shares or Ordinary Share Equivalents (as defined in the Purchase Agreement) and [(ii) except for offerings with the Placement Agent, for one hundred twenty (120) days after the closing date of the Placement, the Company shall not effect or enter into an agreement to effect any issuance of ADSs, Shares or Ordinary Share Equivalents involving an at-the-market offering (other than its existing at-the-market offering program which may be utilized at the conclusion of the Restriction Period) or Variable Rate Transaction (as defined in the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REPRESENTATIONS OF THE PLACEMENT AGENT</w:t>
      </w:r>
      <w:r>
        <w:rPr>
          <w:rFonts w:ascii="Times New Roman;Times;Serif" w:hAnsi="Times New Roman;Times;Serif"/>
          <w:b w:val="false"/>
          <w:i w:val="false"/>
          <w:caps w:val="false"/>
          <w:smallCaps w:val="false"/>
          <w:sz w:val="20"/>
        </w:rPr>
        <w:t>. The Placement Agent, represents and warrants that it (i) is a member in good standing of the Financial Industry Regulatory Authority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(ii) is registered as a broker/dealer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(iii) is licensed as a broker/dealer under the laws of the United States of America, applicable to the offers and sales of the Placement Agent Securities by the Placement Agent, (iv) is and will be a corporate body validly existing under the laws of its place of incorporation, (v) has full power and authority to enter into and perform its obligations under this Agreement; and (vi) it does not currently have (nor did it have in the past) an Israeli tax residence or a permanent establishment in Israel and no services were or will be performed under this Agreement by the Placement Agent from the State of Israel in connection with the Placement. The Placement Agent will immediately notify the Company in writing of any change in its status with respect to subsections (i) through (vi) above. The Placement Agent further represents and warrants that it has not and will not offer or sell the Placement Agent Securities in Israel. The Placement Agent covenants that it will use its reasonable best efforts to conduct the Placement hereunder in compliance with the provisions of this Agreement and the requirements of applicable law.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In consideration of the services to be provided for hereunder, the Company shall pay to the Placement Agent or its respective designees a total cash fee equal to seven percent (7.0%) of gross proceeds from the Placement of the total amount of Placement Agent Securities sold. In addition, the Company shall pay to the Placement Agent or its respective designees a total management fee equal to one percent (1.0%) of gross proceeds from the Placement of the total amount of Placement Agent Securities sold. The Placement Agent reserves the right to reduce any item of compensation, including the reimbursement of expenses described below, or adjust the terms thereof as specified herein in the event that a determination shall be made by FINRA to the effect that the Placement Agent’s aggregate compensation is in excess of FINRA Rules or that the terms thereof require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u w:val="single"/>
        </w:rPr>
        <w:t>SECTION 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Company agrees to pay all costs, fees and expenses incurred by the Company in connection with the performance of its obligations hereunder and in connection with the transactions contemplated hereby, including, without limitation: (i) all expenses incident to the issuance, delivery and qualification of the Placement Agent Securities (including all printing and engraving costs); (ii) all fees and expenses of the registrar and transfer agent of the Shares; (iii) all necessary issue, transfer and other stamp taxes in connection with the issuance and sale of the Placement Agent Securities;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Base Prospectus and each Prospectus Supplement, and all amendments and supplements thereto, and this Agreement; (vi) all filing fees, reasonable attorneys’ fees and expenses incurred by the Company in connection with qualifying or registering (or obtaining exemptions from the qualification or registration of) all or any part of the Placement Agent Securities for offer and sale under the state securities or blue sky laws or the securities laws of any other country; (vii) the fees and expenses associated with including the Placement Agent Securities on the Trading Market; (ix) subject to closing of the Placement, up to $50,000 for accountable expenses related to legal fees of counsel to the Placement Agent in respect of the Placement. Notwithstanding the foregoing, any advance received by the Placement Agent will be reimbursed to the Company to the extent not actually incurred in compliance with FINRA Rule 5110(f)(2)(C). The maximum the Company shall be obligated to pay to the Placement Agent pursuant to this Section 4(A) shall not exceed $50,000 in the aggregate.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TAIL FEE</w:t>
      </w:r>
      <w:r>
        <w:rPr>
          <w:rFonts w:ascii="Times New Roman;Times;Serif" w:hAnsi="Times New Roman;Times;Serif"/>
          <w:b w:val="false"/>
          <w:i w:val="false"/>
          <w:caps w:val="false"/>
          <w:smallCaps w:val="false"/>
          <w:sz w:val="20"/>
        </w:rPr>
        <w:t>. If the Placement is not consummated prior to the Termination Date, the Placement Agent shall be entitled to the full Compensation as set forth in Section 4(A) (the “</w:t>
      </w:r>
      <w:r>
        <w:rPr>
          <w:rFonts w:ascii="Times New Roman;Times;Serif" w:hAnsi="Times New Roman;Times;Serif"/>
          <w:b/>
          <w:i w:val="false"/>
          <w:caps w:val="false"/>
          <w:smallCaps w:val="false"/>
          <w:sz w:val="20"/>
        </w:rPr>
        <w:t>Financing Fee</w:t>
      </w:r>
      <w:r>
        <w:rPr>
          <w:rFonts w:ascii="Times New Roman;Times;Serif" w:hAnsi="Times New Roman;Times;Serif"/>
          <w:b w:val="false"/>
          <w:i w:val="false"/>
          <w:caps w:val="false"/>
          <w:smallCaps w:val="false"/>
          <w:sz w:val="20"/>
        </w:rPr>
        <w:t>”) with respect to any Company financing transaction (a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that is consummated within six (6) months of the expiration or earlier termination of this Agreement; provided, that such Financing Fee (if applicable) shall only be payable if the counterparty to a Transaction is an Introduced Party that has actually met with the Company and such Financing Fee shall be payable solely on the basis of amounts raised by the Company from Introduced Parties (as such term is defined in the engagement letter by and between the Company and the Placement Agent dated July 24, 2026 (the “</w:t>
      </w:r>
      <w:r>
        <w:rPr>
          <w:rFonts w:ascii="Times New Roman;Times;Serif" w:hAnsi="Times New Roman;Times;Serif"/>
          <w:b/>
          <w:i w:val="false"/>
          <w:caps w:val="false"/>
          <w:smallCaps w:val="false"/>
          <w:sz w:val="20"/>
        </w:rPr>
        <w:t>Engagement Letter</w:t>
      </w:r>
      <w:r>
        <w:rPr>
          <w:rFonts w:ascii="Times New Roman;Times;Serif" w:hAnsi="Times New Roman;Times;Serif"/>
          <w:b w:val="false"/>
          <w:i w:val="false"/>
          <w:caps w:val="false"/>
          <w:smallCaps w:val="false"/>
          <w:sz w:val="20"/>
        </w:rPr>
        <w:t>”) in such Financing, and the tail period shall not apply to any transaction that is not deemed a Transaction pursuant to this Agreement; provided, further, that no such Financing Fee shall be payable pursuant to this paragraph if the services hereunder are terminated (i) by the Placement Agent for any reason other than the Company’s material breach of this Agreement, bad faith, gross negligence or willful misconduct, or (ii) by the Company based on the Placement Agent’s material breach of this Agreement, bad faith, gross negligence or willful misconduct. Notwithstanding the foregoing, the number of Introduced Parties for which the Placemen Agent is entitled to a fee under this Section 4(B) shall not exceed fifteen (15).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permitted by law, with respect to the Placement Agent Securities, the Company will indemnify the Placement Agent and its affiliates, stockholders, directors, officers, employees, members and controlling persons (within the meaning of Section 15 of the Securities Act or Section 20 of the Exchange Act) against all losses, claims, damages, expenses and liabilities, as the same are incurred (including the reasonable and documented fees and expenses of one counsel for all indemnified persons), relating to or arising out of its activities hereunder or pursuant to this Agreement, except to the extent that any losses, claims, damages, expenses or liabilities (or actions in respect thereof) are found in a final judgment (not subject to appeal) by a court of law to have resulted primarily and directly from the Placement Agent’s willful misconduct or gross negligence in performing the services described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after receipt by the Placement Agent of notice of any claim or the commencement of any action or proceeding with respect to which the Placement Agent is entitled to indemnity hereunder, the Placement Agent will promptly notify the Company in writing of such claim or of the commencement of such action or proceeding, but failure to so notify the Company shall not relieve the Company from any obligation it may have hereunder, except and only to the extent such failure results in the forfeiture by the Company of substantial rights and defenses. If the Company so elects or is requested by the Placement Agent, the Company will assume the defense of such action or proceeding and will employ counsel reasonably satisfactory to the Placement Agent and will pay the reasonable and documented fees and expenses of such counsel. Notwithstanding the preceding sentence, the Placement Agent will be entitled to employ its own counsel separate from counsel for the Company and from any other party in such action if counsel for the Placement Agent reasonably determines that it would be inappropriate under the applicable rules of professional responsibility for the same counsel to represent both the Company and the Placement Agent. In such event, the reasonable fees and disbursements of no more than one such separate counsel will be paid by the Company, in addition to the reasonable and documented fees of local counsel. The Company will have the right to settle the claim or proceeding provided that the Company will not settle any such claim, action or proceeding without the prior written consent of the Placement Agent, which will not be unreasonably withheld.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agrees to notify the Placement Agent promptly of the assertion against it or any other person of any claim or the commencement of any action or proceeding relating to a transaction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for any reason the foregoing indemnity is unavailable to the Placement Agent or insufficient to hold the Placement Agent harmless, other than as a result of the Placement Agent’s fraud, willful misconduct or gross negligence, then the Company shall contribute to the amount paid or payable by the Placement Agent as a result of such losses, claims, damages or liabilities in such proportion as is appropriate to reflect not only the relative benefits received by the Company on the one hand and the Placement Agent on the other, but also the relative fault of the Company on the one hand and the liable Placement Agent on the other that resulted in such losses, claims, damages or liabilities, as well as any relevant equitable considerations. The amounts paid or payable by a party in respect of losses, claims, damages and liabilities referred to above shall be deemed to include any reasonable and documented legal or other fees and expenses incurred in defending any litigation, proceeding or other action or claim. Notwithstanding the provisions hereof, the Placement Agent’s share of the liability hereunder shall not be in excess of the amount of fees actually received, or to be received, by the Placement Agent under this Agreement (excluding any amounts received as reimbursement of expenses incurred by the Placement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These indemnification provisions shall remain in full force and effect whether or not the transaction contemplated by this Agreement is completed and shall survive the termination of this Agreement, and shall be in addition to any liability that the Company might otherwise have to any indemnified party under this Agreement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ENGAGEMENT TERM</w:t>
      </w:r>
      <w:r>
        <w:rPr>
          <w:rFonts w:ascii="Times New Roman;Times;Serif" w:hAnsi="Times New Roman;Times;Serif"/>
          <w:b w:val="false"/>
          <w:i w:val="false"/>
          <w:caps w:val="false"/>
          <w:smallCaps w:val="false"/>
          <w:sz w:val="20"/>
        </w:rPr>
        <w:t>. The Placement Agent’s engagement hereunder will be until the earlier of (i) September 10, 2026 and (ii) the Closing Date. The date of termination of this Agreement is referred to herein as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In the event, however, in the course of the Placement Agent’s performance of due diligence it deems, it necessary to terminate the engagement, the Placement Agent may do so prior to the Termination Date. The Company may elect to terminate the engagement hereunder for any reason prior to the Termination Date but will remain responsible for fees pursuant to Section 3 hereof with respect to the Placement Agent Securities if sold in the Placement. Notwithstanding anything to the contrary contained herein, the provisions concerning the Company’s obligation to pay any fees actually earned pursuant to Section 3 hereof and the provisions concerning confidentiality, indemnification and contribution contained herein will survive any expiration or termination of this Agreement. If this Agreement is terminated prior to the completion of the Placement, all fees due to the Placement Agent as set forth in Section 3 shall be paid by the Company to the Placement Agent within seven business days of the Termination Date (in the event such fees are earned or owed as of the Termination Date). The Placement Agent agrees not to use any confidential information concerning the Company provided to the Placement Agent by the Company for any purposes other than those contemplated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PLACEMENT AGENT INFORMATION</w:t>
      </w:r>
      <w:r>
        <w:rPr>
          <w:rFonts w:ascii="Times New Roman;Times;Serif" w:hAnsi="Times New Roman;Times;Serif"/>
          <w:b w:val="false"/>
          <w:i w:val="false"/>
          <w:caps w:val="false"/>
          <w:smallCaps w:val="false"/>
          <w:sz w:val="20"/>
        </w:rPr>
        <w:t>. The Company agrees that any information or advice rendered by the Placement Agent in connection with this engagement is for the confidential use of the Company only in its evaluation of the Placement and, except as otherwise required by law, the Company will not disclose or otherwise refer to the advice or information in any manner without the Placement Agent’s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NO FIDUCIARY RELATIONSHIP</w:t>
      </w:r>
      <w:r>
        <w:rPr>
          <w:rFonts w:ascii="Times New Roman;Times;Serif" w:hAnsi="Times New Roman;Times;Serif"/>
          <w:b w:val="false"/>
          <w:i w:val="false"/>
          <w:caps w:val="false"/>
          <w:smallCaps w:val="false"/>
          <w:sz w:val="20"/>
        </w:rPr>
        <w:t>. This Agreement does not create, and shall not be construed as creating rights enforceable by any person or entity not a party hereto, except those entitled hereto by virtue of the indemnification provisions hereof. The Company acknowledges and agrees that the Placement Agent is not and shall not be construed as a fiduciary of the Company and shall have no duties or liabilities to the equity holders or the creditors of the Company or any other person by virtue of this Agreement or the retention of the Placement Agent hereunder, all of which are hereby expressly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obligations of the Placement Agent, and the closing of the sale of the Placement Agent Securities hereunder are subject to the accuracy, when made and on the Closing Date, of the representations and warranties on the part of the Company contained herein and in the Purchase Agreement, to the performance by the Company of its obligations hereunder, and to each of the following additional terms and conditions, except as otherwise disclosed to and acknowledged and waived by the Placement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corporate proceedings and other legal matters incident to the authorization, form, execution, delivery and validity of each of this Agreement, the Placement Agent Securities, and all other legal matters relating to this Agreement and the transactions contemplated hereby with respect to the Placement Agent Securities shall be reasonably satisfactory in all material respects to the Placement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Placement Agent shall have received from outside US and Israeli counsel to the Company each such counsel’s written opinion with respect to the Placement Agent Securities, addressed to the Placement Agent and dated as of the Closing Date, in form and substance reasonably satisfactory to the Placement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ADSs shall be registered under the Exchange Act. The Company shall have taken no action designed to, or likely to have the effect of terminating the registration of the ADSs under the Exchange Act or delisting or suspending from trading the ADSs or the Placement Securities from the Trading Market or other applicable U.S. national exchange, nor has the Company received any information suggesting that the Commission or the Trading Market or other U.S. applicable national exchange is contemplating terminating such registration or listing.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action shall have been taken and no statute, rule, regulation or order shall have been enacted, adopted or issued by any governmental agency or body which would, as of the Closing Date, prevent the issuance or sale of the Placement Agent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Placement Agent Securities or materially and adversely affect or potentially and adversely affect the business or operations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entered into a Purchase Agreement with each of the Purchasers of the Placement Agent Securities and such agreements shall be in full force and effect and shall contain representations, warranties and covenants of the Company as agreed upon between the Company and the Purchasers.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FINRA shall have raised no objection to the fairness and reasonableness of the terms and arrangements of this Agreement. In addition, the Company shall, if requested by the Placement Agent, make or authorize Placement Agent’s counsel to make on the Company’s behalf, any filing with the FINRA Corporate Financing Department pursuant to FINRA Rule 2710 with respect to the Placement and pay all filing fees required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Placement Agent shall have received an executed lock-up agreement and an executed FINRA questionnaire from each of the Company (with respect to the FINRA questionnaire only) and the Company’s executive officers and directors.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conditions specified in this Section 9 shall not have been fulfilled when and as required by this Agreement, all obligations of the Placement Agent hereunder may be cancelled by the Placement Agent at, or at any time prior to, the Closing Date. Notice of such cancellation shall be given to the Company in writing or orally. Any such oral notice shall be confirmed promptly thereafter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will be governed by, and construed in accordance with, the laws of the State of New York applicable to agreements made and to be performed entirely in such State.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If either party shall commence an action or proceeding to enforce any provisions of this Agreement, then the prevailing party in such action or proceeding shall be reimbursed by the other party for its reasonable and documented attorney's fees and other costs and expenses incurred with the investigation, preparation and prosecution of such action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ENTIRE AGREEMENT/MISCELLANEOUS</w:t>
      </w:r>
      <w:r>
        <w:rPr>
          <w:rFonts w:ascii="Times New Roman;Times;Serif" w:hAnsi="Times New Roman;Times;Serif"/>
          <w:b w:val="false"/>
          <w:i w:val="false"/>
          <w:caps w:val="false"/>
          <w:smallCaps w:val="false"/>
          <w:sz w:val="20"/>
        </w:rPr>
        <w:t>. Except for the Engagement Letter, this Agreement embodies the entire agreement and understanding between the parties hereto,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both the Placement Agent and the Company. The representations, warranties, agreements and covenants contained herein shall survive the Closing Date of the Placement and delivery of the Placement Agent Securities.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electronic transmission (including by DocuSign) or a .pdf format file, such signature shall create a valid and binding obligation of the party executing (or on whose behalf such signature is executed) with the same force and effect as if such facsimile or .pdf signature page were an original thereof. If requested by the Company, the Placement Agent shall reasonably cooperate with the Company, by providing reasonably required information for the Company to obtain a withholding certificate from the Israel Tax Authority that would permit payments made or deemed to be made hereunder by the Company to be subject to a reduced rate of, or exemption from, withholding or deduction.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date of transmission, if such notice or communication is sent to the email address specified on the signature pages attached hereto prior to 6:30 p.m. (New York City time) on a business day, (b) the next business day after the date of transmission, if such notice or communication is sent to the email address on the signature pages attached hereto on a day that is not a business day or later than 6:30 p.m. (New York City time) on any business day, (c) the third business day following the date of mailing, if sent by U.S. internationally recognized air courier service, or (d) upon actual receipt by the party to whom such notice is required to be given. The address for such notices and communications shall be as set forth on the signature pages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sz w:val="20"/>
          <w:u w:val="single"/>
        </w:rPr>
        <w:t>Press Announcements</w:t>
      </w:r>
      <w:r>
        <w:rPr>
          <w:rFonts w:ascii="Times New Roman;Times;Serif" w:hAnsi="Times New Roman;Times;Serif"/>
          <w:b w:val="false"/>
          <w:i w:val="false"/>
          <w:caps w:val="false"/>
          <w:smallCaps w:val="false"/>
          <w:sz w:val="20"/>
        </w:rPr>
        <w:t>. The Company agrees that the Placement Agent shall, on and after the Closing Date,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has been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that the foregoing correctly sets forth our agreement by signing and returning to the Placement Agent the enclosed copy of this Agreement.</w:t>
      </w:r>
    </w:p>
    <w:p>
      <w:pPr>
        <w:pStyle w:val="TextBody"/>
        <w:bidi w:val="0"/>
        <w:spacing w:before="0" w:after="0"/>
        <w:ind w:left="0" w:right="0" w:firstLine="72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160"/>
        <w:gridCol w:w="160"/>
        <w:gridCol w:w="4025"/>
      </w:tblGrid>
      <w:tr>
        <w:trPr/>
        <w:tc>
          <w:tcPr>
            <w:tcW w:w="75"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Chardan Capital Markets, LLC</w:t>
            </w:r>
          </w:p>
        </w:tc>
      </w:tr>
      <w:tr>
        <w:trPr/>
        <w:tc>
          <w:tcPr>
            <w:tcW w:w="75"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2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Shai Gerson</w:t>
            </w:r>
          </w:p>
        </w:tc>
      </w:tr>
      <w:tr>
        <w:trPr/>
        <w:tc>
          <w:tcPr>
            <w:tcW w:w="75" w:type="dxa"/>
            <w:tcBorders/>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Managing Partner, Equity Capital Markets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34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bidi w:val="0"/>
              <w:spacing w:before="0" w:after="283"/>
              <w:jc w:val="left"/>
              <w:rPr>
                <w:sz w:val="20"/>
              </w:rPr>
            </w:pPr>
            <w:r>
              <w:rPr>
                <w:rFonts w:ascii="Times New Roman;Times;Serif" w:hAnsi="Times New Roman;Times;Serif"/>
                <w:sz w:val="20"/>
                <w:u w:val="single"/>
              </w:rPr>
              <w:t>Address for notice:</w:t>
            </w:r>
            <w:r>
              <w:rPr>
                <w:sz w:val="20"/>
              </w:rPr>
              <w:t> </w:t>
            </w:r>
          </w:p>
        </w:tc>
      </w:tr>
      <w:tr>
        <w:trPr/>
        <w:tc>
          <w:tcPr>
            <w:tcW w:w="235" w:type="dxa"/>
            <w:gridSpan w:val="2"/>
            <w:tcBorders/>
            <w:vAlign w:val="center"/>
          </w:tcPr>
          <w:p>
            <w:pPr>
              <w:pStyle w:val="TableContents"/>
              <w:bidi w:val="0"/>
              <w:spacing w:before="0" w:after="283"/>
              <w:jc w:val="left"/>
              <w:rPr/>
            </w:pPr>
            <w:r>
              <w:rPr/>
              <w:t> </w:t>
            </w:r>
          </w:p>
        </w:tc>
        <w:tc>
          <w:tcPr>
            <w:tcW w:w="418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Chardan Capital Markets,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Pennsylvania Plaza, Suite 4800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10119</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Shai Gerson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sgerson@chardan.com</w:t>
            </w:r>
          </w:p>
        </w:tc>
      </w:tr>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3604" w:type="dxa"/>
        <w:jc w:val="left"/>
        <w:tblInd w:w="0" w:type="dxa"/>
        <w:tblLayout w:type="fixed"/>
        <w:tblCellMar>
          <w:top w:w="0" w:type="dxa"/>
          <w:left w:w="0" w:type="dxa"/>
          <w:bottom w:w="0" w:type="dxa"/>
          <w:right w:w="0" w:type="dxa"/>
        </w:tblCellMar>
      </w:tblPr>
      <w:tblGrid>
        <w:gridCol w:w="416"/>
        <w:gridCol w:w="3113"/>
        <w:gridCol w:w="75"/>
      </w:tblGrid>
      <w:tr>
        <w:trPr/>
        <w:tc>
          <w:tcPr>
            <w:tcW w:w="352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BioLineRx Ltd</w:t>
            </w:r>
          </w:p>
        </w:tc>
        <w:tc>
          <w:tcPr>
            <w:tcW w:w="75" w:type="dxa"/>
            <w:tcBorders/>
            <w:vAlign w:val="center"/>
          </w:tcPr>
          <w:p>
            <w:pPr>
              <w:pStyle w:val="TableContents"/>
              <w:bidi w:val="0"/>
              <w:spacing w:before="0" w:after="283"/>
              <w:jc w:val="left"/>
              <w:rPr/>
            </w:pPr>
            <w:r>
              <w:rPr/>
              <w:t> </w:t>
            </w:r>
          </w:p>
        </w:tc>
      </w:tr>
      <w:tr>
        <w:trPr/>
        <w:tc>
          <w:tcPr>
            <w:tcW w:w="352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113"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6" w:type="dxa"/>
            <w:tcBorders/>
            <w:vAlign w:val="center"/>
          </w:tcPr>
          <w:p>
            <w:pPr>
              <w:pStyle w:val="TableContents"/>
              <w:bidi w:val="0"/>
              <w:spacing w:before="0" w:after="283"/>
              <w:jc w:val="left"/>
              <w:rPr/>
            </w:pPr>
            <w:r>
              <w:rPr/>
              <w:t> </w:t>
            </w:r>
          </w:p>
        </w:tc>
        <w:tc>
          <w:tcPr>
            <w:tcW w:w="31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Philip Serlin</w:t>
            </w:r>
          </w:p>
        </w:tc>
        <w:tc>
          <w:tcPr>
            <w:tcW w:w="75" w:type="dxa"/>
            <w:tcBorders/>
            <w:vAlign w:val="center"/>
          </w:tcPr>
          <w:p>
            <w:pPr>
              <w:pStyle w:val="TableContents"/>
              <w:bidi w:val="0"/>
              <w:spacing w:before="0" w:after="283"/>
              <w:jc w:val="left"/>
              <w:rPr/>
            </w:pPr>
            <w:r>
              <w:rPr/>
              <w:t> </w:t>
            </w:r>
          </w:p>
        </w:tc>
      </w:tr>
      <w:tr>
        <w:trPr/>
        <w:tc>
          <w:tcPr>
            <w:tcW w:w="416" w:type="dxa"/>
            <w:tcBorders/>
            <w:vAlign w:val="center"/>
          </w:tcPr>
          <w:p>
            <w:pPr>
              <w:pStyle w:val="TableContents"/>
              <w:bidi w:val="0"/>
              <w:spacing w:before="0" w:after="283"/>
              <w:jc w:val="left"/>
              <w:rPr/>
            </w:pPr>
            <w:r>
              <w:rPr/>
              <w:t> </w:t>
            </w:r>
          </w:p>
        </w:tc>
        <w:tc>
          <w:tcPr>
            <w:tcW w:w="31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Chief Executive Officer</w:t>
            </w:r>
          </w:p>
        </w:tc>
        <w:tc>
          <w:tcPr>
            <w:tcW w:w="75" w:type="dxa"/>
            <w:tcBorders/>
            <w:vAlign w:val="center"/>
          </w:tcPr>
          <w:p>
            <w:pPr>
              <w:pStyle w:val="TableContents"/>
              <w:bidi w:val="0"/>
              <w:spacing w:before="0" w:after="283"/>
              <w:jc w:val="left"/>
              <w:rPr/>
            </w:pPr>
            <w:r>
              <w:rPr/>
              <w:t> </w:t>
            </w:r>
          </w:p>
        </w:tc>
      </w:tr>
      <w:tr>
        <w:trPr/>
        <w:tc>
          <w:tcPr>
            <w:tcW w:w="352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2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u w:val="single"/>
              </w:rPr>
              <w:t>Address for notice</w:t>
            </w:r>
            <w:r>
              <w:rPr>
                <w:rFonts w:ascii="Times New Roman;Times;Serif" w:hAnsi="Times New Roman;Times;Serif"/>
              </w:rPr>
              <w:t>:</w:t>
            </w:r>
          </w:p>
        </w:tc>
        <w:tc>
          <w:tcPr>
            <w:tcW w:w="75" w:type="dxa"/>
            <w:tcBorders/>
            <w:vAlign w:val="center"/>
          </w:tcPr>
          <w:p>
            <w:pPr>
              <w:pStyle w:val="TableContents"/>
              <w:bidi w:val="0"/>
              <w:spacing w:before="0" w:after="283"/>
              <w:jc w:val="left"/>
              <w:rPr/>
            </w:pPr>
            <w:r>
              <w:rPr/>
              <w:t> </w:t>
            </w:r>
          </w:p>
        </w:tc>
      </w:tr>
      <w:tr>
        <w:trPr/>
        <w:tc>
          <w:tcPr>
            <w:tcW w:w="3529" w:type="dxa"/>
            <w:gridSpan w:val="2"/>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Modi’in Technology Park</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HaMa’ayan Street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Modi’in, 7177871, Israel</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Philip Serlin, Chief Executive Officer</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Placement Agency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52</Pages>
  <Words>49656</Words>
  <Characters>261631</Characters>
  <CharactersWithSpaces>311469</CharactersWithSpaces>
  <Paragraphs>1373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