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04.htm"/>
      <w:bookmarkStart w:id="1" w:name="kszk2636104"/>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BioLineRx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HaMa’ayan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Modi’in 7177871,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On September 10, 2026, the registrant issued the press release which is filed as </w:t>
      </w:r>
      <w:hyperlink w:anchor="exhibit_1.htm">
        <w:r>
          <w:rPr>
            <w:rStyle w:val="InternetLink"/>
            <w:rFonts w:ascii="Times New Roman;Times;Serif" w:hAnsi="Times New Roman;Times;Serif"/>
            <w:b w:val="false"/>
            <w:i w:val="false"/>
            <w:caps w:val="false"/>
            <w:smallCaps w:val="false"/>
            <w:sz w:val="20"/>
          </w:rPr>
          <w:t>Exhibit 1</w:t>
        </w:r>
      </w:hyperlink>
      <w:r>
        <w:rPr>
          <w:rFonts w:ascii="Times New Roman;Times;Serif" w:hAnsi="Times New Roman;Times;Serif"/>
          <w:b w:val="false"/>
          <w:i w:val="false"/>
          <w:caps w:val="false"/>
          <w:smallCaps w:val="false"/>
          <w:sz w:val="20"/>
        </w:rPr>
        <w:t xml:space="preserve">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365"/>
        <w:gridCol w:w="2285"/>
        <w:gridCol w:w="75"/>
      </w:tblGrid>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b/>
              </w:rPr>
            </w:pPr>
            <w:r>
              <w:rPr>
                <w:b/>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1.htm"/>
      <w:bookmarkStart w:id="3" w:name="ksexhibit_1"/>
      <w:bookmarkEnd w:id="2"/>
      <w:bookmarkEnd w:id="3"/>
      <w:r>
        <w:rPr>
          <w:bdr w:val="single" w:sz="16" w:space="1" w:color="000000"/>
        </w:rPr>
        <w:t> </w:t>
      </w:r>
      <w:r>
        <w:br w:type="page"/>
      </w:r>
    </w:p>
    <w:p>
      <w:pPr>
        <w:pStyle w:val="TextBody"/>
        <w:bidi w:val="0"/>
        <w:jc w:val="right"/>
        <w:rPr>
          <w:b/>
          <w:u w:val="single"/>
        </w:rPr>
      </w:pPr>
      <w:r>
        <w:rPr>
          <w:b/>
          <w:u w:val="single"/>
        </w:rPr>
        <w:t>Exhibit 1</w:t>
      </w:r>
    </w:p>
    <w:p>
      <w:pPr>
        <w:pStyle w:val="TextBody"/>
        <w:bidi w:val="0"/>
        <w:spacing w:before="0" w:after="283"/>
        <w:jc w:val="left"/>
        <w:rPr/>
      </w:pPr>
      <w:r>
        <w:rPr/>
        <w:t> </w:t>
      </w:r>
    </w:p>
    <w:tbl>
      <w:tblPr>
        <w:tblW w:w="5970" w:type="dxa"/>
        <w:jc w:val="left"/>
        <w:tblInd w:w="0" w:type="dxa"/>
        <w:tblLayout w:type="fixed"/>
        <w:tblCellMar>
          <w:top w:w="0" w:type="dxa"/>
          <w:left w:w="0" w:type="dxa"/>
          <w:bottom w:w="0" w:type="dxa"/>
          <w:right w:w="0" w:type="dxa"/>
        </w:tblCellMar>
      </w:tblPr>
      <w:tblGrid>
        <w:gridCol w:w="2547"/>
        <w:gridCol w:w="3423"/>
      </w:tblGrid>
      <w:tr>
        <w:trPr/>
        <w:tc>
          <w:tcPr>
            <w:tcW w:w="2547" w:type="dxa"/>
            <w:tcBorders/>
            <w:vAlign w:val="center"/>
          </w:tcPr>
          <w:p>
            <w:pPr>
              <w:pStyle w:val="TableContents"/>
              <w:bidi w:val="0"/>
              <w:spacing w:before="0" w:after="283"/>
              <w:jc w:val="left"/>
              <w:rPr/>
            </w:pPr>
            <w:r>
              <w:rPr/>
              <w:t> </w:t>
            </w:r>
            <w:r>
              <w:rPr/>
              <w:drawing>
                <wp:inline distT="0" distB="0" distL="0" distR="0">
                  <wp:extent cx="1569720" cy="365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9720" cy="365760"/>
                          </a:xfrm>
                          <a:prstGeom prst="rect">
                            <a:avLst/>
                          </a:prstGeom>
                        </pic:spPr>
                      </pic:pic>
                    </a:graphicData>
                  </a:graphic>
                </wp:inline>
              </w:drawing>
            </w:r>
          </w:p>
        </w:tc>
        <w:tc>
          <w:tcPr>
            <w:tcW w:w="3423" w:type="dxa"/>
            <w:tcBorders/>
            <w:vAlign w:val="center"/>
          </w:tcPr>
          <w:p>
            <w:pPr>
              <w:pStyle w:val="TableContents"/>
              <w:bidi w:val="0"/>
              <w:spacing w:before="0" w:after="283"/>
              <w:jc w:val="right"/>
              <w:rPr/>
            </w:pPr>
            <w:r>
              <w:rPr/>
              <w:drawing>
                <wp:inline distT="0" distB="0" distL="0" distR="0">
                  <wp:extent cx="2125980" cy="6400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25980" cy="640080"/>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BioLineRx and Hemispherian AS to Present Encouraging GLIX1 Preclinical Efficacy Data and</w:t>
      </w:r>
    </w:p>
    <w:p>
      <w:pPr>
        <w:pStyle w:val="TextBody"/>
        <w:bidi w:val="0"/>
        <w:spacing w:before="0" w:after="0"/>
        <w:ind w:left="0" w:right="0" w:hanging="0"/>
        <w:jc w:val="center"/>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its Phase 1/2a Trial Design at the 21</w:t>
      </w:r>
      <w:r>
        <w:rPr>
          <w:rFonts w:ascii="Times New Roman;Times;Serif" w:hAnsi="Times New Roman;Times;Serif"/>
          <w:b/>
          <w:i w:val="false"/>
          <w:caps w:val="false"/>
          <w:smallCaps w:val="false"/>
          <w:spacing w:val="-2"/>
          <w:position w:val="8"/>
          <w:sz w:val="19"/>
          <w:sz w:val="24"/>
        </w:rPr>
        <w:t>st</w:t>
      </w:r>
      <w:r>
        <w:rPr>
          <w:rFonts w:ascii="Times New Roman;Times;Serif" w:hAnsi="Times New Roman;Times;Serif"/>
          <w:b/>
          <w:i w:val="false"/>
          <w:caps w:val="false"/>
          <w:smallCaps w:val="false"/>
          <w:spacing w:val="-2"/>
          <w:sz w:val="24"/>
        </w:rPr>
        <w:t xml:space="preserve"> Meeting of the European Association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Neuro-Oncology (EANO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 and OSLO, Norway, September 10, 2026 –</w:t>
      </w:r>
      <w:r>
        <w:rPr>
          <w:rFonts w:ascii="Times New Roman;Times;Serif" w:hAnsi="Times New Roman;Times;Serif"/>
          <w:b w:val="false"/>
          <w:i w:val="false"/>
          <w:caps w:val="false"/>
          <w:smallCaps w:val="false"/>
          <w:sz w:val="20"/>
        </w:rPr>
        <w:t xml:space="preserve"> BioLineRx Ltd. (NASDAQ/TASE: BLRX), a clinical-stage biopharmaceutical company pursuing life-changing therapies in oncology and rare diseases, and Hemispherian AS, a clinical-stage oncology company developing novel small molecule therapeutics, today announced that two abstracts featuring GLIX1 have been accepted for presentation, including one selected for oral presentation highlighting the preclinical efficacy of GLIX1 in orthotopic glioblastoma models, at the 21st Meeting of the European Association of Neuro-Oncology (EANO 2026), which will be held September 24-27 in Rome,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very pleased to be presenting our pre-clinical data and clinical trial design at EANO, Europe's premier neuro-oncology conference,” stated Philip Serlin, Chief Executive Officer of BioLineRx. “Notably, our preclinical data demonstrating the potent anti-tumor effect of GLIX1 in GBM across multiple in-vivo studies, including two orthotopic cell-derived xenograft GBM models as well as a temozolomide-resistant patient derived xenograft model, will be featured in a mini-oral presentation. Together with our e-poster highlighting the design of our first-in-human Phase 1/2a clinical trial, which is actively enrolling patients, these presentations showcase the breadth and momentum of the GLIX1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Abstract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GLIX1, a TET2 activator targeting the DNA damage response: Potent anti-tumor activity across multiple orthotopic glioblastoma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Presenter:</w:t>
      </w:r>
      <w:r>
        <w:rPr>
          <w:rFonts w:ascii="Times New Roman;Times;Serif" w:hAnsi="Times New Roman;Times;Serif"/>
          <w:b w:val="false"/>
          <w:i w:val="false"/>
          <w:caps w:val="false"/>
          <w:smallCaps w:val="false"/>
          <w:sz w:val="20"/>
        </w:rPr>
        <w:t xml:space="preserve"> Dr. Adam Robertson, Ph.D., Chief Scientific Officer, Hemispherian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Session type: </w:t>
      </w:r>
      <w:r>
        <w:rPr>
          <w:rFonts w:ascii="Times New Roman;Times;Serif" w:hAnsi="Times New Roman;Times;Serif"/>
          <w:b w:val="false"/>
          <w:i w:val="false"/>
          <w:caps w:val="false"/>
          <w:smallCaps w:val="false"/>
          <w:sz w:val="20"/>
        </w:rPr>
        <w:t>Mini Oral Session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Session number/title: </w:t>
      </w:r>
      <w:r>
        <w:rPr>
          <w:rFonts w:ascii="Times New Roman;Times;Serif" w:hAnsi="Times New Roman;Times;Serif"/>
          <w:b w:val="false"/>
          <w:i w:val="false"/>
          <w:caps w:val="false"/>
          <w:smallCaps w:val="false"/>
          <w:sz w:val="20"/>
        </w:rPr>
        <w:t>MO02-Microenvironment, preclinical models and treatment resistance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Presentation Date/time: </w:t>
      </w:r>
      <w:r>
        <w:rPr>
          <w:rFonts w:ascii="Times New Roman;Times;Serif" w:hAnsi="Times New Roman;Times;Serif"/>
          <w:b w:val="false"/>
          <w:i w:val="false"/>
          <w:caps w:val="false"/>
          <w:smallCaps w:val="false"/>
          <w:sz w:val="20"/>
        </w:rPr>
        <w:t>Friday, September 25, 2026, 6:00-6:30pm CEST (12:00-12:30pm EDT)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Summary: </w:t>
      </w:r>
      <w:r>
        <w:rPr>
          <w:rFonts w:ascii="Times New Roman;Times;Serif" w:hAnsi="Times New Roman;Times;Serif"/>
          <w:b w:val="false"/>
          <w:i w:val="false"/>
          <w:caps w:val="false"/>
          <w:smallCaps w:val="false"/>
          <w:sz w:val="20"/>
        </w:rPr>
        <w:t xml:space="preserve">GLIX1, an oral TET2 activator targeting the DNA damage response, showed high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potency across cancer cell lines and increased TET2-dependent 5hmC generation in biochemical assays,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xenograft models. In mice, GLIX1 achieved brain exposures at 68-85% of plasma levels, supporting CNS penetration. In GBM genomic 5hmC is markedly reduced versus healthy brain tissue, reflecting impaired TET2 activity. Together, these data provide a strong rationale for GLIX1 treatment of GBM, one of the most aggressive cancers where more effective treatments are desperately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two orthotopic GBM xenograft models (SNB19, slower-growing; U87-MG, aggressive), oral GLIX1 (75 mg/kg QD to 1000 mg/kg BID) produced dose-dependent tumor growth inhibition and survival benefit at all tested doses, with greater benefit at higher doses; TMZ served as positive control. Antitumor activity was observed at the lowest dose tested. These preclinical findings supported initiation of the first-in-human Phase 1/2a trial, which is currently enrolling patients (</w:t>
      </w:r>
      <w:r>
        <w:rPr>
          <w:rFonts w:ascii="Times New Roman;Times;Serif" w:hAnsi="Times New Roman;Times;Serif"/>
          <w:b w:val="false"/>
          <w:i w:val="false"/>
          <w:caps w:val="false"/>
          <w:smallCaps w:val="false"/>
          <w:sz w:val="20"/>
          <w:u w:val="single"/>
        </w:rPr>
        <w:t>NCT07464925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Phase 1/2a study of GLIX1, an oral TET2 activator, for the treatment of recurrent or progressive high-grade glioma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Presenter:</w:t>
      </w:r>
      <w:r>
        <w:rPr>
          <w:rFonts w:ascii="Times New Roman;Times;Serif" w:hAnsi="Times New Roman;Times;Serif"/>
          <w:b w:val="false"/>
          <w:i w:val="false"/>
          <w:caps w:val="false"/>
          <w:smallCaps w:val="false"/>
          <w:sz w:val="20"/>
        </w:rPr>
        <w:t xml:space="preserve"> Ditte Primdahl, MD, Assistant Professor of Neurology, Northwestern Medicine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Session type: </w:t>
      </w:r>
      <w:r>
        <w:rPr>
          <w:rFonts w:ascii="Times New Roman;Times;Serif" w:hAnsi="Times New Roman;Times;Serif"/>
          <w:b w:val="false"/>
          <w:i w:val="false"/>
          <w:caps w:val="false"/>
          <w:smallCaps w:val="false"/>
          <w:sz w:val="20"/>
        </w:rPr>
        <w:t>E-poster presentation (displayed electronically on a number of poster screens in the poster area throughout the conference)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w:t>
      </w:r>
      <w:r>
        <w:rPr>
          <w:rFonts w:ascii="Times New Roman;Times;Serif" w:hAnsi="Times New Roman;Times;Serif"/>
          <w:b w:val="false"/>
          <w:i w:val="false"/>
          <w:caps w:val="false"/>
          <w:smallCaps w:val="false"/>
          <w:sz w:val="20"/>
        </w:rPr>
        <w:t xml:space="preserve"> This poster describes the ongoing Phase 1/2a study of GLIX1, an oral TET2 activator, in recurrent or progressive high-grade glioma. In cancer, DNA hypermethylation is common and TET2 activity is inhibited by oncometabolites, giving rise to increased DNA methylation in close genomic proximity.  GLIX1 activates TET2 to drive DNA demethylation, generating abundant single-stranded DNA breaks that mature into lethal double-stranded breaks, exploiting GBM's characteristically low genomic 5-hydroxymethylcytosine levels. Preclinical data, including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GBM models, showed anti-tumor activity, blood-brain-barrier penetration, and a favorable safety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open-label, multicenter, first-in-human trial uses a BOIN design to guide dose escalation across up to 5 dose levels in up to 30 patients with WHO grade 3/4 glioma (≤2 prior therapy lines). Primary endpoints are safety, tolerability, and MTD/RP2D; secondary endpoints include PK, antitumor response, 6-month PFS, and exploratory endpoints include pharmacodynamic markers (P21, TMEM71, 5hmC, 5mC, γH2AX). Four leading US academic institutions will enroll patients into the study. Preclinical and initial clinical data will be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Hemispherian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Hemispherian AS is a clinical-stage pharmaceutical company developing first-in-class small-molecule cancer therapies. Its lead program, GLIX1, is being advanced in partnership with BioLineRx for the treatment of glioblastoma and a broad range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Oslo, Norway, and collaborates with leading academic and clinical institutions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www.hemispherian.com</w:t>
      </w:r>
      <w:r>
        <w:rPr>
          <w:rFonts w:ascii="Times New Roman;Times;Serif" w:hAnsi="Times New Roman;Times;Serif"/>
          <w:b w:val="false"/>
          <w:i w:val="false"/>
          <w:caps w:val="false"/>
          <w:smallCaps w:val="false"/>
          <w:sz w:val="20"/>
        </w:rPr>
        <w:t xml:space="preserve">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BioLineRx</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has been initiated in the first quarter of 2026. GLIX1 is being developed under a collaboration with Hemispherian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APHEXDA® (motixafortide), is indicated in the U.S. for stem cell mobilization for autologous transplantation in multiple myeloma, and is being commercialized by Ayrmid Ltd. (globally, except Asia) and Auspex Biosciences (in Asia). BioLineRx has retained the rights to develop motixafortide in solid tumors, including metastatic pancreatic cancer (PDAC), and has a Phase 2b PDAC trial currently ongoing under a collaboration with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about who we are, what we do, and how we do it at </w:t>
      </w:r>
      <w:r>
        <w:rPr>
          <w:rFonts w:ascii="Times New Roman;Times;Serif" w:hAnsi="Times New Roman;Times;Serif"/>
          <w:b w:val="false"/>
          <w:i w:val="false"/>
          <w:caps w:val="false"/>
          <w:smallCaps w:val="false"/>
          <w:sz w:val="20"/>
          <w:u w:val="single"/>
        </w:rPr>
        <w:t>www.biolinerx.com</w:t>
      </w:r>
      <w:r>
        <w:rPr>
          <w:rFonts w:ascii="Times New Roman;Times;Serif" w:hAnsi="Times New Roman;Times;Serif"/>
          <w:b w:val="false"/>
          <w:i w:val="false"/>
          <w:caps w:val="false"/>
          <w:smallCaps w:val="false"/>
          <w:sz w:val="20"/>
        </w:rPr>
        <w:t>,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expectations with regard to BioLineRx’sPhase 1/2a GLIX1 clinical trial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BioLineRx’s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BioLineRx:</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Chuck Padala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IR@biolinerx.com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Moran Meir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moran@lifesciadvisors.com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Hemispherian AS: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Zeno Albisser, CEO</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zeno@hemispherian.com</w:t>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1580</Words>
  <Characters>9798</Characters>
  <CharactersWithSpaces>11399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