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20"/>
        <w:spacing w:after="0"/>
        <w:rPr>
          <w:sz w:val="20"/>
          <w:szCs w:val="20"/>
          <w:color w:val="auto"/>
        </w:rPr>
      </w:pPr>
      <w:r>
        <w:rPr>
          <w:rFonts w:ascii="Arial" w:cs="Arial" w:eastAsia="Arial" w:hAnsi="Arial"/>
          <w:sz w:val="16"/>
          <w:szCs w:val="16"/>
          <w:color w:val="auto"/>
        </w:rPr>
        <w:t>As filed with the U.S. Securities and Exchange Commission on March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25995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184785</wp:posOffset>
            </wp:positionV>
            <wp:extent cx="72599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0"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2905760</wp:posOffset>
            </wp:positionH>
            <wp:positionV relativeFrom="paragraph">
              <wp:posOffset>191770</wp:posOffset>
            </wp:positionV>
            <wp:extent cx="14458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382" w:lineRule="exact"/>
        <w:rPr>
          <w:sz w:val="24"/>
          <w:szCs w:val="24"/>
          <w:color w:val="auto"/>
        </w:rPr>
      </w:pPr>
    </w:p>
    <w:p>
      <w:pPr>
        <w:ind w:left="5120"/>
        <w:spacing w:after="0"/>
        <w:rPr>
          <w:sz w:val="20"/>
          <w:szCs w:val="20"/>
          <w:color w:val="auto"/>
        </w:rPr>
      </w:pPr>
      <w:r>
        <w:rPr>
          <w:rFonts w:ascii="Arial" w:cs="Arial" w:eastAsia="Arial" w:hAnsi="Arial"/>
          <w:sz w:val="23"/>
          <w:szCs w:val="23"/>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2905760</wp:posOffset>
            </wp:positionH>
            <wp:positionV relativeFrom="paragraph">
              <wp:posOffset>85090</wp:posOffset>
            </wp:positionV>
            <wp:extent cx="14458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(Mark One)</w:t>
      </w:r>
    </w:p>
    <w:p>
      <w:pPr>
        <w:spacing w:after="0" w:line="263" w:lineRule="exact"/>
        <w:rPr>
          <w:sz w:val="24"/>
          <w:szCs w:val="24"/>
          <w:color w:val="auto"/>
        </w:rPr>
      </w:pPr>
    </w:p>
    <w:p>
      <w:pPr>
        <w:ind w:left="5600" w:right="959" w:hanging="5310"/>
        <w:spacing w:after="0" w:line="552" w:lineRule="auto"/>
        <w:tabs>
          <w:tab w:leader="none" w:pos="87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REGISTRATION STATEMENT PURSUANT TO SECTION 12(b) OR (g) OF THE SECURITIES EXCHANGE ACT OF 1934 OR</w:t>
      </w:r>
    </w:p>
    <w:p>
      <w:pPr>
        <w:spacing w:after="0" w:line="30" w:lineRule="exact"/>
        <w:rPr>
          <w:sz w:val="24"/>
          <w:szCs w:val="24"/>
          <w:color w:val="auto"/>
        </w:rPr>
      </w:pPr>
    </w:p>
    <w:p>
      <w:pPr>
        <w:ind w:left="4240" w:right="1799" w:hanging="3950"/>
        <w:spacing w:after="0" w:line="571" w:lineRule="auto"/>
        <w:tabs>
          <w:tab w:leader="none" w:pos="87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b w:val="1"/>
          <w:bCs w:val="1"/>
          <w:color w:val="auto"/>
        </w:rPr>
        <w:t>December 31, 2016</w:t>
      </w:r>
    </w:p>
    <w:p>
      <w:pPr>
        <w:spacing w:after="0" w:line="1" w:lineRule="exact"/>
        <w:rPr>
          <w:rFonts w:ascii="MS PGothic" w:cs="MS PGothic" w:eastAsia="MS PGothic" w:hAnsi="MS PGothic"/>
          <w:sz w:val="16"/>
          <w:szCs w:val="16"/>
          <w:color w:val="auto"/>
          <w:highlight w:val="black"/>
        </w:rPr>
      </w:pPr>
    </w:p>
    <w:p>
      <w:pPr>
        <w:ind w:left="5600"/>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OR</w:t>
      </w:r>
    </w:p>
    <w:p>
      <w:pPr>
        <w:spacing w:after="0" w:line="254" w:lineRule="exact"/>
        <w:rPr>
          <w:sz w:val="24"/>
          <w:szCs w:val="24"/>
          <w:color w:val="auto"/>
        </w:rPr>
      </w:pPr>
    </w:p>
    <w:p>
      <w:pPr>
        <w:ind w:left="5600" w:right="1499" w:hanging="5310"/>
        <w:spacing w:after="0" w:line="552" w:lineRule="auto"/>
        <w:tabs>
          <w:tab w:leader="none" w:pos="873" w:val="left"/>
        </w:tabs>
        <w:numPr>
          <w:ilvl w:val="0"/>
          <w:numId w:val="3"/>
        </w:numPr>
        <w:rPr>
          <w:rFonts w:ascii="MS PGothic" w:cs="MS PGothic" w:eastAsia="MS PGothic" w:hAnsi="MS PGothic"/>
          <w:sz w:val="16"/>
          <w:szCs w:val="16"/>
          <w:color w:val="auto"/>
          <w:highlight w:val="black"/>
        </w:rPr>
      </w:pPr>
      <w:r>
        <w:rPr>
          <w:rFonts w:ascii="Arial" w:cs="Arial" w:eastAsia="Arial" w:hAnsi="Arial"/>
          <w:sz w:val="16"/>
          <w:szCs w:val="16"/>
          <w:color w:val="auto"/>
        </w:rPr>
        <w:t>TRANSITION REPORT PURSUANT TO SECTION 13 OR 15(d) OF THE SECURITIES EXCHANGE ACT OF 1934 OR</w:t>
      </w:r>
    </w:p>
    <w:p>
      <w:pPr>
        <w:spacing w:after="0" w:line="30" w:lineRule="exact"/>
        <w:rPr>
          <w:rFonts w:ascii="MS PGothic" w:cs="MS PGothic" w:eastAsia="MS PGothic" w:hAnsi="MS PGothic"/>
          <w:sz w:val="16"/>
          <w:szCs w:val="16"/>
          <w:color w:val="auto"/>
          <w:highlight w:val="black"/>
        </w:rPr>
      </w:pPr>
    </w:p>
    <w:p>
      <w:pPr>
        <w:ind w:left="4120" w:right="1139" w:hanging="3830"/>
        <w:spacing w:after="0" w:line="569" w:lineRule="auto"/>
        <w:tabs>
          <w:tab w:leader="none" w:pos="878" w:val="left"/>
        </w:tabs>
        <w:numPr>
          <w:ilvl w:val="0"/>
          <w:numId w:val="3"/>
        </w:numPr>
        <w:rPr>
          <w:rFonts w:ascii="MS PGothic" w:cs="MS PGothic" w:eastAsia="MS PGothic" w:hAnsi="MS PGothic"/>
          <w:sz w:val="16"/>
          <w:szCs w:val="16"/>
          <w:color w:val="auto"/>
          <w:highlight w:val="black"/>
        </w:rPr>
      </w:pPr>
      <w:r>
        <w:rPr>
          <w:rFonts w:ascii="Arial" w:cs="Arial" w:eastAsia="Arial" w:hAnsi="Arial"/>
          <w:sz w:val="16"/>
          <w:szCs w:val="16"/>
          <w:color w:val="auto"/>
        </w:rPr>
        <w:t>SHELL COMPANY REPORT PURSUANT TO SECTION 13 OR 15(d) OF THE SECURITIES EXCHANGE ACT OF 1934 Date of event requiring this shell company report</w:t>
      </w:r>
    </w:p>
    <w:p>
      <w:pPr>
        <w:ind w:left="3720"/>
        <w:spacing w:after="0"/>
        <w:rPr>
          <w:sz w:val="20"/>
          <w:szCs w:val="20"/>
          <w:color w:val="auto"/>
        </w:rPr>
      </w:pPr>
      <w:r>
        <w:rPr>
          <w:rFonts w:ascii="Arial" w:cs="Arial" w:eastAsia="Arial" w:hAnsi="Arial"/>
          <w:sz w:val="16"/>
          <w:szCs w:val="16"/>
          <w:b w:val="1"/>
          <w:bCs w:val="1"/>
          <w:color w:val="auto"/>
        </w:rPr>
        <w:t>For the transition period from __________ to __________</w:t>
      </w:r>
    </w:p>
    <w:p>
      <w:pPr>
        <w:spacing w:after="0" w:line="258" w:lineRule="exact"/>
        <w:rPr>
          <w:sz w:val="24"/>
          <w:szCs w:val="24"/>
          <w:color w:val="auto"/>
        </w:rPr>
      </w:pPr>
    </w:p>
    <w:p>
      <w:pPr>
        <w:ind w:left="4280"/>
        <w:spacing w:after="0"/>
        <w:rPr>
          <w:sz w:val="20"/>
          <w:szCs w:val="20"/>
          <w:color w:val="auto"/>
        </w:rPr>
      </w:pPr>
      <w:r>
        <w:rPr>
          <w:rFonts w:ascii="Arial" w:cs="Arial" w:eastAsia="Arial" w:hAnsi="Arial"/>
          <w:sz w:val="16"/>
          <w:szCs w:val="16"/>
          <w:color w:val="auto"/>
        </w:rPr>
        <w:t>Commission file number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2905760</wp:posOffset>
            </wp:positionH>
            <wp:positionV relativeFrom="paragraph">
              <wp:posOffset>231140</wp:posOffset>
            </wp:positionV>
            <wp:extent cx="14458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26"/>
          <w:szCs w:val="26"/>
          <w:b w:val="1"/>
          <w:bCs w:val="1"/>
          <w:color w:val="auto"/>
        </w:rPr>
        <w:t>BioLineRx Ltd.</w:t>
      </w:r>
    </w:p>
    <w:p>
      <w:pPr>
        <w:spacing w:after="0" w:line="3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(Exact name of Registrant as specified in its charter)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(Translation of Registrant’s name into English)</w:t>
      </w:r>
    </w:p>
    <w:p>
      <w:pPr>
        <w:spacing w:after="0" w:line="239"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Israel</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(Jurisdiction of incorporation or organization)</w:t>
      </w:r>
    </w:p>
    <w:p>
      <w:pPr>
        <w:spacing w:after="0" w:line="239"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2 HaMa’ayan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Modi’in 7177871, Israel</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(Address of principal executive offices)</w:t>
      </w:r>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Philip Serlin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+972 (8) 642-9100</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+972 (8) 642-9101 (facsimile)</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phils@biolinerx.com</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2 HaMa’ayan Street</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Modi’in 7177871, Israel</w:t>
      </w:r>
    </w:p>
    <w:p>
      <w:pPr>
        <w:spacing w:after="0" w:line="11" w:lineRule="exact"/>
        <w:rPr>
          <w:sz w:val="24"/>
          <w:szCs w:val="24"/>
          <w:color w:val="auto"/>
        </w:rPr>
      </w:pPr>
    </w:p>
    <w:p>
      <w:pPr>
        <w:ind w:left="2640"/>
        <w:spacing w:after="0"/>
        <w:rPr>
          <w:sz w:val="20"/>
          <w:szCs w:val="20"/>
          <w:color w:val="auto"/>
        </w:rPr>
      </w:pPr>
      <w:r>
        <w:rPr>
          <w:rFonts w:ascii="Arial" w:cs="Arial" w:eastAsia="Arial" w:hAnsi="Arial"/>
          <w:sz w:val="15"/>
          <w:szCs w:val="15"/>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269875</wp:posOffset>
            </wp:positionV>
            <wp:extent cx="725995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19"/>
          </w:cols>
          <w:pgMar w:left="240" w:top="22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color w:val="auto"/>
        </w:rPr>
        <w:t>Securities registered or to be registered pursuant to Section 12(b) of the Act: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40" w:type="dxa"/>
            <w:vAlign w:val="bottom"/>
          </w:tcPr>
          <w:p>
            <w:pPr>
              <w:spacing w:after="0"/>
              <w:rPr>
                <w:sz w:val="18"/>
                <w:szCs w:val="18"/>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78"/>
        </w:trPr>
        <w:tc>
          <w:tcPr>
            <w:tcW w:w="548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0"/>
              </w:rPr>
              <w:t>American Depositary Shares, each representing 1</w:t>
            </w:r>
          </w:p>
        </w:tc>
        <w:tc>
          <w:tcPr>
            <w:tcW w:w="440" w:type="dxa"/>
            <w:vAlign w:val="bottom"/>
          </w:tcPr>
          <w:p>
            <w:pPr>
              <w:spacing w:after="0"/>
              <w:rPr>
                <w:sz w:val="15"/>
                <w:szCs w:val="15"/>
                <w:color w:val="auto"/>
              </w:rPr>
            </w:pPr>
          </w:p>
        </w:tc>
        <w:tc>
          <w:tcPr>
            <w:tcW w:w="552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5"/>
              </w:rPr>
              <w:t>Nasdaq Capital Market</w:t>
            </w:r>
          </w:p>
        </w:tc>
      </w:tr>
      <w:tr>
        <w:trPr>
          <w:trHeight w:val="211"/>
        </w:trPr>
        <w:tc>
          <w:tcPr>
            <w:tcW w:w="5480" w:type="dxa"/>
            <w:vAlign w:val="bottom"/>
          </w:tcPr>
          <w:p>
            <w:pPr>
              <w:jc w:val="center"/>
              <w:spacing w:after="0"/>
              <w:rPr>
                <w:sz w:val="20"/>
                <w:szCs w:val="20"/>
                <w:color w:val="auto"/>
              </w:rPr>
            </w:pPr>
            <w:r>
              <w:rPr>
                <w:rFonts w:ascii="Arial" w:cs="Arial" w:eastAsia="Arial" w:hAnsi="Arial"/>
                <w:sz w:val="16"/>
                <w:szCs w:val="16"/>
                <w:b w:val="1"/>
                <w:bCs w:val="1"/>
                <w:color w:val="auto"/>
                <w:w w:val="92"/>
              </w:rPr>
              <w:t>ordinary share, par value NIS 0.10 per share</w:t>
            </w:r>
          </w:p>
        </w:tc>
        <w:tc>
          <w:tcPr>
            <w:tcW w:w="44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390"/>
        </w:trPr>
        <w:tc>
          <w:tcPr>
            <w:tcW w:w="5480" w:type="dxa"/>
            <w:vAlign w:val="bottom"/>
          </w:tcPr>
          <w:p>
            <w:pPr>
              <w:jc w:val="center"/>
              <w:spacing w:after="0"/>
              <w:rPr>
                <w:sz w:val="20"/>
                <w:szCs w:val="20"/>
                <w:color w:val="auto"/>
              </w:rPr>
            </w:pPr>
            <w:r>
              <w:rPr>
                <w:rFonts w:ascii="Arial" w:cs="Arial" w:eastAsia="Arial" w:hAnsi="Arial"/>
                <w:sz w:val="16"/>
                <w:szCs w:val="16"/>
                <w:b w:val="1"/>
                <w:bCs w:val="1"/>
                <w:color w:val="auto"/>
                <w:w w:val="92"/>
              </w:rPr>
              <w:t>Ordinary shares, par value NIS 0.10 per share</w:t>
            </w:r>
          </w:p>
        </w:tc>
        <w:tc>
          <w:tcPr>
            <w:tcW w:w="440" w:type="dxa"/>
            <w:vAlign w:val="bottom"/>
          </w:tcPr>
          <w:p>
            <w:pPr>
              <w:spacing w:after="0"/>
              <w:rPr>
                <w:sz w:val="24"/>
                <w:szCs w:val="24"/>
                <w:color w:val="auto"/>
              </w:rPr>
            </w:pPr>
          </w:p>
        </w:tc>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96"/>
              </w:rPr>
              <w:t>Nasdaq Capital Market*</w:t>
            </w:r>
          </w:p>
        </w:tc>
      </w:tr>
      <w:tr>
        <w:trPr>
          <w:trHeight w:val="200"/>
        </w:trPr>
        <w:tc>
          <w:tcPr>
            <w:tcW w:w="54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520" w:type="dxa"/>
            <w:vAlign w:val="bottom"/>
          </w:tcPr>
          <w:p>
            <w:pPr>
              <w:spacing w:after="0"/>
              <w:rPr>
                <w:sz w:val="17"/>
                <w:szCs w:val="17"/>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*Not for trading; only in connection with the registration of American Depositary Shares.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registered or to be registered pursuant to Section 12(g) of the Act.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for which there is a reporting obligation pursuant to Section 15(d) of the Act.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61595</wp:posOffset>
            </wp:positionV>
            <wp:extent cx="14458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5895" cy="7620"/>
                    </a:xfrm>
                    <a:prstGeom prst="rect">
                      <a:avLst/>
                    </a:prstGeom>
                    <a:noFill/>
                  </pic:spPr>
                </pic:pic>
              </a:graphicData>
            </a:graphic>
          </wp:anchor>
        </w:drawing>
      </w:r>
    </w:p>
    <w:p>
      <w:pPr>
        <w:spacing w:after="0" w:line="393" w:lineRule="exact"/>
        <w:rPr>
          <w:sz w:val="20"/>
          <w:szCs w:val="20"/>
          <w:color w:val="auto"/>
        </w:rPr>
      </w:pPr>
    </w:p>
    <w:p>
      <w:pPr>
        <w:ind w:right="600" w:firstLine="584"/>
        <w:spacing w:after="0" w:line="283"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 57,033,355</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76" w:lineRule="exact"/>
        <w:rPr>
          <w:sz w:val="20"/>
          <w:szCs w:val="20"/>
          <w:color w:val="auto"/>
        </w:rPr>
      </w:pPr>
    </w:p>
    <w:p>
      <w:pPr>
        <w:jc w:val="center"/>
        <w:spacing w:after="0" w:line="184" w:lineRule="exact"/>
        <w:tabs>
          <w:tab w:leader="none" w:pos="1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0"/>
          <w:szCs w:val="20"/>
          <w:color w:val="auto"/>
        </w:rPr>
      </w:pPr>
    </w:p>
    <w:p>
      <w:pPr>
        <w:ind w:right="300" w:firstLine="584"/>
        <w:spacing w:after="0" w:line="283" w:lineRule="auto"/>
        <w:rPr>
          <w:sz w:val="20"/>
          <w:szCs w:val="20"/>
          <w:color w:val="auto"/>
        </w:rPr>
      </w:pPr>
      <w:r>
        <w:rPr>
          <w:rFonts w:ascii="Arial" w:cs="Arial" w:eastAsia="Arial" w:hAnsi="Arial"/>
          <w:sz w:val="16"/>
          <w:szCs w:val="16"/>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jc w:val="center"/>
        <w:spacing w:after="0" w:line="184" w:lineRule="exact"/>
        <w:tabs>
          <w:tab w:leader="none" w:pos="1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0"/>
          <w:szCs w:val="20"/>
          <w:color w:val="auto"/>
        </w:rPr>
      </w:pPr>
    </w:p>
    <w:p>
      <w:pPr>
        <w:ind w:right="260" w:firstLine="584"/>
        <w:spacing w:after="0" w:line="283" w:lineRule="auto"/>
        <w:rPr>
          <w:sz w:val="20"/>
          <w:szCs w:val="20"/>
          <w:color w:val="auto"/>
        </w:rPr>
      </w:pPr>
      <w:r>
        <w:rPr>
          <w:rFonts w:ascii="Arial" w:cs="Arial" w:eastAsia="Arial" w:hAnsi="Arial"/>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199" w:lineRule="exact"/>
        <w:rPr>
          <w:sz w:val="20"/>
          <w:szCs w:val="20"/>
          <w:color w:val="auto"/>
        </w:rPr>
      </w:pPr>
    </w:p>
    <w:p>
      <w:pPr>
        <w:ind w:right="200" w:firstLine="584"/>
        <w:spacing w:after="0" w:line="3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4" w:lineRule="exact"/>
        <w:rPr>
          <w:sz w:val="20"/>
          <w:szCs w:val="20"/>
          <w:color w:val="auto"/>
        </w:rPr>
      </w:pPr>
    </w:p>
    <w:p>
      <w:pPr>
        <w:jc w:val="center"/>
        <w:spacing w:after="0" w:line="184" w:lineRule="exact"/>
        <w:tabs>
          <w:tab w:leader="none" w:pos="1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0"/>
          <w:szCs w:val="20"/>
          <w:color w:val="auto"/>
        </w:rPr>
      </w:pPr>
    </w:p>
    <w:p>
      <w:pPr>
        <w:jc w:val="both"/>
        <w:ind w:right="400" w:firstLine="584"/>
        <w:spacing w:after="0" w:line="26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N/A</w:t>
      </w:r>
    </w:p>
    <w:p>
      <w:pPr>
        <w:spacing w:after="0" w:line="133" w:lineRule="exact"/>
        <w:rPr>
          <w:sz w:val="20"/>
          <w:szCs w:val="20"/>
          <w:color w:val="auto"/>
        </w:rPr>
      </w:pPr>
    </w:p>
    <w:p>
      <w:pPr>
        <w:jc w:val="center"/>
        <w:spacing w:after="0" w:line="184" w:lineRule="exact"/>
        <w:tabs>
          <w:tab w:leader="none" w:pos="1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69" w:lineRule="exact"/>
        <w:rPr>
          <w:sz w:val="20"/>
          <w:szCs w:val="20"/>
          <w:color w:val="auto"/>
        </w:rPr>
      </w:pPr>
    </w:p>
    <w:p>
      <w:pPr>
        <w:ind w:left="880"/>
        <w:spacing w:after="0" w:line="184" w:lineRule="exact"/>
        <w:tabs>
          <w:tab w:leader="none" w:pos="5200" w:val="left"/>
          <w:tab w:leader="none" w:pos="87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440"/>
          </w:cols>
          <w:pgMar w:left="240" w:top="127" w:right="219" w:bottom="1162" w:gutter="0" w:footer="0" w:header="0"/>
        </w:sectPr>
      </w:pPr>
    </w:p>
    <w:p>
      <w:pPr>
        <w:spacing w:after="0" w:line="224" w:lineRule="exact"/>
        <w:rPr>
          <w:sz w:val="20"/>
          <w:szCs w:val="20"/>
          <w:color w:val="auto"/>
        </w:rPr>
      </w:pPr>
    </w:p>
    <w:p>
      <w:pPr>
        <w:ind w:left="900"/>
        <w:spacing w:after="0" w:line="173" w:lineRule="exact"/>
        <w:rPr>
          <w:sz w:val="20"/>
          <w:szCs w:val="20"/>
          <w:color w:val="auto"/>
        </w:rPr>
      </w:pPr>
      <w:r>
        <w:rPr>
          <w:rFonts w:ascii="Arial" w:cs="Arial" w:eastAsia="Arial" w:hAnsi="Arial"/>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International Financial Reporting Standards as issued by the</w:t>
      </w:r>
    </w:p>
    <w:p>
      <w:pPr>
        <w:spacing w:after="0" w:line="4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p>
      <w:pPr>
        <w:spacing w:after="0" w:line="459" w:lineRule="exact"/>
        <w:rPr>
          <w:sz w:val="20"/>
          <w:szCs w:val="20"/>
          <w:color w:val="auto"/>
        </w:rPr>
      </w:pPr>
    </w:p>
    <w:p>
      <w:pPr>
        <w:sectPr>
          <w:pgSz w:w="11900" w:h="16838" w:orient="portrait"/>
          <w:cols w:equalWidth="0" w:num="3">
            <w:col w:w="2600" w:space="720"/>
            <w:col w:w="6120" w:space="720"/>
            <w:col w:w="1280"/>
          </w:cols>
          <w:pgMar w:left="240" w:top="127" w:right="219" w:bottom="1162" w:gutter="0" w:footer="0" w:header="0"/>
          <w:type w:val="continuous"/>
        </w:sectPr>
      </w:pPr>
    </w:p>
    <w:p>
      <w:pPr>
        <w:spacing w:after="0" w:line="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registrant has elected to follow. N/A</w:t>
      </w:r>
    </w:p>
    <w:p>
      <w:pPr>
        <w:spacing w:after="0" w:line="199" w:lineRule="exact"/>
        <w:rPr>
          <w:sz w:val="20"/>
          <w:szCs w:val="20"/>
          <w:color w:val="auto"/>
        </w:rPr>
      </w:pPr>
    </w:p>
    <w:p>
      <w:pPr>
        <w:ind w:left="5140" w:hanging="186"/>
        <w:spacing w:after="0" w:line="184" w:lineRule="exact"/>
        <w:tabs>
          <w:tab w:leader="none" w:pos="51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pacing w:after="0" w:line="176" w:lineRule="exact"/>
        <w:rPr>
          <w:sz w:val="20"/>
          <w:szCs w:val="20"/>
          <w:color w:val="auto"/>
        </w:rPr>
      </w:pPr>
    </w:p>
    <w:p>
      <w:pPr>
        <w:jc w:val="center"/>
        <w:spacing w:after="0" w:line="184" w:lineRule="exact"/>
        <w:tabs>
          <w:tab w:leader="none" w:pos="1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(APPLICABLE ONLY TO ISSUERS INVOLVED IN BANKRUPTCY PROCEEDINGS DURING THE PAST FIVE YEARS)</w:t>
      </w:r>
    </w:p>
    <w:p>
      <w:pPr>
        <w:spacing w:after="0" w:line="254" w:lineRule="exact"/>
        <w:rPr>
          <w:sz w:val="20"/>
          <w:szCs w:val="20"/>
          <w:color w:val="auto"/>
        </w:rPr>
      </w:pPr>
    </w:p>
    <w:p>
      <w:pPr>
        <w:ind w:right="260" w:firstLine="584"/>
        <w:spacing w:after="0" w:line="283"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 N/A</w:t>
      </w:r>
    </w:p>
    <w:p>
      <w:pPr>
        <w:spacing w:after="0" w:line="121" w:lineRule="exact"/>
        <w:rPr>
          <w:sz w:val="20"/>
          <w:szCs w:val="20"/>
          <w:color w:val="auto"/>
        </w:rPr>
      </w:pPr>
    </w:p>
    <w:p>
      <w:pPr>
        <w:jc w:val="center"/>
        <w:spacing w:after="0" w:line="184" w:lineRule="exact"/>
        <w:tabs>
          <w:tab w:leader="none" w:pos="1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296545</wp:posOffset>
            </wp:positionV>
            <wp:extent cx="725995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162"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60" w:type="dxa"/>
            <w:vAlign w:val="bottom"/>
            <w:gridSpan w:val="5"/>
          </w:tcPr>
          <w:p>
            <w:pPr>
              <w:ind w:left="200"/>
              <w:spacing w:after="0"/>
              <w:rPr>
                <w:sz w:val="20"/>
                <w:szCs w:val="20"/>
                <w:color w:val="auto"/>
              </w:rPr>
            </w:pPr>
            <w:r>
              <w:rPr>
                <w:rFonts w:ascii="Arial" w:cs="Arial" w:eastAsia="Arial" w:hAnsi="Arial"/>
                <w:sz w:val="16"/>
                <w:szCs w:val="16"/>
                <w:b w:val="1"/>
                <w:bCs w:val="1"/>
                <w:color w:val="auto"/>
              </w:rPr>
              <w:t>TABLE OF CONTENTS</w:t>
            </w:r>
          </w:p>
        </w:tc>
        <w:tc>
          <w:tcPr>
            <w:tcW w:w="740" w:type="dxa"/>
            <w:vAlign w:val="bottom"/>
          </w:tcPr>
          <w:p>
            <w:pPr>
              <w:spacing w:after="0"/>
              <w:rPr>
                <w:sz w:val="18"/>
                <w:szCs w:val="18"/>
                <w:color w:val="auto"/>
              </w:rPr>
            </w:pPr>
          </w:p>
        </w:tc>
      </w:tr>
      <w:tr>
        <w:trPr>
          <w:trHeight w:val="463"/>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6"/>
                <w:szCs w:val="16"/>
                <w:b w:val="1"/>
                <w:bCs w:val="1"/>
                <w:color w:val="auto"/>
              </w:rPr>
              <w:t>Page</w:t>
            </w:r>
          </w:p>
        </w:tc>
      </w:tr>
      <w:tr>
        <w:trPr>
          <w:trHeight w:val="29"/>
        </w:trPr>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26"/>
        </w:trPr>
        <w:tc>
          <w:tcPr>
            <w:tcW w:w="1260" w:type="dxa"/>
            <w:vAlign w:val="bottom"/>
            <w:gridSpan w:val="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INTRODUCTION</w:t>
              </w:r>
            </w:hyperlink>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ii</w:t>
            </w:r>
          </w:p>
        </w:tc>
      </w:tr>
      <w:tr>
        <w:trPr>
          <w:trHeight w:val="296"/>
        </w:trPr>
        <w:tc>
          <w:tcPr>
            <w:tcW w:w="1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gridSpan w:val="3"/>
          </w:tcPr>
          <w:p>
            <w:pPr>
              <w:jc w:val="center"/>
              <w:ind w:right="4100"/>
              <w:spacing w:after="0"/>
              <w:rPr>
                <w:sz w:val="20"/>
                <w:szCs w:val="20"/>
                <w:color w:val="auto"/>
              </w:rPr>
            </w:pPr>
            <w:r>
              <w:rPr>
                <w:rFonts w:ascii="Arial" w:cs="Arial" w:eastAsia="Arial" w:hAnsi="Arial"/>
                <w:sz w:val="16"/>
                <w:szCs w:val="16"/>
                <w:color w:val="auto"/>
                <w:w w:val="96"/>
              </w:rPr>
              <w:t>PART I</w:t>
            </w:r>
          </w:p>
        </w:tc>
        <w:tc>
          <w:tcPr>
            <w:tcW w:w="740" w:type="dxa"/>
            <w:vAlign w:val="bottom"/>
          </w:tcPr>
          <w:p>
            <w:pPr>
              <w:spacing w:after="0"/>
              <w:rPr>
                <w:sz w:val="24"/>
                <w:szCs w:val="24"/>
                <w:color w:val="auto"/>
              </w:rPr>
            </w:pPr>
          </w:p>
        </w:tc>
      </w:tr>
      <w:tr>
        <w:trPr>
          <w:trHeight w:val="208"/>
        </w:trPr>
        <w:tc>
          <w:tcPr>
            <w:tcW w:w="140" w:type="dxa"/>
            <w:vAlign w:val="bottom"/>
          </w:tcPr>
          <w:p>
            <w:pPr>
              <w:spacing w:after="0"/>
              <w:rPr>
                <w:sz w:val="18"/>
                <w:szCs w:val="18"/>
                <w:color w:val="auto"/>
              </w:rPr>
            </w:pPr>
          </w:p>
        </w:tc>
        <w:tc>
          <w:tcPr>
            <w:tcW w:w="1120" w:type="dxa"/>
            <w:vAlign w:val="bottom"/>
            <w:gridSpan w:val="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ITEM 1.</w:t>
              </w:r>
            </w:hyperlink>
          </w:p>
        </w:tc>
        <w:tc>
          <w:tcPr>
            <w:tcW w:w="9420" w:type="dxa"/>
            <w:vAlign w:val="bottom"/>
            <w:gridSpan w:val="19"/>
          </w:tcPr>
          <w:p>
            <w:pPr>
              <w:ind w:left="20"/>
              <w:spacing w:after="0"/>
              <w:rPr>
                <w:rFonts w:ascii="Arial" w:cs="Arial" w:eastAsia="Arial" w:hAnsi="Arial"/>
                <w:sz w:val="16"/>
                <w:szCs w:val="16"/>
                <w:color w:val="0000EE"/>
              </w:rPr>
            </w:pPr>
            <w:hyperlink w:anchor="page5">
              <w:r>
                <w:rPr>
                  <w:rFonts w:ascii="Arial" w:cs="Arial" w:eastAsia="Arial" w:hAnsi="Arial"/>
                  <w:sz w:val="16"/>
                  <w:szCs w:val="16"/>
                  <w:color w:val="0000EE"/>
                </w:rPr>
                <w:t>Identity of Directors, Senior Management and Advisers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ITEM 2.</w:t>
              </w:r>
            </w:hyperlink>
          </w:p>
        </w:tc>
        <w:tc>
          <w:tcPr>
            <w:tcW w:w="9420" w:type="dxa"/>
            <w:vAlign w:val="bottom"/>
            <w:gridSpan w:val="19"/>
          </w:tcPr>
          <w:p>
            <w:pPr>
              <w:ind w:left="20"/>
              <w:spacing w:after="0"/>
              <w:rPr>
                <w:rFonts w:ascii="Arial" w:cs="Arial" w:eastAsia="Arial" w:hAnsi="Arial"/>
                <w:sz w:val="16"/>
                <w:szCs w:val="16"/>
                <w:color w:val="0000EE"/>
              </w:rPr>
            </w:pPr>
            <w:hyperlink w:anchor="page5">
              <w:r>
                <w:rPr>
                  <w:rFonts w:ascii="Arial" w:cs="Arial" w:eastAsia="Arial" w:hAnsi="Arial"/>
                  <w:sz w:val="16"/>
                  <w:szCs w:val="16"/>
                  <w:color w:val="0000EE"/>
                </w:rPr>
                <w:t>Offer Statistics and Expected Timetable</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ITEM 3.</w:t>
              </w:r>
            </w:hyperlink>
          </w:p>
        </w:tc>
        <w:tc>
          <w:tcPr>
            <w:tcW w:w="9420" w:type="dxa"/>
            <w:vAlign w:val="bottom"/>
            <w:gridSpan w:val="19"/>
          </w:tcPr>
          <w:p>
            <w:pPr>
              <w:ind w:left="20"/>
              <w:spacing w:after="0"/>
              <w:rPr>
                <w:rFonts w:ascii="Arial" w:cs="Arial" w:eastAsia="Arial" w:hAnsi="Arial"/>
                <w:sz w:val="16"/>
                <w:szCs w:val="16"/>
                <w:color w:val="0000EE"/>
              </w:rPr>
            </w:pPr>
            <w:hyperlink w:anchor="page5">
              <w:r>
                <w:rPr>
                  <w:rFonts w:ascii="Arial" w:cs="Arial" w:eastAsia="Arial" w:hAnsi="Arial"/>
                  <w:sz w:val="16"/>
                  <w:szCs w:val="16"/>
                  <w:color w:val="0000EE"/>
                </w:rPr>
                <w:t>Key Information</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4.</w:t>
              </w:r>
            </w:hyperlink>
          </w:p>
        </w:tc>
        <w:tc>
          <w:tcPr>
            <w:tcW w:w="9420" w:type="dxa"/>
            <w:vAlign w:val="bottom"/>
            <w:gridSpan w:val="19"/>
          </w:tcPr>
          <w:p>
            <w:pPr>
              <w:ind w:left="20"/>
              <w:spacing w:after="0"/>
              <w:rPr>
                <w:rFonts w:ascii="Arial" w:cs="Arial" w:eastAsia="Arial" w:hAnsi="Arial"/>
                <w:sz w:val="16"/>
                <w:szCs w:val="16"/>
                <w:color w:val="0000EE"/>
              </w:rPr>
            </w:pPr>
            <w:hyperlink w:anchor="page27">
              <w:r>
                <w:rPr>
                  <w:rFonts w:ascii="Arial" w:cs="Arial" w:eastAsia="Arial" w:hAnsi="Arial"/>
                  <w:sz w:val="16"/>
                  <w:szCs w:val="16"/>
                  <w:color w:val="0000EE"/>
                </w:rPr>
                <w:t>Information on the Company</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23</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640" w:type="dxa"/>
            <w:vAlign w:val="bottom"/>
            <w:gridSpan w:val="2"/>
          </w:tcPr>
          <w:p>
            <w:pPr>
              <w:spacing w:after="0"/>
              <w:rPr>
                <w:rFonts w:ascii="Arial" w:cs="Arial" w:eastAsia="Arial" w:hAnsi="Arial"/>
                <w:sz w:val="16"/>
                <w:szCs w:val="16"/>
                <w:color w:val="0000EE"/>
                <w:w w:val="99"/>
              </w:rPr>
            </w:pPr>
            <w:hyperlink w:anchor="page67">
              <w:r>
                <w:rPr>
                  <w:rFonts w:ascii="Arial" w:cs="Arial" w:eastAsia="Arial" w:hAnsi="Arial"/>
                  <w:sz w:val="16"/>
                  <w:szCs w:val="16"/>
                  <w:color w:val="0000EE"/>
                  <w:w w:val="99"/>
                </w:rPr>
                <w:t>ITEM 4A</w:t>
              </w:r>
            </w:hyperlink>
          </w:p>
        </w:tc>
        <w:tc>
          <w:tcPr>
            <w:tcW w:w="48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gridSpan w:val="18"/>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Unresolved Staff Comments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63</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640" w:type="dxa"/>
            <w:vAlign w:val="bottom"/>
            <w:gridSpan w:val="2"/>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ITEM 5.</w:t>
              </w:r>
            </w:hyperlink>
          </w:p>
        </w:tc>
        <w:tc>
          <w:tcPr>
            <w:tcW w:w="48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gridSpan w:val="18"/>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Operating and Financial Review and Prospects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63</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ITEM 6.</w:t>
              </w:r>
            </w:hyperlink>
          </w:p>
        </w:tc>
        <w:tc>
          <w:tcPr>
            <w:tcW w:w="9420" w:type="dxa"/>
            <w:vAlign w:val="bottom"/>
            <w:gridSpan w:val="19"/>
          </w:tcPr>
          <w:p>
            <w:pPr>
              <w:ind w:left="20"/>
              <w:spacing w:after="0"/>
              <w:rPr>
                <w:rFonts w:ascii="Arial" w:cs="Arial" w:eastAsia="Arial" w:hAnsi="Arial"/>
                <w:sz w:val="16"/>
                <w:szCs w:val="16"/>
                <w:color w:val="0000EE"/>
              </w:rPr>
            </w:pPr>
            <w:hyperlink w:anchor="page78">
              <w:r>
                <w:rPr>
                  <w:rFonts w:ascii="Arial" w:cs="Arial" w:eastAsia="Arial" w:hAnsi="Arial"/>
                  <w:sz w:val="16"/>
                  <w:szCs w:val="16"/>
                  <w:color w:val="0000EE"/>
                </w:rPr>
                <w:t>Directors, Senior Management and Employees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74</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01">
              <w:r>
                <w:rPr>
                  <w:rFonts w:ascii="Arial" w:cs="Arial" w:eastAsia="Arial" w:hAnsi="Arial"/>
                  <w:sz w:val="16"/>
                  <w:szCs w:val="16"/>
                  <w:color w:val="0000EE"/>
                </w:rPr>
                <w:t>ITEM 7.</w:t>
              </w:r>
            </w:hyperlink>
          </w:p>
        </w:tc>
        <w:tc>
          <w:tcPr>
            <w:tcW w:w="9420" w:type="dxa"/>
            <w:vAlign w:val="bottom"/>
            <w:gridSpan w:val="19"/>
          </w:tcPr>
          <w:p>
            <w:pPr>
              <w:ind w:left="20"/>
              <w:spacing w:after="0"/>
              <w:rPr>
                <w:rFonts w:ascii="Arial" w:cs="Arial" w:eastAsia="Arial" w:hAnsi="Arial"/>
                <w:sz w:val="16"/>
                <w:szCs w:val="16"/>
                <w:color w:val="0000EE"/>
              </w:rPr>
            </w:pPr>
            <w:hyperlink w:anchor="page101">
              <w:r>
                <w:rPr>
                  <w:rFonts w:ascii="Arial" w:cs="Arial" w:eastAsia="Arial" w:hAnsi="Arial"/>
                  <w:sz w:val="16"/>
                  <w:szCs w:val="16"/>
                  <w:color w:val="0000EE"/>
                </w:rPr>
                <w:t>Major Shareholders and Related Party Transactions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87</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02">
              <w:r>
                <w:rPr>
                  <w:rFonts w:ascii="Arial" w:cs="Arial" w:eastAsia="Arial" w:hAnsi="Arial"/>
                  <w:sz w:val="16"/>
                  <w:szCs w:val="16"/>
                  <w:color w:val="0000EE"/>
                </w:rPr>
                <w:t>ITEM 8.</w:t>
              </w:r>
            </w:hyperlink>
          </w:p>
        </w:tc>
        <w:tc>
          <w:tcPr>
            <w:tcW w:w="9420" w:type="dxa"/>
            <w:vAlign w:val="bottom"/>
            <w:gridSpan w:val="19"/>
          </w:tcPr>
          <w:p>
            <w:pPr>
              <w:ind w:left="20"/>
              <w:spacing w:after="0"/>
              <w:rPr>
                <w:rFonts w:ascii="Arial" w:cs="Arial" w:eastAsia="Arial" w:hAnsi="Arial"/>
                <w:sz w:val="16"/>
                <w:szCs w:val="16"/>
                <w:color w:val="0000EE"/>
              </w:rPr>
            </w:pPr>
            <w:hyperlink w:anchor="page102">
              <w:r>
                <w:rPr>
                  <w:rFonts w:ascii="Arial" w:cs="Arial" w:eastAsia="Arial" w:hAnsi="Arial"/>
                  <w:sz w:val="16"/>
                  <w:szCs w:val="16"/>
                  <w:color w:val="0000EE"/>
                </w:rPr>
                <w:t>Financial Information</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98</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ITEM 9.</w:t>
              </w:r>
            </w:hyperlink>
          </w:p>
        </w:tc>
        <w:tc>
          <w:tcPr>
            <w:tcW w:w="9420" w:type="dxa"/>
            <w:vAlign w:val="bottom"/>
            <w:gridSpan w:val="19"/>
          </w:tcPr>
          <w:p>
            <w:pPr>
              <w:ind w:left="20"/>
              <w:spacing w:after="0"/>
              <w:rPr>
                <w:rFonts w:ascii="Arial" w:cs="Arial" w:eastAsia="Arial" w:hAnsi="Arial"/>
                <w:sz w:val="16"/>
                <w:szCs w:val="16"/>
                <w:color w:val="0000EE"/>
              </w:rPr>
            </w:pPr>
            <w:hyperlink w:anchor="page103">
              <w:r>
                <w:rPr>
                  <w:rFonts w:ascii="Arial" w:cs="Arial" w:eastAsia="Arial" w:hAnsi="Arial"/>
                  <w:sz w:val="16"/>
                  <w:szCs w:val="16"/>
                  <w:color w:val="0000EE"/>
                </w:rPr>
                <w:t>The Offer and Listing</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99</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ITEM 10.</w:t>
              </w:r>
            </w:hyperlink>
          </w:p>
        </w:tc>
        <w:tc>
          <w:tcPr>
            <w:tcW w:w="9420" w:type="dxa"/>
            <w:vAlign w:val="bottom"/>
            <w:gridSpan w:val="19"/>
          </w:tcPr>
          <w:p>
            <w:pPr>
              <w:ind w:left="20"/>
              <w:spacing w:after="0"/>
              <w:rPr>
                <w:rFonts w:ascii="Arial" w:cs="Arial" w:eastAsia="Arial" w:hAnsi="Arial"/>
                <w:sz w:val="16"/>
                <w:szCs w:val="16"/>
                <w:color w:val="0000EE"/>
              </w:rPr>
            </w:pPr>
            <w:hyperlink w:anchor="page104">
              <w:r>
                <w:rPr>
                  <w:rFonts w:ascii="Arial" w:cs="Arial" w:eastAsia="Arial" w:hAnsi="Arial"/>
                  <w:sz w:val="16"/>
                  <w:szCs w:val="16"/>
                  <w:color w:val="0000EE"/>
                </w:rPr>
                <w:t>Additional Information</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100</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640" w:type="dxa"/>
            <w:vAlign w:val="bottom"/>
            <w:gridSpan w:val="2"/>
          </w:tcPr>
          <w:p>
            <w:pPr>
              <w:spacing w:after="0"/>
              <w:rPr>
                <w:rFonts w:ascii="Arial" w:cs="Arial" w:eastAsia="Arial" w:hAnsi="Arial"/>
                <w:sz w:val="16"/>
                <w:szCs w:val="16"/>
                <w:color w:val="0000EE"/>
                <w:w w:val="95"/>
              </w:rPr>
            </w:pPr>
            <w:hyperlink w:anchor="page119">
              <w:r>
                <w:rPr>
                  <w:rFonts w:ascii="Arial" w:cs="Arial" w:eastAsia="Arial" w:hAnsi="Arial"/>
                  <w:sz w:val="16"/>
                  <w:szCs w:val="16"/>
                  <w:color w:val="0000EE"/>
                  <w:w w:val="95"/>
                </w:rPr>
                <w:t>ITEM 11.</w:t>
              </w:r>
            </w:hyperlink>
          </w:p>
        </w:tc>
        <w:tc>
          <w:tcPr>
            <w:tcW w:w="48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gridSpan w:val="18"/>
          </w:tcPr>
          <w:p>
            <w:pPr>
              <w:spacing w:after="0"/>
              <w:rPr>
                <w:rFonts w:ascii="Arial" w:cs="Arial" w:eastAsia="Arial" w:hAnsi="Arial"/>
                <w:sz w:val="16"/>
                <w:szCs w:val="16"/>
                <w:color w:val="0000EE"/>
              </w:rPr>
            </w:pPr>
            <w:hyperlink w:anchor="page119">
              <w:r>
                <w:rPr>
                  <w:rFonts w:ascii="Arial" w:cs="Arial" w:eastAsia="Arial" w:hAnsi="Arial"/>
                  <w:sz w:val="16"/>
                  <w:szCs w:val="16"/>
                  <w:color w:val="0000EE"/>
                </w:rPr>
                <w:t>Quantitative and Qualitative Disclosure on Market Risk</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115</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19">
              <w:r>
                <w:rPr>
                  <w:rFonts w:ascii="Arial" w:cs="Arial" w:eastAsia="Arial" w:hAnsi="Arial"/>
                  <w:sz w:val="16"/>
                  <w:szCs w:val="16"/>
                  <w:color w:val="0000EE"/>
                </w:rPr>
                <w:t>ITEM 12.</w:t>
              </w:r>
            </w:hyperlink>
          </w:p>
        </w:tc>
        <w:tc>
          <w:tcPr>
            <w:tcW w:w="9420" w:type="dxa"/>
            <w:vAlign w:val="bottom"/>
            <w:gridSpan w:val="19"/>
          </w:tcPr>
          <w:p>
            <w:pPr>
              <w:ind w:left="20"/>
              <w:spacing w:after="0"/>
              <w:rPr>
                <w:rFonts w:ascii="Arial" w:cs="Arial" w:eastAsia="Arial" w:hAnsi="Arial"/>
                <w:sz w:val="16"/>
                <w:szCs w:val="16"/>
                <w:color w:val="0000EE"/>
              </w:rPr>
            </w:pPr>
            <w:hyperlink w:anchor="page119">
              <w:r>
                <w:rPr>
                  <w:rFonts w:ascii="Arial" w:cs="Arial" w:eastAsia="Arial" w:hAnsi="Arial"/>
                  <w:sz w:val="16"/>
                  <w:szCs w:val="16"/>
                  <w:color w:val="0000EE"/>
                </w:rPr>
                <w:t>Description of Securities Other Than Equity Securities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115</w:t>
            </w:r>
          </w:p>
        </w:tc>
      </w:tr>
      <w:tr>
        <w:trPr>
          <w:trHeight w:val="259"/>
        </w:trPr>
        <w:tc>
          <w:tcPr>
            <w:tcW w:w="140" w:type="dxa"/>
            <w:vAlign w:val="bottom"/>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60" w:type="dxa"/>
            <w:vAlign w:val="bottom"/>
          </w:tcPr>
          <w:p>
            <w:pPr>
              <w:spacing w:after="0"/>
              <w:rPr>
                <w:sz w:val="22"/>
                <w:szCs w:val="22"/>
                <w:color w:val="auto"/>
              </w:rPr>
            </w:pPr>
          </w:p>
        </w:tc>
        <w:tc>
          <w:tcPr>
            <w:tcW w:w="5320" w:type="dxa"/>
            <w:vAlign w:val="bottom"/>
            <w:gridSpan w:val="3"/>
          </w:tcPr>
          <w:p>
            <w:pPr>
              <w:jc w:val="center"/>
              <w:ind w:right="4100"/>
              <w:spacing w:after="0"/>
              <w:rPr>
                <w:sz w:val="20"/>
                <w:szCs w:val="20"/>
                <w:color w:val="auto"/>
              </w:rPr>
            </w:pPr>
            <w:r>
              <w:rPr>
                <w:rFonts w:ascii="Arial" w:cs="Arial" w:eastAsia="Arial" w:hAnsi="Arial"/>
                <w:sz w:val="16"/>
                <w:szCs w:val="16"/>
                <w:color w:val="auto"/>
                <w:w w:val="96"/>
              </w:rPr>
              <w:t>PART II</w:t>
            </w:r>
          </w:p>
        </w:tc>
        <w:tc>
          <w:tcPr>
            <w:tcW w:w="740" w:type="dxa"/>
            <w:vAlign w:val="bottom"/>
          </w:tcPr>
          <w:p>
            <w:pPr>
              <w:spacing w:after="0"/>
              <w:rPr>
                <w:sz w:val="22"/>
                <w:szCs w:val="22"/>
                <w:color w:val="auto"/>
              </w:rPr>
            </w:pPr>
          </w:p>
        </w:tc>
      </w:tr>
      <w:tr>
        <w:trPr>
          <w:trHeight w:val="208"/>
        </w:trPr>
        <w:tc>
          <w:tcPr>
            <w:tcW w:w="140" w:type="dxa"/>
            <w:vAlign w:val="bottom"/>
          </w:tcPr>
          <w:p>
            <w:pPr>
              <w:spacing w:after="0"/>
              <w:rPr>
                <w:sz w:val="18"/>
                <w:szCs w:val="18"/>
                <w:color w:val="auto"/>
              </w:rPr>
            </w:pPr>
          </w:p>
        </w:tc>
        <w:tc>
          <w:tcPr>
            <w:tcW w:w="1120" w:type="dxa"/>
            <w:vAlign w:val="bottom"/>
            <w:gridSpan w:val="7"/>
          </w:tcPr>
          <w:p>
            <w:pPr>
              <w:spacing w:after="0"/>
              <w:rPr>
                <w:rFonts w:ascii="Arial" w:cs="Arial" w:eastAsia="Arial" w:hAnsi="Arial"/>
                <w:sz w:val="16"/>
                <w:szCs w:val="16"/>
                <w:color w:val="0000EE"/>
              </w:rPr>
            </w:pPr>
            <w:hyperlink w:anchor="page122">
              <w:r>
                <w:rPr>
                  <w:rFonts w:ascii="Arial" w:cs="Arial" w:eastAsia="Arial" w:hAnsi="Arial"/>
                  <w:sz w:val="16"/>
                  <w:szCs w:val="16"/>
                  <w:color w:val="0000EE"/>
                </w:rPr>
                <w:t>ITEM 13.</w:t>
              </w:r>
            </w:hyperlink>
          </w:p>
        </w:tc>
        <w:tc>
          <w:tcPr>
            <w:tcW w:w="9420" w:type="dxa"/>
            <w:vAlign w:val="bottom"/>
            <w:gridSpan w:val="19"/>
          </w:tcPr>
          <w:p>
            <w:pPr>
              <w:ind w:left="20"/>
              <w:spacing w:after="0"/>
              <w:rPr>
                <w:rFonts w:ascii="Arial" w:cs="Arial" w:eastAsia="Arial" w:hAnsi="Arial"/>
                <w:sz w:val="16"/>
                <w:szCs w:val="16"/>
                <w:color w:val="0000EE"/>
              </w:rPr>
            </w:pPr>
            <w:hyperlink w:anchor="page122">
              <w:r>
                <w:rPr>
                  <w:rFonts w:ascii="Arial" w:cs="Arial" w:eastAsia="Arial" w:hAnsi="Arial"/>
                  <w:sz w:val="16"/>
                  <w:szCs w:val="16"/>
                  <w:color w:val="0000EE"/>
                </w:rPr>
                <w:t>Defaults, Dividends, Arrearages and Delinquencies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118</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23">
              <w:r>
                <w:rPr>
                  <w:rFonts w:ascii="Arial" w:cs="Arial" w:eastAsia="Arial" w:hAnsi="Arial"/>
                  <w:sz w:val="16"/>
                  <w:szCs w:val="16"/>
                  <w:color w:val="0000EE"/>
                </w:rPr>
                <w:t>ITEM 14.</w:t>
              </w:r>
            </w:hyperlink>
          </w:p>
        </w:tc>
        <w:tc>
          <w:tcPr>
            <w:tcW w:w="9420" w:type="dxa"/>
            <w:vAlign w:val="bottom"/>
            <w:gridSpan w:val="19"/>
          </w:tcPr>
          <w:p>
            <w:pPr>
              <w:ind w:left="20"/>
              <w:spacing w:after="0"/>
              <w:rPr>
                <w:rFonts w:ascii="Arial" w:cs="Arial" w:eastAsia="Arial" w:hAnsi="Arial"/>
                <w:sz w:val="16"/>
                <w:szCs w:val="16"/>
                <w:color w:val="0000EE"/>
              </w:rPr>
            </w:pPr>
            <w:hyperlink w:anchor="page123">
              <w:r>
                <w:rPr>
                  <w:rFonts w:ascii="Arial" w:cs="Arial" w:eastAsia="Arial" w:hAnsi="Arial"/>
                  <w:sz w:val="16"/>
                  <w:szCs w:val="16"/>
                  <w:color w:val="0000EE"/>
                </w:rPr>
                <w:t>Material Modifications to the Rights of Security Holders and Use of Proceeds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119</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23">
              <w:r>
                <w:rPr>
                  <w:rFonts w:ascii="Arial" w:cs="Arial" w:eastAsia="Arial" w:hAnsi="Arial"/>
                  <w:sz w:val="16"/>
                  <w:szCs w:val="16"/>
                  <w:color w:val="0000EE"/>
                </w:rPr>
                <w:t>ITEM 15.</w:t>
              </w:r>
            </w:hyperlink>
          </w:p>
        </w:tc>
        <w:tc>
          <w:tcPr>
            <w:tcW w:w="9420" w:type="dxa"/>
            <w:vAlign w:val="bottom"/>
            <w:gridSpan w:val="19"/>
          </w:tcPr>
          <w:p>
            <w:pPr>
              <w:ind w:left="20"/>
              <w:spacing w:after="0"/>
              <w:rPr>
                <w:rFonts w:ascii="Arial" w:cs="Arial" w:eastAsia="Arial" w:hAnsi="Arial"/>
                <w:sz w:val="16"/>
                <w:szCs w:val="16"/>
                <w:color w:val="0000EE"/>
              </w:rPr>
            </w:pPr>
            <w:hyperlink w:anchor="page123">
              <w:r>
                <w:rPr>
                  <w:rFonts w:ascii="Arial" w:cs="Arial" w:eastAsia="Arial" w:hAnsi="Arial"/>
                  <w:sz w:val="16"/>
                  <w:szCs w:val="16"/>
                  <w:color w:val="0000EE"/>
                </w:rPr>
                <w:t>Controls and Procedures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119</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23">
              <w:r>
                <w:rPr>
                  <w:rFonts w:ascii="Arial" w:cs="Arial" w:eastAsia="Arial" w:hAnsi="Arial"/>
                  <w:sz w:val="16"/>
                  <w:szCs w:val="16"/>
                  <w:color w:val="0000EE"/>
                </w:rPr>
                <w:t>ITEM 16.</w:t>
              </w:r>
            </w:hyperlink>
          </w:p>
        </w:tc>
        <w:tc>
          <w:tcPr>
            <w:tcW w:w="9420" w:type="dxa"/>
            <w:vAlign w:val="bottom"/>
            <w:gridSpan w:val="19"/>
          </w:tcPr>
          <w:p>
            <w:pPr>
              <w:ind w:left="20"/>
              <w:spacing w:after="0"/>
              <w:rPr>
                <w:rFonts w:ascii="Arial" w:cs="Arial" w:eastAsia="Arial" w:hAnsi="Arial"/>
                <w:sz w:val="16"/>
                <w:szCs w:val="16"/>
                <w:color w:val="0000EE"/>
              </w:rPr>
            </w:pPr>
            <w:hyperlink w:anchor="page123">
              <w:r>
                <w:rPr>
                  <w:rFonts w:ascii="Arial" w:cs="Arial" w:eastAsia="Arial" w:hAnsi="Arial"/>
                  <w:sz w:val="16"/>
                  <w:szCs w:val="16"/>
                  <w:color w:val="0000EE"/>
                </w:rPr>
                <w:t>[Reserved]</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119</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760" w:type="dxa"/>
            <w:vAlign w:val="bottom"/>
            <w:tcBorders>
              <w:bottom w:val="single" w:sz="8" w:color="0000EE"/>
            </w:tcBorders>
            <w:gridSpan w:val="4"/>
          </w:tcPr>
          <w:p>
            <w:pPr>
              <w:spacing w:after="0"/>
              <w:rPr>
                <w:rFonts w:ascii="Arial" w:cs="Arial" w:eastAsia="Arial" w:hAnsi="Arial"/>
                <w:sz w:val="16"/>
                <w:szCs w:val="16"/>
                <w:color w:val="0000EE"/>
                <w:w w:val="95"/>
              </w:rPr>
            </w:pPr>
            <w:hyperlink w:anchor="page123">
              <w:r>
                <w:rPr>
                  <w:rFonts w:ascii="Arial" w:cs="Arial" w:eastAsia="Arial" w:hAnsi="Arial"/>
                  <w:sz w:val="16"/>
                  <w:szCs w:val="16"/>
                  <w:color w:val="0000EE"/>
                  <w:w w:val="95"/>
                </w:rPr>
                <w:t>ITEM 16A.</w:t>
              </w:r>
            </w:hyperlink>
          </w:p>
        </w:tc>
        <w:tc>
          <w:tcPr>
            <w:tcW w:w="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Borders>
              <w:bottom w:val="single" w:sz="8" w:color="0000EE"/>
            </w:tcBorders>
            <w:gridSpan w:val="10"/>
          </w:tcPr>
          <w:p>
            <w:pPr>
              <w:spacing w:after="0"/>
              <w:rPr>
                <w:rFonts w:ascii="Arial" w:cs="Arial" w:eastAsia="Arial" w:hAnsi="Arial"/>
                <w:sz w:val="16"/>
                <w:szCs w:val="16"/>
                <w:color w:val="0000EE"/>
                <w:w w:val="93"/>
              </w:rPr>
            </w:pPr>
            <w:hyperlink w:anchor="page123">
              <w:r>
                <w:rPr>
                  <w:rFonts w:ascii="Arial" w:cs="Arial" w:eastAsia="Arial" w:hAnsi="Arial"/>
                  <w:sz w:val="16"/>
                  <w:szCs w:val="16"/>
                  <w:color w:val="0000EE"/>
                  <w:w w:val="93"/>
                </w:rPr>
                <w:t>Audit Committee Financial Experts</w:t>
              </w:r>
            </w:hyperlink>
          </w:p>
        </w:tc>
        <w:tc>
          <w:tcPr>
            <w:tcW w:w="7080" w:type="dxa"/>
            <w:vAlign w:val="bottom"/>
            <w:gridSpan w:val="8"/>
          </w:tcPr>
          <w:p>
            <w:pPr>
              <w:spacing w:after="0"/>
              <w:rPr>
                <w:sz w:val="19"/>
                <w:szCs w:val="19"/>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119</w:t>
            </w:r>
          </w:p>
        </w:tc>
      </w:tr>
      <w:tr>
        <w:trPr>
          <w:trHeight w:val="224"/>
        </w:trPr>
        <w:tc>
          <w:tcPr>
            <w:tcW w:w="140" w:type="dxa"/>
            <w:vAlign w:val="bottom"/>
          </w:tcPr>
          <w:p>
            <w:pPr>
              <w:spacing w:after="0"/>
              <w:rPr>
                <w:sz w:val="19"/>
                <w:szCs w:val="19"/>
                <w:color w:val="auto"/>
              </w:rPr>
            </w:pPr>
          </w:p>
        </w:tc>
        <w:tc>
          <w:tcPr>
            <w:tcW w:w="760" w:type="dxa"/>
            <w:vAlign w:val="bottom"/>
            <w:gridSpan w:val="4"/>
          </w:tcPr>
          <w:p>
            <w:pPr>
              <w:spacing w:after="0"/>
              <w:rPr>
                <w:rFonts w:ascii="Arial" w:cs="Arial" w:eastAsia="Arial" w:hAnsi="Arial"/>
                <w:sz w:val="16"/>
                <w:szCs w:val="16"/>
                <w:color w:val="0000EE"/>
                <w:w w:val="95"/>
              </w:rPr>
            </w:pPr>
            <w:hyperlink w:anchor="page123">
              <w:r>
                <w:rPr>
                  <w:rFonts w:ascii="Arial" w:cs="Arial" w:eastAsia="Arial" w:hAnsi="Arial"/>
                  <w:sz w:val="16"/>
                  <w:szCs w:val="16"/>
                  <w:color w:val="0000EE"/>
                  <w:w w:val="95"/>
                </w:rPr>
                <w:t>ITEM 16B.</w:t>
              </w:r>
            </w:hyperlink>
          </w:p>
        </w:tc>
        <w:tc>
          <w:tcPr>
            <w:tcW w:w="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9400" w:type="dxa"/>
            <w:vAlign w:val="bottom"/>
            <w:gridSpan w:val="18"/>
          </w:tcPr>
          <w:p>
            <w:pPr>
              <w:spacing w:after="0"/>
              <w:rPr>
                <w:rFonts w:ascii="Arial" w:cs="Arial" w:eastAsia="Arial" w:hAnsi="Arial"/>
                <w:sz w:val="16"/>
                <w:szCs w:val="16"/>
                <w:color w:val="0000EE"/>
              </w:rPr>
            </w:pPr>
            <w:hyperlink w:anchor="page123">
              <w:r>
                <w:rPr>
                  <w:rFonts w:ascii="Arial" w:cs="Arial" w:eastAsia="Arial" w:hAnsi="Arial"/>
                  <w:sz w:val="16"/>
                  <w:szCs w:val="16"/>
                  <w:color w:val="0000EE"/>
                </w:rPr>
                <w:t>Code of Ethics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119</w:t>
            </w:r>
          </w:p>
        </w:tc>
      </w:tr>
      <w:tr>
        <w:trPr>
          <w:trHeight w:val="20"/>
        </w:trPr>
        <w:tc>
          <w:tcPr>
            <w:tcW w:w="1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760" w:type="dxa"/>
            <w:vAlign w:val="bottom"/>
            <w:tcBorders>
              <w:bottom w:val="single" w:sz="8" w:color="0000EE"/>
            </w:tcBorders>
            <w:gridSpan w:val="4"/>
          </w:tcPr>
          <w:p>
            <w:pPr>
              <w:spacing w:after="0"/>
              <w:rPr>
                <w:rFonts w:ascii="Arial" w:cs="Arial" w:eastAsia="Arial" w:hAnsi="Arial"/>
                <w:sz w:val="16"/>
                <w:szCs w:val="16"/>
                <w:color w:val="0000EE"/>
                <w:w w:val="94"/>
              </w:rPr>
            </w:pPr>
            <w:hyperlink w:anchor="page124">
              <w:r>
                <w:rPr>
                  <w:rFonts w:ascii="Arial" w:cs="Arial" w:eastAsia="Arial" w:hAnsi="Arial"/>
                  <w:sz w:val="16"/>
                  <w:szCs w:val="16"/>
                  <w:color w:val="0000EE"/>
                  <w:w w:val="94"/>
                </w:rPr>
                <w:t>ITEM 16C.</w:t>
              </w:r>
            </w:hyperlink>
          </w:p>
        </w:tc>
        <w:tc>
          <w:tcPr>
            <w:tcW w:w="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124">
              <w:r>
                <w:rPr>
                  <w:rFonts w:ascii="Arial" w:cs="Arial" w:eastAsia="Arial" w:hAnsi="Arial"/>
                  <w:sz w:val="16"/>
                  <w:szCs w:val="16"/>
                  <w:color w:val="0000EE"/>
                  <w:w w:val="90"/>
                </w:rPr>
                <w:t>Principal Accountant Fees and Services</w:t>
              </w:r>
            </w:hyperlink>
          </w:p>
        </w:tc>
        <w:tc>
          <w:tcPr>
            <w:tcW w:w="6800" w:type="dxa"/>
            <w:vAlign w:val="bottom"/>
            <w:gridSpan w:val="7"/>
          </w:tcPr>
          <w:p>
            <w:pPr>
              <w:spacing w:after="0"/>
              <w:rPr>
                <w:sz w:val="19"/>
                <w:szCs w:val="19"/>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120</w:t>
            </w:r>
          </w:p>
        </w:tc>
      </w:tr>
      <w:tr>
        <w:trPr>
          <w:trHeight w:val="224"/>
        </w:trPr>
        <w:tc>
          <w:tcPr>
            <w:tcW w:w="140" w:type="dxa"/>
            <w:vAlign w:val="bottom"/>
          </w:tcPr>
          <w:p>
            <w:pPr>
              <w:spacing w:after="0"/>
              <w:rPr>
                <w:sz w:val="19"/>
                <w:szCs w:val="19"/>
                <w:color w:val="auto"/>
              </w:rPr>
            </w:pPr>
          </w:p>
        </w:tc>
        <w:tc>
          <w:tcPr>
            <w:tcW w:w="760" w:type="dxa"/>
            <w:vAlign w:val="bottom"/>
            <w:tcBorders>
              <w:bottom w:val="single" w:sz="8" w:color="0000EE"/>
            </w:tcBorders>
            <w:gridSpan w:val="4"/>
          </w:tcPr>
          <w:p>
            <w:pPr>
              <w:spacing w:after="0"/>
              <w:rPr>
                <w:rFonts w:ascii="Arial" w:cs="Arial" w:eastAsia="Arial" w:hAnsi="Arial"/>
                <w:sz w:val="16"/>
                <w:szCs w:val="16"/>
                <w:color w:val="0000EE"/>
                <w:w w:val="94"/>
              </w:rPr>
            </w:pPr>
            <w:hyperlink w:anchor="page124">
              <w:r>
                <w:rPr>
                  <w:rFonts w:ascii="Arial" w:cs="Arial" w:eastAsia="Arial" w:hAnsi="Arial"/>
                  <w:sz w:val="16"/>
                  <w:szCs w:val="16"/>
                  <w:color w:val="0000EE"/>
                  <w:w w:val="94"/>
                </w:rPr>
                <w:t>ITEM 16D.</w:t>
              </w:r>
            </w:hyperlink>
          </w:p>
        </w:tc>
        <w:tc>
          <w:tcPr>
            <w:tcW w:w="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Borders>
              <w:bottom w:val="single" w:sz="8" w:color="0000EE"/>
            </w:tcBorders>
            <w:gridSpan w:val="15"/>
          </w:tcPr>
          <w:p>
            <w:pPr>
              <w:spacing w:after="0"/>
              <w:rPr>
                <w:rFonts w:ascii="Arial" w:cs="Arial" w:eastAsia="Arial" w:hAnsi="Arial"/>
                <w:sz w:val="16"/>
                <w:szCs w:val="16"/>
                <w:color w:val="0000EE"/>
                <w:w w:val="93"/>
              </w:rPr>
            </w:pPr>
            <w:hyperlink w:anchor="page124">
              <w:r>
                <w:rPr>
                  <w:rFonts w:ascii="Arial" w:cs="Arial" w:eastAsia="Arial" w:hAnsi="Arial"/>
                  <w:sz w:val="16"/>
                  <w:szCs w:val="16"/>
                  <w:color w:val="0000EE"/>
                  <w:w w:val="93"/>
                </w:rPr>
                <w:t>Exemptions from The Listing Standards for Audit Committees</w:t>
              </w:r>
            </w:hyperlink>
          </w:p>
        </w:tc>
        <w:tc>
          <w:tcPr>
            <w:tcW w:w="5320" w:type="dxa"/>
            <w:vAlign w:val="bottom"/>
            <w:gridSpan w:val="3"/>
          </w:tcPr>
          <w:p>
            <w:pPr>
              <w:spacing w:after="0"/>
              <w:rPr>
                <w:sz w:val="19"/>
                <w:szCs w:val="19"/>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120</w:t>
            </w: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24">
              <w:r>
                <w:rPr>
                  <w:rFonts w:ascii="Arial" w:cs="Arial" w:eastAsia="Arial" w:hAnsi="Arial"/>
                  <w:sz w:val="16"/>
                  <w:szCs w:val="16"/>
                  <w:color w:val="0000EE"/>
                </w:rPr>
                <w:t>ITEM 16E.</w:t>
              </w:r>
            </w:hyperlink>
          </w:p>
        </w:tc>
        <w:tc>
          <w:tcPr>
            <w:tcW w:w="9420" w:type="dxa"/>
            <w:vAlign w:val="bottom"/>
            <w:gridSpan w:val="19"/>
          </w:tcPr>
          <w:p>
            <w:pPr>
              <w:ind w:left="20"/>
              <w:spacing w:after="0"/>
              <w:rPr>
                <w:rFonts w:ascii="Arial" w:cs="Arial" w:eastAsia="Arial" w:hAnsi="Arial"/>
                <w:sz w:val="16"/>
                <w:szCs w:val="16"/>
                <w:color w:val="0000EE"/>
              </w:rPr>
            </w:pPr>
            <w:hyperlink w:anchor="page124">
              <w:r>
                <w:rPr>
                  <w:rFonts w:ascii="Arial" w:cs="Arial" w:eastAsia="Arial" w:hAnsi="Arial"/>
                  <w:sz w:val="16"/>
                  <w:szCs w:val="16"/>
                  <w:color w:val="0000EE"/>
                </w:rPr>
                <w:t>Purchases of Equity Securities by The Issuer and Affiliated Purchasers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120</w:t>
            </w:r>
          </w:p>
        </w:tc>
      </w:tr>
      <w:tr>
        <w:trPr>
          <w:trHeight w:val="224"/>
        </w:trPr>
        <w:tc>
          <w:tcPr>
            <w:tcW w:w="140" w:type="dxa"/>
            <w:vAlign w:val="bottom"/>
          </w:tcPr>
          <w:p>
            <w:pPr>
              <w:spacing w:after="0"/>
              <w:rPr>
                <w:sz w:val="19"/>
                <w:szCs w:val="19"/>
                <w:color w:val="auto"/>
              </w:rPr>
            </w:pPr>
          </w:p>
        </w:tc>
        <w:tc>
          <w:tcPr>
            <w:tcW w:w="72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3"/>
              </w:rPr>
            </w:pPr>
            <w:hyperlink w:anchor="page124">
              <w:r>
                <w:rPr>
                  <w:rFonts w:ascii="Arial" w:cs="Arial" w:eastAsia="Arial" w:hAnsi="Arial"/>
                  <w:sz w:val="16"/>
                  <w:szCs w:val="16"/>
                  <w:color w:val="0000EE"/>
                  <w:w w:val="93"/>
                </w:rPr>
                <w:t>ITEM 16F.</w:t>
              </w:r>
            </w:hyperlink>
          </w:p>
        </w:tc>
        <w:tc>
          <w:tcPr>
            <w:tcW w:w="40" w:type="dxa"/>
            <w:vAlign w:val="bottom"/>
            <w:tcBorders>
              <w:top w:val="single" w:sz="8" w:color="0000EE"/>
            </w:tcBorders>
          </w:tcPr>
          <w:p>
            <w:pPr>
              <w:spacing w:after="0"/>
              <w:rPr>
                <w:sz w:val="19"/>
                <w:szCs w:val="19"/>
                <w:color w:val="auto"/>
              </w:rPr>
            </w:pPr>
          </w:p>
        </w:tc>
        <w:tc>
          <w:tcPr>
            <w:tcW w:w="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3040" w:type="dxa"/>
            <w:vAlign w:val="bottom"/>
            <w:tcBorders>
              <w:top w:val="single" w:sz="8" w:color="0000EE"/>
              <w:bottom w:val="single" w:sz="8" w:color="0000EE"/>
            </w:tcBorders>
            <w:gridSpan w:val="12"/>
          </w:tcPr>
          <w:p>
            <w:pPr>
              <w:spacing w:after="0"/>
              <w:rPr>
                <w:rFonts w:ascii="Arial" w:cs="Arial" w:eastAsia="Arial" w:hAnsi="Arial"/>
                <w:sz w:val="16"/>
                <w:szCs w:val="16"/>
                <w:color w:val="0000EE"/>
                <w:w w:val="91"/>
              </w:rPr>
            </w:pPr>
            <w:hyperlink w:anchor="page124">
              <w:r>
                <w:rPr>
                  <w:rFonts w:ascii="Arial" w:cs="Arial" w:eastAsia="Arial" w:hAnsi="Arial"/>
                  <w:sz w:val="16"/>
                  <w:szCs w:val="16"/>
                  <w:color w:val="0000EE"/>
                  <w:w w:val="91"/>
                </w:rPr>
                <w:t>Change in Registrations Certifying Accountant</w:t>
              </w:r>
            </w:hyperlink>
          </w:p>
        </w:tc>
        <w:tc>
          <w:tcPr>
            <w:tcW w:w="1540" w:type="dxa"/>
            <w:vAlign w:val="bottom"/>
            <w:tcBorders>
              <w:top w:val="single" w:sz="8" w:color="0000EE"/>
            </w:tcBorders>
            <w:gridSpan w:val="4"/>
          </w:tcPr>
          <w:p>
            <w:pPr>
              <w:spacing w:after="0"/>
              <w:rPr>
                <w:sz w:val="19"/>
                <w:szCs w:val="19"/>
                <w:color w:val="auto"/>
              </w:rPr>
            </w:pPr>
          </w:p>
        </w:tc>
        <w:tc>
          <w:tcPr>
            <w:tcW w:w="4820" w:type="dxa"/>
            <w:vAlign w:val="bottom"/>
            <w:gridSpan w:val="2"/>
          </w:tcPr>
          <w:p>
            <w:pPr>
              <w:spacing w:after="0"/>
              <w:rPr>
                <w:sz w:val="19"/>
                <w:szCs w:val="19"/>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120</w:t>
            </w:r>
          </w:p>
        </w:tc>
      </w:tr>
      <w:tr>
        <w:trPr>
          <w:trHeight w:val="224"/>
        </w:trPr>
        <w:tc>
          <w:tcPr>
            <w:tcW w:w="140" w:type="dxa"/>
            <w:vAlign w:val="bottom"/>
          </w:tcPr>
          <w:p>
            <w:pPr>
              <w:spacing w:after="0"/>
              <w:rPr>
                <w:sz w:val="19"/>
                <w:szCs w:val="19"/>
                <w:color w:val="auto"/>
              </w:rPr>
            </w:pPr>
          </w:p>
        </w:tc>
        <w:tc>
          <w:tcPr>
            <w:tcW w:w="760" w:type="dxa"/>
            <w:vAlign w:val="bottom"/>
            <w:tcBorders>
              <w:bottom w:val="single" w:sz="8" w:color="0000EE"/>
            </w:tcBorders>
            <w:gridSpan w:val="4"/>
          </w:tcPr>
          <w:p>
            <w:pPr>
              <w:spacing w:after="0"/>
              <w:rPr>
                <w:rFonts w:ascii="Arial" w:cs="Arial" w:eastAsia="Arial" w:hAnsi="Arial"/>
                <w:sz w:val="16"/>
                <w:szCs w:val="16"/>
                <w:color w:val="0000EE"/>
                <w:w w:val="93"/>
              </w:rPr>
            </w:pPr>
            <w:hyperlink w:anchor="page124">
              <w:r>
                <w:rPr>
                  <w:rFonts w:ascii="Arial" w:cs="Arial" w:eastAsia="Arial" w:hAnsi="Arial"/>
                  <w:sz w:val="16"/>
                  <w:szCs w:val="16"/>
                  <w:color w:val="0000EE"/>
                  <w:w w:val="93"/>
                </w:rPr>
                <w:t>ITEM 16G.</w:t>
              </w:r>
            </w:hyperlink>
          </w:p>
        </w:tc>
        <w:tc>
          <w:tcPr>
            <w:tcW w:w="3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124">
              <w:r>
                <w:rPr>
                  <w:rFonts w:ascii="Arial" w:cs="Arial" w:eastAsia="Arial" w:hAnsi="Arial"/>
                  <w:sz w:val="16"/>
                  <w:szCs w:val="16"/>
                  <w:color w:val="0000EE"/>
                  <w:w w:val="90"/>
                </w:rPr>
                <w:t>Corporate Governance</w:t>
              </w:r>
            </w:hyperlink>
          </w:p>
        </w:tc>
        <w:tc>
          <w:tcPr>
            <w:tcW w:w="7880" w:type="dxa"/>
            <w:vAlign w:val="bottom"/>
            <w:gridSpan w:val="11"/>
          </w:tcPr>
          <w:p>
            <w:pPr>
              <w:spacing w:after="0"/>
              <w:rPr>
                <w:sz w:val="19"/>
                <w:szCs w:val="19"/>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120</w:t>
            </w: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ITEM 16H.</w:t>
              </w:r>
            </w:hyperlink>
          </w:p>
        </w:tc>
        <w:tc>
          <w:tcPr>
            <w:tcW w:w="9420" w:type="dxa"/>
            <w:vAlign w:val="bottom"/>
            <w:gridSpan w:val="19"/>
          </w:tcPr>
          <w:p>
            <w:pPr>
              <w:ind w:left="20"/>
              <w:spacing w:after="0"/>
              <w:rPr>
                <w:rFonts w:ascii="Arial" w:cs="Arial" w:eastAsia="Arial" w:hAnsi="Arial"/>
                <w:sz w:val="16"/>
                <w:szCs w:val="16"/>
                <w:color w:val="0000EE"/>
              </w:rPr>
            </w:pPr>
            <w:hyperlink w:anchor="page127">
              <w:r>
                <w:rPr>
                  <w:rFonts w:ascii="Arial" w:cs="Arial" w:eastAsia="Arial" w:hAnsi="Arial"/>
                  <w:sz w:val="16"/>
                  <w:szCs w:val="16"/>
                  <w:color w:val="0000EE"/>
                </w:rPr>
                <w:t>Mine Safety Disclosure</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123</w:t>
            </w:r>
          </w:p>
        </w:tc>
      </w:tr>
      <w:tr>
        <w:trPr>
          <w:trHeight w:val="259"/>
        </w:trPr>
        <w:tc>
          <w:tcPr>
            <w:tcW w:w="140" w:type="dxa"/>
            <w:vAlign w:val="bottom"/>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320" w:type="dxa"/>
            <w:vAlign w:val="bottom"/>
            <w:gridSpan w:val="3"/>
          </w:tcPr>
          <w:p>
            <w:pPr>
              <w:jc w:val="center"/>
              <w:ind w:right="4100"/>
              <w:spacing w:after="0"/>
              <w:rPr>
                <w:sz w:val="20"/>
                <w:szCs w:val="20"/>
                <w:color w:val="auto"/>
              </w:rPr>
            </w:pPr>
            <w:r>
              <w:rPr>
                <w:rFonts w:ascii="Arial" w:cs="Arial" w:eastAsia="Arial" w:hAnsi="Arial"/>
                <w:sz w:val="16"/>
                <w:szCs w:val="16"/>
                <w:color w:val="auto"/>
                <w:w w:val="95"/>
              </w:rPr>
              <w:t>PART III</w:t>
            </w:r>
          </w:p>
        </w:tc>
        <w:tc>
          <w:tcPr>
            <w:tcW w:w="740" w:type="dxa"/>
            <w:vAlign w:val="bottom"/>
          </w:tcPr>
          <w:p>
            <w:pPr>
              <w:spacing w:after="0"/>
              <w:rPr>
                <w:sz w:val="22"/>
                <w:szCs w:val="22"/>
                <w:color w:val="auto"/>
              </w:rPr>
            </w:pPr>
          </w:p>
        </w:tc>
      </w:tr>
      <w:tr>
        <w:trPr>
          <w:trHeight w:val="208"/>
        </w:trPr>
        <w:tc>
          <w:tcPr>
            <w:tcW w:w="140" w:type="dxa"/>
            <w:vAlign w:val="bottom"/>
          </w:tcPr>
          <w:p>
            <w:pPr>
              <w:spacing w:after="0"/>
              <w:rPr>
                <w:sz w:val="18"/>
                <w:szCs w:val="18"/>
                <w:color w:val="auto"/>
              </w:rPr>
            </w:pPr>
          </w:p>
        </w:tc>
        <w:tc>
          <w:tcPr>
            <w:tcW w:w="1120" w:type="dxa"/>
            <w:vAlign w:val="bottom"/>
            <w:gridSpan w:val="7"/>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ITEM 17.</w:t>
              </w:r>
            </w:hyperlink>
          </w:p>
        </w:tc>
        <w:tc>
          <w:tcPr>
            <w:tcW w:w="9420" w:type="dxa"/>
            <w:vAlign w:val="bottom"/>
            <w:gridSpan w:val="19"/>
          </w:tcPr>
          <w:p>
            <w:pPr>
              <w:ind w:left="20"/>
              <w:spacing w:after="0"/>
              <w:rPr>
                <w:rFonts w:ascii="Arial" w:cs="Arial" w:eastAsia="Arial" w:hAnsi="Arial"/>
                <w:sz w:val="16"/>
                <w:szCs w:val="16"/>
                <w:color w:val="0000EE"/>
              </w:rPr>
            </w:pPr>
            <w:hyperlink w:anchor="page127">
              <w:r>
                <w:rPr>
                  <w:rFonts w:ascii="Arial" w:cs="Arial" w:eastAsia="Arial" w:hAnsi="Arial"/>
                  <w:sz w:val="16"/>
                  <w:szCs w:val="16"/>
                  <w:color w:val="0000EE"/>
                </w:rPr>
                <w:t>Financial Statements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123</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27">
              <w:r>
                <w:rPr>
                  <w:rFonts w:ascii="Arial" w:cs="Arial" w:eastAsia="Arial" w:hAnsi="Arial"/>
                  <w:sz w:val="16"/>
                  <w:szCs w:val="16"/>
                  <w:color w:val="0000EE"/>
                </w:rPr>
                <w:t>ITEM 18.</w:t>
              </w:r>
            </w:hyperlink>
          </w:p>
        </w:tc>
        <w:tc>
          <w:tcPr>
            <w:tcW w:w="9420" w:type="dxa"/>
            <w:vAlign w:val="bottom"/>
            <w:gridSpan w:val="19"/>
          </w:tcPr>
          <w:p>
            <w:pPr>
              <w:ind w:left="20"/>
              <w:spacing w:after="0"/>
              <w:rPr>
                <w:rFonts w:ascii="Arial" w:cs="Arial" w:eastAsia="Arial" w:hAnsi="Arial"/>
                <w:sz w:val="16"/>
                <w:szCs w:val="16"/>
                <w:color w:val="0000EE"/>
              </w:rPr>
            </w:pPr>
            <w:hyperlink w:anchor="page127">
              <w:r>
                <w:rPr>
                  <w:rFonts w:ascii="Arial" w:cs="Arial" w:eastAsia="Arial" w:hAnsi="Arial"/>
                  <w:sz w:val="16"/>
                  <w:szCs w:val="16"/>
                  <w:color w:val="0000EE"/>
                </w:rPr>
                <w:t>Financial Statements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123</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120" w:type="dxa"/>
            <w:vAlign w:val="bottom"/>
            <w:gridSpan w:val="7"/>
          </w:tcPr>
          <w:p>
            <w:pPr>
              <w:spacing w:after="0"/>
              <w:rPr>
                <w:rFonts w:ascii="Arial" w:cs="Arial" w:eastAsia="Arial" w:hAnsi="Arial"/>
                <w:sz w:val="16"/>
                <w:szCs w:val="16"/>
                <w:color w:val="0000EE"/>
              </w:rPr>
            </w:pPr>
            <w:hyperlink w:anchor="page128">
              <w:r>
                <w:rPr>
                  <w:rFonts w:ascii="Arial" w:cs="Arial" w:eastAsia="Arial" w:hAnsi="Arial"/>
                  <w:sz w:val="16"/>
                  <w:szCs w:val="16"/>
                  <w:color w:val="0000EE"/>
                </w:rPr>
                <w:t>ITEM 19.</w:t>
              </w:r>
            </w:hyperlink>
          </w:p>
        </w:tc>
        <w:tc>
          <w:tcPr>
            <w:tcW w:w="9420" w:type="dxa"/>
            <w:vAlign w:val="bottom"/>
            <w:gridSpan w:val="19"/>
          </w:tcPr>
          <w:p>
            <w:pPr>
              <w:ind w:left="20"/>
              <w:spacing w:after="0"/>
              <w:rPr>
                <w:rFonts w:ascii="Arial" w:cs="Arial" w:eastAsia="Arial" w:hAnsi="Arial"/>
                <w:sz w:val="16"/>
                <w:szCs w:val="16"/>
                <w:color w:val="0000EE"/>
              </w:rPr>
            </w:pPr>
            <w:hyperlink w:anchor="page128">
              <w:r>
                <w:rPr>
                  <w:rFonts w:ascii="Arial" w:cs="Arial" w:eastAsia="Arial" w:hAnsi="Arial"/>
                  <w:sz w:val="16"/>
                  <w:szCs w:val="16"/>
                  <w:color w:val="0000EE"/>
                </w:rPr>
                <w:t>Exhibits</w:t>
              </w:r>
            </w:hyperlink>
          </w:p>
        </w:tc>
        <w:tc>
          <w:tcPr>
            <w:tcW w:w="740" w:type="dxa"/>
            <w:vAlign w:val="bottom"/>
          </w:tcPr>
          <w:p>
            <w:pPr>
              <w:ind w:left="60"/>
              <w:spacing w:after="0"/>
              <w:rPr>
                <w:sz w:val="20"/>
                <w:szCs w:val="20"/>
                <w:color w:val="auto"/>
              </w:rPr>
            </w:pPr>
            <w:r>
              <w:rPr>
                <w:rFonts w:ascii="Arial" w:cs="Arial" w:eastAsia="Arial" w:hAnsi="Arial"/>
                <w:sz w:val="16"/>
                <w:szCs w:val="16"/>
                <w:color w:val="auto"/>
              </w:rPr>
              <w:t>124</w:t>
            </w:r>
          </w:p>
        </w:tc>
      </w:tr>
      <w:tr>
        <w:trPr>
          <w:trHeight w:val="20"/>
        </w:trPr>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4"/>
        </w:trPr>
        <w:tc>
          <w:tcPr>
            <w:tcW w:w="140" w:type="dxa"/>
            <w:vAlign w:val="bottom"/>
          </w:tcPr>
          <w:p>
            <w:pPr>
              <w:spacing w:after="0"/>
              <w:rPr>
                <w:sz w:val="19"/>
                <w:szCs w:val="19"/>
                <w:color w:val="auto"/>
              </w:rPr>
            </w:pPr>
          </w:p>
        </w:tc>
        <w:tc>
          <w:tcPr>
            <w:tcW w:w="1000" w:type="dxa"/>
            <w:vAlign w:val="bottom"/>
            <w:tcBorders>
              <w:bottom w:val="single" w:sz="8" w:color="0000EE"/>
            </w:tcBorders>
            <w:gridSpan w:val="5"/>
          </w:tcPr>
          <w:p>
            <w:pPr>
              <w:spacing w:after="0"/>
              <w:rPr>
                <w:rFonts w:ascii="Arial" w:cs="Arial" w:eastAsia="Arial" w:hAnsi="Arial"/>
                <w:sz w:val="16"/>
                <w:szCs w:val="16"/>
                <w:color w:val="0000EE"/>
                <w:w w:val="94"/>
              </w:rPr>
            </w:pPr>
            <w:hyperlink w:anchor="page130">
              <w:r>
                <w:rPr>
                  <w:rFonts w:ascii="Arial" w:cs="Arial" w:eastAsia="Arial" w:hAnsi="Arial"/>
                  <w:sz w:val="16"/>
                  <w:szCs w:val="16"/>
                  <w:color w:val="0000EE"/>
                  <w:w w:val="94"/>
                </w:rPr>
                <w:t>SIGNATURES</w:t>
              </w:r>
            </w:hyperlink>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740" w:type="dxa"/>
            <w:vAlign w:val="bottom"/>
          </w:tcPr>
          <w:p>
            <w:pPr>
              <w:ind w:left="60"/>
              <w:spacing w:after="0"/>
              <w:rPr>
                <w:sz w:val="20"/>
                <w:szCs w:val="20"/>
                <w:color w:val="auto"/>
              </w:rPr>
            </w:pPr>
            <w:r>
              <w:rPr>
                <w:rFonts w:ascii="Arial" w:cs="Arial" w:eastAsia="Arial" w:hAnsi="Arial"/>
                <w:sz w:val="16"/>
                <w:szCs w:val="16"/>
                <w:color w:val="auto"/>
              </w:rPr>
              <w:t>126</w:t>
            </w:r>
          </w:p>
        </w:tc>
      </w:tr>
    </w:tbl>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43815</wp:posOffset>
            </wp:positionV>
            <wp:extent cx="725995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60" w:top="123" w:right="219"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INTRODUCTION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Definitions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In this Annual Report on Form 20-F, unless the context otherwise requires:</w:t>
      </w:r>
    </w:p>
    <w:p>
      <w:pPr>
        <w:spacing w:after="0" w:line="206" w:lineRule="exact"/>
        <w:rPr>
          <w:sz w:val="20"/>
          <w:szCs w:val="20"/>
          <w:color w:val="auto"/>
        </w:rPr>
      </w:pPr>
    </w:p>
    <w:p>
      <w:pPr>
        <w:ind w:left="1160" w:hanging="578"/>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"BioLineRx," the "Company," "us," "we" and "our" refer to BioLineRx Ltd., an Israeli company, and its consolidated subsidiaries;</w:t>
      </w:r>
    </w:p>
    <w:p>
      <w:pPr>
        <w:spacing w:after="0" w:line="205" w:lineRule="exact"/>
        <w:rPr>
          <w:rFonts w:ascii="Arial" w:cs="Arial" w:eastAsia="Arial" w:hAnsi="Arial"/>
          <w:sz w:val="16"/>
          <w:szCs w:val="16"/>
          <w:color w:val="auto"/>
        </w:rPr>
      </w:pPr>
    </w:p>
    <w:p>
      <w:pPr>
        <w:ind w:left="1160" w:hanging="578"/>
        <w:spacing w:after="0"/>
        <w:tabs>
          <w:tab w:leader="none" w:pos="116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references to "ordinary shares," "our shares" and similar expressions refer to the Company's ordinary shares, NIS 0.10 nominal (par) value per share;</w:t>
      </w:r>
    </w:p>
    <w:p>
      <w:pPr>
        <w:spacing w:after="0" w:line="217" w:lineRule="exact"/>
        <w:rPr>
          <w:rFonts w:ascii="Arial" w:cs="Arial" w:eastAsia="Arial" w:hAnsi="Arial"/>
          <w:sz w:val="15"/>
          <w:szCs w:val="15"/>
          <w:color w:val="auto"/>
        </w:rPr>
      </w:pPr>
    </w:p>
    <w:p>
      <w:pPr>
        <w:ind w:left="1160" w:hanging="578"/>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"ADS" refer to the Company's American Depositary Shares;</w:t>
      </w:r>
    </w:p>
    <w:p>
      <w:pPr>
        <w:spacing w:after="0" w:line="205" w:lineRule="exact"/>
        <w:rPr>
          <w:rFonts w:ascii="Arial" w:cs="Arial" w:eastAsia="Arial" w:hAnsi="Arial"/>
          <w:sz w:val="16"/>
          <w:szCs w:val="16"/>
          <w:color w:val="auto"/>
        </w:rPr>
      </w:pPr>
    </w:p>
    <w:p>
      <w:pPr>
        <w:ind w:left="1160" w:hanging="578"/>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"dollars," "U.S. dollars" and "$" are to United States Dollars;</w:t>
      </w:r>
    </w:p>
    <w:p>
      <w:pPr>
        <w:spacing w:after="0" w:line="205" w:lineRule="exact"/>
        <w:rPr>
          <w:rFonts w:ascii="Arial" w:cs="Arial" w:eastAsia="Arial" w:hAnsi="Arial"/>
          <w:sz w:val="16"/>
          <w:szCs w:val="16"/>
          <w:color w:val="auto"/>
        </w:rPr>
      </w:pPr>
    </w:p>
    <w:p>
      <w:pPr>
        <w:ind w:left="1160" w:hanging="578"/>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"shekels" and "NIS" are to New Israeli Shekels, the Israeli currency;</w:t>
      </w:r>
    </w:p>
    <w:p>
      <w:pPr>
        <w:spacing w:after="0" w:line="205" w:lineRule="exact"/>
        <w:rPr>
          <w:rFonts w:ascii="Arial" w:cs="Arial" w:eastAsia="Arial" w:hAnsi="Arial"/>
          <w:sz w:val="16"/>
          <w:szCs w:val="16"/>
          <w:color w:val="auto"/>
        </w:rPr>
      </w:pPr>
    </w:p>
    <w:p>
      <w:pPr>
        <w:ind w:left="1160" w:hanging="578"/>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the "Companies Law" are to Israel's Companies Law, 5759-1999, as amended; and</w:t>
      </w:r>
    </w:p>
    <w:p>
      <w:pPr>
        <w:spacing w:after="0" w:line="205" w:lineRule="exact"/>
        <w:rPr>
          <w:rFonts w:ascii="Arial" w:cs="Arial" w:eastAsia="Arial" w:hAnsi="Arial"/>
          <w:sz w:val="16"/>
          <w:szCs w:val="16"/>
          <w:color w:val="auto"/>
        </w:rPr>
      </w:pPr>
    </w:p>
    <w:p>
      <w:pPr>
        <w:ind w:left="1160" w:hanging="578"/>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the "SEC" are to the United States Securities and Exchange Commission.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8" w:lineRule="exact"/>
        <w:rPr>
          <w:sz w:val="20"/>
          <w:szCs w:val="20"/>
          <w:color w:val="auto"/>
        </w:rPr>
      </w:pPr>
    </w:p>
    <w:p>
      <w:pPr>
        <w:ind w:firstLine="584"/>
        <w:spacing w:after="0" w:line="276" w:lineRule="auto"/>
        <w:rPr>
          <w:sz w:val="20"/>
          <w:szCs w:val="20"/>
          <w:color w:val="auto"/>
        </w:rPr>
      </w:pPr>
      <w:r>
        <w:rPr>
          <w:rFonts w:ascii="Arial" w:cs="Arial" w:eastAsia="Arial" w:hAnsi="Arial"/>
          <w:sz w:val="15"/>
          <w:szCs w:val="15"/>
          <w:color w:val="auto"/>
        </w:rPr>
        <w:t>Some of the statements under the sections entitled “Item 3. Key Information – Risk Factors,” “Item 4. Information on the Company,” and “Item 5. Operating and Financial Review and Prospects” and elsewhere in this Annual Report on Form 20-F constitute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“would,” and similar expressions intended to identify forward-looking statements, but these are not the only ways these statements are identified. Forward-looking statements reflect our current views with respect to future events and are based on assumptions and subject to risks and uncertainties. In addition, the section of this Annual Report on Form 20-F entitled “Item 4. Information on the Company” contains information obtained from independent industry and other sources that we have not independently verified. You should not put undue reliance on any forward-looking statements. Unless we are required to do so under U.S. federal securities laws or other applicable laws, we do not intend to update or revise any forward-looking statements. Readers are encouraged to consult the Company’s filings made on Form 6-K, which are periodically filed with or furnished to the SEC.</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Factors that could cause our actual results to differ materially from those expressed or implied in such forward-looking statements include, but are not limited to:</w:t>
      </w:r>
    </w:p>
    <w:p>
      <w:pPr>
        <w:spacing w:after="0" w:line="266" w:lineRule="exact"/>
        <w:rPr>
          <w:sz w:val="20"/>
          <w:szCs w:val="20"/>
          <w:color w:val="auto"/>
        </w:rPr>
      </w:pPr>
    </w:p>
    <w:p>
      <w:pPr>
        <w:ind w:left="1160" w:hanging="57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clinical trials and other therapeutic candidate development efforts;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advance our therapeutic candidates into clinical trials or to successfully complete our preclinical studies or clinical trials;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receipt of regulatory approvals for our therapeutic candidates, and the timing of other regulatory filings and approvals;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clinical development, commercialization and market acceptance of our therapeutic candidates;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establish and maintain corporate collaborations and integrate new therapeutic candidates and new personnel;</w:t>
      </w:r>
    </w:p>
    <w:p>
      <w:pPr>
        <w:spacing w:after="0" w:line="254" w:lineRule="exact"/>
        <w:rPr>
          <w:rFonts w:ascii="Arial" w:cs="Arial" w:eastAsia="Arial" w:hAnsi="Arial"/>
          <w:sz w:val="16"/>
          <w:szCs w:val="16"/>
          <w:color w:val="auto"/>
        </w:rPr>
      </w:pPr>
    </w:p>
    <w:p>
      <w:pPr>
        <w:ind w:left="1160" w:right="160" w:hanging="578"/>
        <w:spacing w:after="0" w:line="283"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interpretation of the properties and characteristics of our therapeutic candidates and of the results obtained with our therapeutic candidates in preclinical studies or clinical trials;</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business and therapeutic candidates;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25995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ind w:left="1160" w:hanging="578"/>
        <w:spacing w:after="0" w:line="283"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therapeutic candidates and our ability to operate our business without infringing the intellectual property rights of others;</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competitive companies, technologies and our industry;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statements as to the impact of the political and security situation in Israel on our business.</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PART I</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KEY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Selected Financial Data</w:t>
      </w:r>
    </w:p>
    <w:p>
      <w:pPr>
        <w:spacing w:after="0" w:line="258" w:lineRule="exact"/>
        <w:rPr>
          <w:sz w:val="20"/>
          <w:szCs w:val="20"/>
          <w:color w:val="auto"/>
        </w:rPr>
      </w:pPr>
    </w:p>
    <w:p>
      <w:pPr>
        <w:ind w:right="160" w:firstLine="584"/>
        <w:spacing w:after="0" w:line="263" w:lineRule="auto"/>
        <w:rPr>
          <w:sz w:val="20"/>
          <w:szCs w:val="20"/>
          <w:color w:val="auto"/>
        </w:rPr>
      </w:pPr>
      <w:r>
        <w:rPr>
          <w:rFonts w:ascii="Arial" w:cs="Arial" w:eastAsia="Arial" w:hAnsi="Arial"/>
          <w:sz w:val="16"/>
          <w:szCs w:val="16"/>
          <w:i w:val="1"/>
          <w:iCs w:val="1"/>
          <w:color w:val="auto"/>
        </w:rPr>
        <w:t>The following table sets forth our selected consolidated financial data for the periods ended and as of the dates indicated. The following selected historical consolidated financial data for our company should be read in conjunction with “Item 5. Operational and Financial Review and Prospects” and other information provided elsewhere in this Annual Report on Form 20-F and our consolidated financial statements and related notes. The selected consolidated financial data in this section is not intended to replace the consolidated financial statements and is qualified in its entirety thereby.</w:t>
      </w:r>
    </w:p>
    <w:p>
      <w:pPr>
        <w:spacing w:after="0" w:line="216" w:lineRule="exact"/>
        <w:rPr>
          <w:sz w:val="20"/>
          <w:szCs w:val="20"/>
          <w:color w:val="auto"/>
        </w:rPr>
      </w:pPr>
    </w:p>
    <w:p>
      <w:pPr>
        <w:ind w:firstLine="584"/>
        <w:spacing w:after="0" w:line="324" w:lineRule="auto"/>
        <w:rPr>
          <w:sz w:val="20"/>
          <w:szCs w:val="20"/>
          <w:color w:val="auto"/>
        </w:rPr>
      </w:pPr>
      <w:r>
        <w:rPr>
          <w:rFonts w:ascii="Arial" w:cs="Arial" w:eastAsia="Arial" w:hAnsi="Arial"/>
          <w:sz w:val="14"/>
          <w:szCs w:val="14"/>
          <w:i w:val="1"/>
          <w:iCs w:val="1"/>
          <w:color w:val="auto"/>
        </w:rPr>
        <w:t>In June 2015, we effected a 1:10 reverse split of our ordinary shares. All share and per share amounts in this report have been retroactively adjusted to reflect the reverse split as if it had been effected prior to the earliest financial statement period referred to herein. Following the reverse split, one ordinary share traded on the Tel-Aviv Stock Exchange (the "TASE") is equivalent to one ADS traded on the Nasdaq Capital Market (the "Nasdaq") (prior to the split, the ratio of ordinary shares to ADSs was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725995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5" w:name="page6"/>
    <w:bookmarkEnd w:id="5"/>
    <w:p>
      <w:pPr>
        <w:ind w:left="3" w:right="20" w:firstLine="584"/>
        <w:spacing w:after="0" w:line="286" w:lineRule="auto"/>
        <w:rPr>
          <w:sz w:val="20"/>
          <w:szCs w:val="20"/>
          <w:color w:val="auto"/>
        </w:rPr>
      </w:pPr>
      <w:r>
        <w:rPr>
          <w:rFonts w:ascii="Arial" w:cs="Arial" w:eastAsia="Arial" w:hAnsi="Arial"/>
          <w:sz w:val="15"/>
          <w:szCs w:val="15"/>
          <w:color w:val="auto"/>
        </w:rPr>
        <w:t>The selected consolidated statements of operations data for the years ended December 31, 2014, 2015, and 2016, and the selected consolidated balance sheet data as of December 31, 2015 and 2016, have been derived from our audited consolidated financial statements set forth elsewhere in this Annual Report on Form 20-F. The selected consolidated statements of operations data for the years ended December 31, 2012 and 2013, and the selected consolidated balance sheet data as of December 31, 2012, 2013 and 2014, have been derived from our audited consolidated financial statements not included in this Annual Report on Form 20-F.</w:t>
      </w:r>
    </w:p>
    <w:p>
      <w:pPr>
        <w:spacing w:after="0" w:line="152" w:lineRule="exact"/>
        <w:rPr>
          <w:sz w:val="20"/>
          <w:szCs w:val="20"/>
          <w:color w:val="auto"/>
        </w:rPr>
      </w:pPr>
    </w:p>
    <w:p>
      <w:pPr>
        <w:ind w:left="3" w:right="40" w:firstLine="584"/>
        <w:spacing w:after="0" w:line="286" w:lineRule="auto"/>
        <w:rPr>
          <w:sz w:val="20"/>
          <w:szCs w:val="20"/>
          <w:color w:val="auto"/>
        </w:rPr>
      </w:pPr>
      <w:r>
        <w:rPr>
          <w:rFonts w:ascii="Arial" w:cs="Arial" w:eastAsia="Arial" w:hAnsi="Arial"/>
          <w:sz w:val="15"/>
          <w:szCs w:val="15"/>
          <w:color w:val="auto"/>
        </w:rPr>
        <w:t>Our consolidated financial statements included in this Annual Report on Form 20-F were prepared in accordance with International Financial Reporting Standards ("IFRS") as issued by the International Accounting Standards Board, and reported in dollars. The amounts in the tables below for the years 2012 through 2014 were previously reported in NIS. Due to the change in our functional and reporting currency from the NIS to the dollar, effective January 1, 2015, the amounts for 2012 through 2014 have been restated in dollars using the methodology set forth in Note 2c to our consolidated financial statements for the year ended December 31, 2016.</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Year Ended December 31,</w:t>
            </w:r>
          </w:p>
        </w:tc>
        <w:tc>
          <w:tcPr>
            <w:tcW w:w="1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21"/>
        </w:trPr>
        <w:tc>
          <w:tcPr>
            <w:tcW w:w="4700" w:type="dxa"/>
            <w:vAlign w:val="bottom"/>
          </w:tcPr>
          <w:p>
            <w:pPr>
              <w:spacing w:after="0" w:line="221" w:lineRule="exact"/>
              <w:rPr>
                <w:sz w:val="20"/>
                <w:szCs w:val="20"/>
                <w:color w:val="auto"/>
              </w:rPr>
            </w:pPr>
            <w:r>
              <w:rPr>
                <w:rFonts w:ascii="Arial" w:cs="Arial" w:eastAsia="Arial" w:hAnsi="Arial"/>
                <w:sz w:val="15"/>
                <w:szCs w:val="15"/>
                <w:b w:val="1"/>
                <w:bCs w:val="1"/>
                <w:color w:val="auto"/>
              </w:rPr>
              <w:t>Consolidated Statements of Operations Data:</w:t>
            </w:r>
            <w:r>
              <w:rPr>
                <w:rFonts w:ascii="Arial" w:cs="Arial" w:eastAsia="Arial" w:hAnsi="Arial"/>
                <w:sz w:val="25"/>
                <w:szCs w:val="25"/>
                <w:b w:val="1"/>
                <w:bCs w:val="1"/>
                <w:color w:val="auto"/>
                <w:vertAlign w:val="superscript"/>
              </w:rPr>
              <w:t>(1) (2)</w:t>
            </w: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2100" w:type="dxa"/>
            <w:vAlign w:val="bottom"/>
          </w:tcPr>
          <w:p>
            <w:pPr>
              <w:jc w:val="right"/>
              <w:ind w:right="779"/>
              <w:spacing w:after="0"/>
              <w:rPr>
                <w:sz w:val="20"/>
                <w:szCs w:val="20"/>
                <w:color w:val="auto"/>
              </w:rPr>
            </w:pPr>
            <w:r>
              <w:rPr>
                <w:rFonts w:ascii="Arial" w:cs="Arial" w:eastAsia="Arial" w:hAnsi="Arial"/>
                <w:sz w:val="16"/>
                <w:szCs w:val="16"/>
                <w:b w:val="1"/>
                <w:bCs w:val="1"/>
                <w:color w:val="auto"/>
              </w:rPr>
              <w:t>2014</w:t>
            </w:r>
          </w:p>
        </w:tc>
        <w:tc>
          <w:tcPr>
            <w:tcW w:w="10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9074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740" cy="15240"/>
                    </a:xfrm>
                    <a:prstGeom prst="rect">
                      <a:avLst/>
                    </a:prstGeom>
                    <a:noFill/>
                  </pic:spPr>
                </pic:pic>
              </a:graphicData>
            </a:graphic>
          </wp:anchor>
        </w:drawing>
      </w:r>
    </w:p>
    <w:p>
      <w:pPr>
        <w:ind w:left="6003"/>
        <w:spacing w:after="0"/>
        <w:rPr>
          <w:sz w:val="20"/>
          <w:szCs w:val="20"/>
          <w:color w:val="auto"/>
        </w:rPr>
      </w:pPr>
      <w:r>
        <w:rPr>
          <w:rFonts w:ascii="Arial" w:cs="Arial" w:eastAsia="Arial" w:hAnsi="Arial"/>
          <w:sz w:val="16"/>
          <w:szCs w:val="16"/>
          <w:color w:val="auto"/>
        </w:rPr>
        <w:t>(in thousands of U.S. dollars, except share and per share data)</w:t>
      </w:r>
    </w:p>
    <w:p>
      <w:pPr>
        <w:spacing w:after="0" w:line="204"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 expenses, net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(16,677)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(12,208)</w:t>
            </w:r>
          </w:p>
        </w:tc>
        <w:tc>
          <w:tcPr>
            <w:tcW w:w="158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(11,866)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(11,489)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(11,177)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Sales and marketing expenses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(837)</w:t>
            </w:r>
          </w:p>
        </w:tc>
        <w:tc>
          <w:tcPr>
            <w:tcW w:w="1160" w:type="dxa"/>
            <w:vAlign w:val="bottom"/>
          </w:tcPr>
          <w:p>
            <w:pPr>
              <w:jc w:val="right"/>
              <w:spacing w:after="0"/>
              <w:rPr>
                <w:sz w:val="20"/>
                <w:szCs w:val="20"/>
                <w:color w:val="auto"/>
              </w:rPr>
            </w:pPr>
            <w:r>
              <w:rPr>
                <w:rFonts w:ascii="Arial" w:cs="Arial" w:eastAsia="Arial" w:hAnsi="Arial"/>
                <w:sz w:val="16"/>
                <w:szCs w:val="16"/>
                <w:color w:val="auto"/>
              </w:rPr>
              <w:t>(1,136)</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(1,589)</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(1,003)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(3,638)</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158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(3,800)</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(3,704)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Operating loss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(21,152)</w:t>
            </w:r>
          </w:p>
        </w:tc>
        <w:tc>
          <w:tcPr>
            <w:tcW w:w="1160" w:type="dxa"/>
            <w:vAlign w:val="bottom"/>
          </w:tcPr>
          <w:p>
            <w:pPr>
              <w:jc w:val="right"/>
              <w:spacing w:after="0"/>
              <w:rPr>
                <w:sz w:val="20"/>
                <w:szCs w:val="20"/>
                <w:color w:val="auto"/>
              </w:rPr>
            </w:pPr>
            <w:r>
              <w:rPr>
                <w:rFonts w:ascii="Arial" w:cs="Arial" w:eastAsia="Arial" w:hAnsi="Arial"/>
                <w:sz w:val="16"/>
                <w:szCs w:val="16"/>
                <w:color w:val="auto"/>
              </w:rPr>
              <w:t>(17,008)</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(17,255)</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(16,196)</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(16,513)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Non-operating income, net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3,061</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1160" w:type="dxa"/>
            <w:vAlign w:val="bottom"/>
          </w:tcPr>
          <w:p>
            <w:pPr>
              <w:jc w:val="right"/>
              <w:spacing w:after="0"/>
              <w:rPr>
                <w:sz w:val="20"/>
                <w:szCs w:val="20"/>
                <w:color w:val="auto"/>
              </w:rPr>
            </w:pPr>
            <w:r>
              <w:rPr>
                <w:rFonts w:ascii="Arial" w:cs="Arial" w:eastAsia="Arial" w:hAnsi="Arial"/>
                <w:sz w:val="16"/>
                <w:szCs w:val="16"/>
                <w:color w:val="auto"/>
              </w:rPr>
              <w:t>2,287</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720</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3,566</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457</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expenses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(1,942)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58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(448)</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(19,781)</w:t>
            </w:r>
          </w:p>
        </w:tc>
        <w:tc>
          <w:tcPr>
            <w:tcW w:w="1160" w:type="dxa"/>
            <w:vAlign w:val="bottom"/>
          </w:tcPr>
          <w:p>
            <w:pPr>
              <w:jc w:val="right"/>
              <w:spacing w:after="0"/>
              <w:rPr>
                <w:sz w:val="20"/>
                <w:szCs w:val="20"/>
                <w:color w:val="auto"/>
              </w:rPr>
            </w:pPr>
            <w:r>
              <w:rPr>
                <w:rFonts w:ascii="Arial" w:cs="Arial" w:eastAsia="Arial" w:hAnsi="Arial"/>
                <w:sz w:val="16"/>
                <w:szCs w:val="16"/>
                <w:color w:val="auto"/>
              </w:rPr>
              <w:t>(17,024)</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(11,076)</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(14,400)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(15,841)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gridSpan w:val="2"/>
          </w:tcPr>
          <w:p>
            <w:pPr>
              <w:ind w:left="120"/>
              <w:spacing w:after="0"/>
              <w:rPr>
                <w:sz w:val="20"/>
                <w:szCs w:val="20"/>
                <w:color w:val="auto"/>
              </w:rPr>
            </w:pPr>
            <w:r>
              <w:rPr>
                <w:rFonts w:ascii="Arial" w:cs="Arial" w:eastAsia="Arial" w:hAnsi="Arial"/>
                <w:sz w:val="16"/>
                <w:szCs w:val="16"/>
                <w:color w:val="auto"/>
              </w:rPr>
              <w:t>Currency translation differences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1160" w:type="dxa"/>
            <w:vAlign w:val="bottom"/>
          </w:tcPr>
          <w:p>
            <w:pPr>
              <w:jc w:val="right"/>
              <w:spacing w:after="0"/>
              <w:rPr>
                <w:sz w:val="20"/>
                <w:szCs w:val="20"/>
                <w:color w:val="auto"/>
              </w:rPr>
            </w:pPr>
            <w:r>
              <w:rPr>
                <w:rFonts w:ascii="Arial" w:cs="Arial" w:eastAsia="Arial" w:hAnsi="Arial"/>
                <w:sz w:val="16"/>
                <w:szCs w:val="16"/>
                <w:color w:val="auto"/>
              </w:rPr>
              <w:t>1,097</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(2,834)</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(19,788)</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(15,927)</w:t>
            </w:r>
          </w:p>
        </w:tc>
        <w:tc>
          <w:tcPr>
            <w:tcW w:w="220" w:type="dxa"/>
            <w:vAlign w:val="bottom"/>
            <w:tcBorders>
              <w:left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(13,910)</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(14,400)</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Net loss per ordinary share</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(1.17)</w:t>
            </w:r>
          </w:p>
        </w:tc>
        <w:tc>
          <w:tcPr>
            <w:tcW w:w="1160" w:type="dxa"/>
            <w:vAlign w:val="bottom"/>
          </w:tcPr>
          <w:p>
            <w:pPr>
              <w:jc w:val="right"/>
              <w:spacing w:after="0"/>
              <w:rPr>
                <w:sz w:val="20"/>
                <w:szCs w:val="20"/>
                <w:color w:val="auto"/>
              </w:rPr>
            </w:pPr>
            <w:r>
              <w:rPr>
                <w:rFonts w:ascii="Arial" w:cs="Arial" w:eastAsia="Arial" w:hAnsi="Arial"/>
                <w:sz w:val="16"/>
                <w:szCs w:val="16"/>
                <w:color w:val="auto"/>
              </w:rPr>
              <w:t>(0.76)</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(0.34)</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(0.28)</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Number of ordinary shares used in computing loss per ordinary share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16,940,473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22,488,516</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32,433,883</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51,406,434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56,144,727</w:t>
            </w: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As of December 31,</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36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6"/>
                <w:szCs w:val="16"/>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(in</w:t>
            </w:r>
          </w:p>
        </w:tc>
        <w:tc>
          <w:tcPr>
            <w:tcW w:w="1840" w:type="dxa"/>
            <w:vAlign w:val="bottom"/>
            <w:gridSpan w:val="4"/>
          </w:tcPr>
          <w:p>
            <w:pPr>
              <w:ind w:left="20"/>
              <w:spacing w:after="0"/>
              <w:rPr>
                <w:sz w:val="20"/>
                <w:szCs w:val="20"/>
                <w:color w:val="auto"/>
              </w:rPr>
            </w:pPr>
            <w:r>
              <w:rPr>
                <w:rFonts w:ascii="Arial" w:cs="Arial" w:eastAsia="Arial" w:hAnsi="Arial"/>
                <w:sz w:val="16"/>
                <w:szCs w:val="16"/>
                <w:color w:val="auto"/>
                <w:w w:val="97"/>
              </w:rPr>
              <w:t>thousands of U.S. dollars)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18,307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8,899</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5,790</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5,544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Short-term bank deposits</w:t>
            </w:r>
          </w:p>
        </w:tc>
        <w:tc>
          <w:tcPr>
            <w:tcW w:w="1160" w:type="dxa"/>
            <w:vAlign w:val="bottom"/>
          </w:tcPr>
          <w:p>
            <w:pPr>
              <w:jc w:val="right"/>
              <w:spacing w:after="0"/>
              <w:rPr>
                <w:sz w:val="20"/>
                <w:szCs w:val="20"/>
                <w:color w:val="auto"/>
              </w:rPr>
            </w:pPr>
            <w:r>
              <w:rPr>
                <w:rFonts w:ascii="Arial" w:cs="Arial" w:eastAsia="Arial" w:hAnsi="Arial"/>
                <w:sz w:val="16"/>
                <w:szCs w:val="16"/>
                <w:color w:val="auto"/>
              </w:rPr>
              <w:t>3,070</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9,319</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28,890</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42,119</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33,154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721</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2,909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24,325</w:t>
            </w:r>
          </w:p>
        </w:tc>
        <w:tc>
          <w:tcPr>
            <w:tcW w:w="1160" w:type="dxa"/>
            <w:vAlign w:val="bottom"/>
          </w:tcPr>
          <w:p>
            <w:pPr>
              <w:jc w:val="right"/>
              <w:spacing w:after="0"/>
              <w:rPr>
                <w:sz w:val="20"/>
                <w:szCs w:val="20"/>
                <w:color w:val="auto"/>
              </w:rPr>
            </w:pPr>
            <w:r>
              <w:rPr>
                <w:rFonts w:ascii="Arial" w:cs="Arial" w:eastAsia="Arial" w:hAnsi="Arial"/>
                <w:sz w:val="16"/>
                <w:szCs w:val="16"/>
                <w:color w:val="auto"/>
              </w:rPr>
              <w:t>20,014</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36,211</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51,302</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38,939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w:t>
            </w:r>
          </w:p>
        </w:tc>
        <w:tc>
          <w:tcPr>
            <w:tcW w:w="15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4,406</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3,692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Total shareholders’ equity</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14,982</w:t>
            </w:r>
          </w:p>
        </w:tc>
        <w:tc>
          <w:tcPr>
            <w:tcW w:w="1160" w:type="dxa"/>
            <w:vAlign w:val="bottom"/>
          </w:tcPr>
          <w:p>
            <w:pPr>
              <w:jc w:val="right"/>
              <w:spacing w:after="0"/>
              <w:rPr>
                <w:sz w:val="20"/>
                <w:szCs w:val="20"/>
                <w:color w:val="auto"/>
              </w:rPr>
            </w:pPr>
            <w:r>
              <w:rPr>
                <w:rFonts w:ascii="Arial" w:cs="Arial" w:eastAsia="Arial" w:hAnsi="Arial"/>
                <w:sz w:val="16"/>
                <w:szCs w:val="16"/>
                <w:color w:val="auto"/>
              </w:rPr>
              <w:t>11,722</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31,805</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47,610</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35,027</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63" w:hanging="363"/>
        <w:spacing w:after="0"/>
        <w:tabs>
          <w:tab w:leader="none" w:pos="363" w:val="left"/>
        </w:tabs>
        <w:numPr>
          <w:ilvl w:val="0"/>
          <w:numId w:val="8"/>
        </w:numPr>
        <w:rPr>
          <w:rFonts w:ascii="Arial" w:cs="Arial" w:eastAsia="Arial" w:hAnsi="Arial"/>
          <w:sz w:val="15"/>
          <w:szCs w:val="15"/>
          <w:color w:val="auto"/>
        </w:rPr>
      </w:pPr>
      <w:r>
        <w:rPr>
          <w:rFonts w:ascii="Arial" w:cs="Arial" w:eastAsia="Arial" w:hAnsi="Arial"/>
          <w:sz w:val="15"/>
          <w:szCs w:val="15"/>
          <w:color w:val="auto"/>
        </w:rPr>
        <w:t>Data on diluted loss per share was not presented in the financial statements because the effect of the exercise of the options is either immaterial or is anti-dilutive.</w:t>
      </w:r>
    </w:p>
    <w:p>
      <w:pPr>
        <w:spacing w:after="0" w:line="265" w:lineRule="exact"/>
        <w:rPr>
          <w:rFonts w:ascii="Arial" w:cs="Arial" w:eastAsia="Arial" w:hAnsi="Arial"/>
          <w:sz w:val="15"/>
          <w:szCs w:val="15"/>
          <w:color w:val="auto"/>
        </w:rPr>
      </w:pPr>
    </w:p>
    <w:p>
      <w:pPr>
        <w:ind w:left="363" w:right="20" w:hanging="363"/>
        <w:spacing w:after="0" w:line="283" w:lineRule="auto"/>
        <w:tabs>
          <w:tab w:leader="none" w:pos="363"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June 2015, we effected a 1:10 reverse split of our ordinary shares. All share and per share amounts have been retroactively adjusted to reflect the reverse split as if it had been effected prior to the earliest financial statement period included herein.</w:t>
      </w:r>
    </w:p>
    <w:p>
      <w:pPr>
        <w:spacing w:after="0" w:line="35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B. Capitalization and Indebtedness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Risk Factors</w:t>
      </w:r>
    </w:p>
    <w:p>
      <w:pPr>
        <w:spacing w:after="0" w:line="258" w:lineRule="exact"/>
        <w:rPr>
          <w:sz w:val="20"/>
          <w:szCs w:val="20"/>
          <w:color w:val="auto"/>
        </w:rPr>
      </w:pPr>
    </w:p>
    <w:p>
      <w:pPr>
        <w:ind w:right="60" w:firstLine="584"/>
        <w:spacing w:after="0" w:line="294" w:lineRule="auto"/>
        <w:rPr>
          <w:sz w:val="20"/>
          <w:szCs w:val="20"/>
          <w:color w:val="auto"/>
        </w:rPr>
      </w:pPr>
      <w:r>
        <w:rPr>
          <w:rFonts w:ascii="Arial" w:cs="Arial" w:eastAsia="Arial" w:hAnsi="Arial"/>
          <w:sz w:val="15"/>
          <w:szCs w:val="15"/>
          <w:i w:val="1"/>
          <w:iCs w:val="1"/>
          <w:color w:val="auto"/>
        </w:rPr>
        <w:t>You should carefully consider the risks we describe below, in addition to the other information set forth elsewhere in this Annual Report on Form 20-F, including our consolidated financial statements and the related notes beginning on page F-1, before deciding to invest in our ordinary shares and ADSs. These material risks could adversely impact our results of operations, possibly causing the trading price of our ordinary shares and ADSs to decline, and you could lose all or part of your investment.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258" w:lineRule="exact"/>
        <w:rPr>
          <w:sz w:val="20"/>
          <w:szCs w:val="20"/>
          <w:color w:val="auto"/>
        </w:rPr>
      </w:pPr>
    </w:p>
    <w:p>
      <w:pPr>
        <w:ind w:right="100" w:firstLine="584"/>
        <w:spacing w:after="0" w:line="283" w:lineRule="auto"/>
        <w:rPr>
          <w:sz w:val="20"/>
          <w:szCs w:val="20"/>
          <w:color w:val="auto"/>
        </w:rPr>
      </w:pPr>
      <w:r>
        <w:rPr>
          <w:rFonts w:ascii="Arial" w:cs="Arial" w:eastAsia="Arial" w:hAnsi="Arial"/>
          <w:sz w:val="16"/>
          <w:szCs w:val="16"/>
          <w:b w:val="1"/>
          <w:bCs w:val="1"/>
          <w:i w:val="1"/>
          <w:iCs w:val="1"/>
          <w:color w:val="auto"/>
        </w:rPr>
        <w:t>We are a clinical stage biopharmaceutical development company with a history of operating losses, expect to incur additional losses in the future and may never be profitable.</w:t>
      </w:r>
    </w:p>
    <w:p>
      <w:pPr>
        <w:spacing w:after="0" w:line="199" w:lineRule="exact"/>
        <w:rPr>
          <w:sz w:val="20"/>
          <w:szCs w:val="20"/>
          <w:color w:val="auto"/>
        </w:rPr>
      </w:pPr>
    </w:p>
    <w:p>
      <w:pPr>
        <w:ind w:right="20" w:firstLine="584"/>
        <w:spacing w:after="0" w:line="278" w:lineRule="auto"/>
        <w:rPr>
          <w:sz w:val="20"/>
          <w:szCs w:val="20"/>
          <w:color w:val="auto"/>
        </w:rPr>
      </w:pPr>
      <w:r>
        <w:rPr>
          <w:rFonts w:ascii="Arial" w:cs="Arial" w:eastAsia="Arial" w:hAnsi="Arial"/>
          <w:sz w:val="15"/>
          <w:szCs w:val="15"/>
          <w:color w:val="auto"/>
        </w:rPr>
        <w:t>We are a clinical stage biopharmaceutical development company that was incorporated in 2003. Since our incorporation, we have been focused on research and development. Our most advanced therapeutic candidates are in clinical development. We, or our licensees, as applicable, will be required to conduct significant additional clinical trials before we or they can seek the regulatory approvals necessary to begin commercial sales of our therapeutic candidates. We have incurred losses since inception, principally as a result of research and development and general administrative expenses in support of our operations. We recorded net losses of approximately $11.1 million in 2014, $14.4 million in 2015 and $15.8 million in 2016. As of December 31, 2016, we had an accumulated deficit of approximately $175.0 million. We anticipate that we will incur significant additional losses as we continue to focus our resources on prioritizing, selecting and advancing our most promising therapeutic candidates. We may never be profitable and we may never achieve significant sustained revenues.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We cannot ensure investors that our existing cash and investment balances will be sufficient to meet our future capital requirements.</w:t>
      </w:r>
    </w:p>
    <w:p>
      <w:pPr>
        <w:spacing w:after="0" w:line="254" w:lineRule="exact"/>
        <w:rPr>
          <w:sz w:val="20"/>
          <w:szCs w:val="20"/>
          <w:color w:val="auto"/>
        </w:rPr>
      </w:pPr>
    </w:p>
    <w:p>
      <w:pPr>
        <w:ind w:right="20" w:firstLine="584"/>
        <w:spacing w:after="0" w:line="257" w:lineRule="auto"/>
        <w:rPr>
          <w:sz w:val="20"/>
          <w:szCs w:val="20"/>
          <w:color w:val="auto"/>
        </w:rPr>
      </w:pPr>
      <w:r>
        <w:rPr>
          <w:rFonts w:ascii="Arial" w:cs="Arial" w:eastAsia="Arial" w:hAnsi="Arial"/>
          <w:sz w:val="16"/>
          <w:szCs w:val="16"/>
          <w:color w:val="auto"/>
        </w:rPr>
        <w:t>As of December 31, 2016, we held cash and short-term investments of approximately $35.6 million. We believe that our existing cash and investment balances and other sources of liquidity, not including potential milestone and royalty payments under our existing and future out-licensing and other collaboration agreements, will be sufficient to meet our requirements into 2019. We have funded our operations primarily through public and private offerings of our securities, payments received under our strategic licensing and collaboration arrangements and interest earned on investments. In addition, until 2013, we also received grants from a government body that at the time was called the Office of the Chief Scientist of Israel’s Ministry of Economy and Industry, or the OCS (which in 2016 was replaced by the newly established Israel Innovation Authority, or the IIA). The adequacy of our available funds to meet our operating and capital requirements will depend on many factors including: the number, breadth, progress and results of our research, product development and clinical programs; the costs and timing of obtaining regulatory approvals for any of our therapeutic candidates; the terms and conditions of in-licensing and out-licensing therapeutic candidates; and costs incurred in enforcing and defending our patent claims and other intellectual property rights.</w:t>
      </w:r>
    </w:p>
    <w:p>
      <w:pPr>
        <w:spacing w:after="0" w:line="224" w:lineRule="exact"/>
        <w:rPr>
          <w:sz w:val="20"/>
          <w:szCs w:val="20"/>
          <w:color w:val="auto"/>
        </w:rPr>
      </w:pPr>
    </w:p>
    <w:p>
      <w:pPr>
        <w:ind w:firstLine="584"/>
        <w:spacing w:after="0" w:line="280" w:lineRule="auto"/>
        <w:rPr>
          <w:sz w:val="20"/>
          <w:szCs w:val="20"/>
          <w:color w:val="auto"/>
        </w:rPr>
      </w:pPr>
      <w:r>
        <w:rPr>
          <w:rFonts w:ascii="Arial" w:cs="Arial" w:eastAsia="Arial" w:hAnsi="Arial"/>
          <w:sz w:val="15"/>
          <w:szCs w:val="15"/>
          <w:color w:val="auto"/>
        </w:rPr>
        <w:t>While we will continue to explore alternative financing sources, including the possibility of future securities offerings and continued government funding, we cannot be certain that in the future these liquidity sources will be available when needed on commercially reasonable terms or at all, or that our actual cash requirements will not be greater than anticipated. We will also continue to seek to finance our operations through other sources, including out-licensing arrangements for the development and commercialization of our therapeutic candidates or other partnerships or joint ventures, as well as grants from government agencies and foundations. If we are unable to obtain future financing through the methods we describe above or through other means, we may be unable to complete our business objectives and may be unable to continue operations, which would have a material adverse effect on our business and financial condition.</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0"/>
          </w:cols>
          <w:pgMar w:left="240" w:top="367" w:right="29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Risks Related to Our Business and Regulatory Matters</w:t>
      </w:r>
    </w:p>
    <w:p>
      <w:pPr>
        <w:spacing w:after="0" w:line="258" w:lineRule="exact"/>
        <w:rPr>
          <w:sz w:val="20"/>
          <w:szCs w:val="20"/>
          <w:color w:val="auto"/>
        </w:rPr>
      </w:pPr>
    </w:p>
    <w:p>
      <w:pPr>
        <w:ind w:right="520" w:firstLine="584"/>
        <w:spacing w:after="0" w:line="283" w:lineRule="auto"/>
        <w:rPr>
          <w:sz w:val="20"/>
          <w:szCs w:val="20"/>
          <w:color w:val="auto"/>
        </w:rPr>
      </w:pPr>
      <w:r>
        <w:rPr>
          <w:rFonts w:ascii="Arial" w:cs="Arial" w:eastAsia="Arial" w:hAnsi="Arial"/>
          <w:sz w:val="16"/>
          <w:szCs w:val="16"/>
          <w:b w:val="1"/>
          <w:bCs w:val="1"/>
          <w:i w:val="1"/>
          <w:iCs w:val="1"/>
          <w:color w:val="auto"/>
        </w:rPr>
        <w:t>If we or our licensees are unable to obtain U.S. and/or foreign regulatory approval for our therapeutic candidates, we will be unable to commercialize our therapeutic candidates.</w:t>
      </w:r>
    </w:p>
    <w:p>
      <w:pPr>
        <w:spacing w:after="0" w:line="199" w:lineRule="exact"/>
        <w:rPr>
          <w:sz w:val="20"/>
          <w:szCs w:val="20"/>
          <w:color w:val="auto"/>
        </w:rPr>
      </w:pPr>
    </w:p>
    <w:p>
      <w:pPr>
        <w:ind w:right="80" w:firstLine="584"/>
        <w:spacing w:after="0" w:line="280" w:lineRule="auto"/>
        <w:rPr>
          <w:sz w:val="20"/>
          <w:szCs w:val="20"/>
          <w:color w:val="auto"/>
        </w:rPr>
      </w:pPr>
      <w:r>
        <w:rPr>
          <w:rFonts w:ascii="Arial" w:cs="Arial" w:eastAsia="Arial" w:hAnsi="Arial"/>
          <w:sz w:val="15"/>
          <w:szCs w:val="15"/>
          <w:color w:val="auto"/>
        </w:rPr>
        <w:t>To date, only one of our products, BL-5010, for the treatment of benign skin lesions, has been approved for marketing and sale. Currently, we have one clinical-stage therapeutic candidate in development: BL-8040 for the treatment of multiple cancer and hematological indications. We also have one therapeutic candidate, AGI-134, in development for solid tumors, that we expect will begin clinical stage development in the first half of 2018. Our therapeutic candidates are subject to extensive governmental regulations relating to development, clinical trials, manufacturing and commercialization of drugs and devices. We may not obtain marketing approval for any other of our therapeutic candidates in a timely manner or at all. In connection with the clinical trials for BL-8040 and other therapeutic candidates that we are currently developing or may seek to develop in the future, either on our own or through out-licensing or co-development arrangements, we face the risk that:</w:t>
      </w:r>
    </w:p>
    <w:p>
      <w:pPr>
        <w:spacing w:after="0" w:line="205" w:lineRule="exact"/>
        <w:rPr>
          <w:sz w:val="20"/>
          <w:szCs w:val="20"/>
          <w:color w:val="auto"/>
        </w:rPr>
      </w:pPr>
    </w:p>
    <w:p>
      <w:pPr>
        <w:ind w:left="1160" w:hanging="578"/>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therapeutic candidate or medical device may not prove safe or efficacious;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results with respect to any therapeutic candidate may not confirm the positive results from earlier preclinical studies or clinical trials;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results may not meet the level of statistical significance required by the U.S. Food and Drug Administration, or FDA, or other regulatory authorities; and</w:t>
      </w:r>
    </w:p>
    <w:p>
      <w:pPr>
        <w:spacing w:after="0" w:line="277" w:lineRule="exact"/>
        <w:rPr>
          <w:rFonts w:ascii="Arial" w:cs="Arial" w:eastAsia="Arial" w:hAnsi="Arial"/>
          <w:sz w:val="14"/>
          <w:szCs w:val="14"/>
          <w:color w:val="auto"/>
        </w:rPr>
      </w:pPr>
    </w:p>
    <w:p>
      <w:pPr>
        <w:ind w:left="1160" w:right="380" w:hanging="578"/>
        <w:spacing w:after="0" w:line="283"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results will justify only limited and/or restrictive uses, including the inclusion of warnings and contraindications, which could significantly limit the marketability and profitability of the therapeutic candidate.</w:t>
      </w:r>
    </w:p>
    <w:p>
      <w:pPr>
        <w:spacing w:after="0" w:line="199" w:lineRule="exact"/>
        <w:rPr>
          <w:sz w:val="20"/>
          <w:szCs w:val="20"/>
          <w:color w:val="auto"/>
        </w:rPr>
      </w:pPr>
    </w:p>
    <w:p>
      <w:pPr>
        <w:ind w:right="20" w:firstLine="584"/>
        <w:spacing w:after="0" w:line="278" w:lineRule="auto"/>
        <w:rPr>
          <w:sz w:val="20"/>
          <w:szCs w:val="20"/>
          <w:color w:val="auto"/>
        </w:rPr>
      </w:pPr>
      <w:r>
        <w:rPr>
          <w:rFonts w:ascii="Arial" w:cs="Arial" w:eastAsia="Arial" w:hAnsi="Arial"/>
          <w:sz w:val="15"/>
          <w:szCs w:val="15"/>
          <w:color w:val="auto"/>
        </w:rPr>
        <w:t>Any delay in obtaining, or the failure to obtain, required regulatory approvals will materially and adversely affect our ability to generate future revenues from a particular therapeutic candidate. Any regulatory approval to market a product may be subject to limitations on the indicated uses for which we may market the product or may impose restrictive conditions of use, including cautionary information, thereby limiting the size of the market for the product. We and our licensees, as applicable, also are, and will be, subject to numerous foreign regulatory requirements that govern the conduct of clinical trials, manufacturing and marketing authorization, pricing and third-party reimbursement. The foreign regulatory approval process includes all the risks associated with the FDA approval process that we describe above, as well as risks attributable to the satisfaction of foreign requirements. Approval by the FDA does not ensure approval by regulatory authorities outside the United States. Foreign jurisdictions may have different approval processes than those required by the FDA and may impose additional testing requirements for our therapeutic candidates.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Clinical trials involve a lengthy and expensive process with an uncertain outcome, and results of earlier studies and trials may not be predictive of future trial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w:t>
      </w:r>
    </w:p>
    <w:p>
      <w:pPr>
        <w:spacing w:after="0" w:line="243" w:lineRule="exact"/>
        <w:rPr>
          <w:sz w:val="20"/>
          <w:szCs w:val="20"/>
          <w:color w:val="auto"/>
        </w:rPr>
      </w:pPr>
    </w:p>
    <w:p>
      <w:pPr>
        <w:ind w:firstLine="584"/>
        <w:spacing w:after="0" w:line="278" w:lineRule="auto"/>
        <w:rPr>
          <w:sz w:val="20"/>
          <w:szCs w:val="20"/>
          <w:color w:val="auto"/>
        </w:rPr>
      </w:pPr>
      <w:r>
        <w:rPr>
          <w:rFonts w:ascii="Arial" w:cs="Arial" w:eastAsia="Arial" w:hAnsi="Arial"/>
          <w:sz w:val="15"/>
          <w:szCs w:val="15"/>
          <w:color w:val="auto"/>
        </w:rPr>
        <w:t>We have limited experience in conducting and managing the clinical trials necessary to obtain regulatory approvals, including FDA approval. Clinical trials are expensive and complex, can take many years and have uncertain outcomes. We cannot necessarily predict whether we or our licensees will encounter problems with any of the completed, ongoing or planned clinical trials that will cause us, our licensees or regulatory authorities to delay or suspend clinical trials, or delay the analysis of data from completed or ongoing clinical trials. In addition, because some of our clinical trials are investigator-initiated studies (i.e., we are not the study sponsor), we may have less control over these studies. We estimate that clinical trials of our most advanced therapeutic candidates will continue for several years, but they may take significantly longer to complete. Failure can occur at any stage of the testing and we may experience numerous unforeseen events during, or as a result of, the clinical trial process that could delay or prevent commercialization of our current or future therapeutic candidates, including but not limited to:</w:t>
      </w:r>
    </w:p>
    <w:p>
      <w:pPr>
        <w:spacing w:after="0" w:line="209" w:lineRule="exact"/>
        <w:rPr>
          <w:sz w:val="20"/>
          <w:szCs w:val="20"/>
          <w:color w:val="auto"/>
        </w:rPr>
      </w:pPr>
    </w:p>
    <w:p>
      <w:pPr>
        <w:ind w:left="1160" w:hanging="578"/>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in securing clinical investigators or trial sites for the clinical trials;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in obtaining institutional review board and other regulatory approvals to commence a clinical trial;</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367" w:right="279" w:bottom="1440" w:gutter="0" w:footer="0" w:header="0"/>
        </w:sectPr>
      </w:pPr>
    </w:p>
    <w:bookmarkStart w:id="8" w:name="page9"/>
    <w:bookmarkEnd w:id="8"/>
    <w:p>
      <w:pPr>
        <w:ind w:left="1160" w:hanging="578"/>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slower than anticipated patient recruitment and enrollment;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negative or inconclusive results from clinical trials;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unforeseen safety issues;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uncertain dosing issues;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inability to monitor patients adequately during or after treatment;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problems with investigator or patient compliance with the trial protocols.</w:t>
      </w:r>
    </w:p>
    <w:p>
      <w:pPr>
        <w:spacing w:after="0" w:line="254" w:lineRule="exact"/>
        <w:rPr>
          <w:sz w:val="20"/>
          <w:szCs w:val="20"/>
          <w:color w:val="auto"/>
        </w:rPr>
      </w:pPr>
    </w:p>
    <w:p>
      <w:pPr>
        <w:ind w:right="100" w:firstLine="584"/>
        <w:spacing w:after="0" w:line="260" w:lineRule="auto"/>
        <w:rPr>
          <w:sz w:val="20"/>
          <w:szCs w:val="20"/>
          <w:color w:val="auto"/>
        </w:rPr>
      </w:pPr>
      <w:r>
        <w:rPr>
          <w:rFonts w:ascii="Arial" w:cs="Arial" w:eastAsia="Arial" w:hAnsi="Arial"/>
          <w:sz w:val="16"/>
          <w:szCs w:val="16"/>
          <w:color w:val="auto"/>
        </w:rPr>
        <w:t>A number of companies in the pharmaceutical, medical device and biotechnology industries, including those with greater resources and experience than us, have suffered significant setbacks in advanced clinical trials, even after seeing promising results in earlier clinical trials. Despite the results reported in earlier clinical trials for our therapeutic candidates, we do not know whether any Phase 3 or other clinical trials we or our licensees may conduct will demonstrate adequate efficacy and safety to result in regulatory approval to market our therapeutic candidates. If later-stage clinical trials of any therapeutic candidate do not produce favorable results, our ability to obtain regulatory approval for the therapeutic candidate may be adversely impacted, which will have a material adverse effect on our business, financial condition and results of operations.</w:t>
      </w:r>
    </w:p>
    <w:p>
      <w:pPr>
        <w:spacing w:after="0" w:line="217" w:lineRule="exact"/>
        <w:rPr>
          <w:sz w:val="20"/>
          <w:szCs w:val="20"/>
          <w:color w:val="auto"/>
        </w:rPr>
      </w:pPr>
    </w:p>
    <w:p>
      <w:pPr>
        <w:ind w:right="60" w:firstLine="584"/>
        <w:spacing w:after="0" w:line="283" w:lineRule="auto"/>
        <w:rPr>
          <w:sz w:val="20"/>
          <w:szCs w:val="20"/>
          <w:color w:val="auto"/>
        </w:rPr>
      </w:pPr>
      <w:r>
        <w:rPr>
          <w:rFonts w:ascii="Arial" w:cs="Arial" w:eastAsia="Arial" w:hAnsi="Arial"/>
          <w:sz w:val="16"/>
          <w:szCs w:val="16"/>
          <w:b w:val="1"/>
          <w:bCs w:val="1"/>
          <w:i w:val="1"/>
          <w:iCs w:val="1"/>
          <w:color w:val="auto"/>
        </w:rPr>
        <w:t>Even if we obtain regulatory approvals, our therapeutic candidates will be subject to ongoing regulatory review and if we fail to comply with continuing U.S. and applicable foreign regulations, we could lose those approvals and our business would be seriously harmed.</w:t>
      </w:r>
    </w:p>
    <w:p>
      <w:pPr>
        <w:spacing w:after="0" w:line="199" w:lineRule="exact"/>
        <w:rPr>
          <w:sz w:val="20"/>
          <w:szCs w:val="20"/>
          <w:color w:val="auto"/>
        </w:rPr>
      </w:pPr>
    </w:p>
    <w:p>
      <w:pPr>
        <w:ind w:firstLine="584"/>
        <w:spacing w:after="0" w:line="301" w:lineRule="auto"/>
        <w:rPr>
          <w:sz w:val="20"/>
          <w:szCs w:val="20"/>
          <w:color w:val="auto"/>
        </w:rPr>
      </w:pPr>
      <w:r>
        <w:rPr>
          <w:rFonts w:ascii="Arial" w:cs="Arial" w:eastAsia="Arial" w:hAnsi="Arial"/>
          <w:sz w:val="14"/>
          <w:szCs w:val="14"/>
          <w:color w:val="auto"/>
        </w:rPr>
        <w:t>Even if products we or our licensees develop receive regulatory approval or clearance, we or our licensees, as applicable, will be subject to ongoing reporting obligations and the products and the manufacturing operations will be subject to continuing regulatory review, including FDA inspections. The outcome of this ongoing review may result in the withdrawal of a product from the market, the interruption of the manufacturing operations and/or the imposition of labeling and/or marketing limitations. Since many more patients are exposed to drugs and medical devices following their marketing approval, serious but infrequent adverse reactions that were not observed in clinical trials may be observed during the commercial marketing of the product. In addition, the manufacturer and the manufacturing facilities we or our licensees, as applicable, will use to produce any therapeutic candidate will be subject to periodic review and inspection by the FDA and other, similar foreign regulators. Later discovery of previously unknown problems with any product, manufacturer or manufacturing process, or failure to comply with regulatory requirements, may result in actions such as:</w:t>
      </w:r>
    </w:p>
    <w:p>
      <w:pPr>
        <w:spacing w:after="0" w:line="194" w:lineRule="exact"/>
        <w:rPr>
          <w:sz w:val="20"/>
          <w:szCs w:val="20"/>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restrictions on such product, manufacturer or manufacturing process;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warning letters from the FDA or other regulatory authorities;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withdrawal of the product from the market;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suspension or withdrawal of regulatory approvals;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refusal to approve pending applications or supplements to approved applications that we or our licensees submit;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voluntary or mandatory recall;</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refusal to permit the import or export of our products;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product seizure or detentions;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or</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adverse publicity.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9" w:name="page10"/>
    <w:bookmarkEnd w:id="9"/>
    <w:p>
      <w:pPr>
        <w:ind w:right="180" w:firstLine="584"/>
        <w:spacing w:after="0" w:line="268" w:lineRule="auto"/>
        <w:rPr>
          <w:sz w:val="20"/>
          <w:szCs w:val="20"/>
          <w:color w:val="auto"/>
        </w:rPr>
      </w:pPr>
      <w:r>
        <w:rPr>
          <w:rFonts w:ascii="Arial" w:cs="Arial" w:eastAsia="Arial" w:hAnsi="Arial"/>
          <w:sz w:val="16"/>
          <w:szCs w:val="16"/>
          <w:color w:val="auto"/>
        </w:rPr>
        <w:t>If we, or our licensees, suppliers, third party contractors, partners or clinical investigators are slow to adapt, or are unable to adapt, to changes in existing regulatory requirements or the adoption of new regulatory requirements or policies, we or our licensees may lose marketing approval for any of our products, if any of our therapeutic products are approved, resulting in decreased or lost revenue from milestones, product sales or royalties.</w:t>
      </w:r>
    </w:p>
    <w:p>
      <w:pPr>
        <w:spacing w:after="0" w:line="212" w:lineRule="exact"/>
        <w:rPr>
          <w:sz w:val="20"/>
          <w:szCs w:val="20"/>
          <w:color w:val="auto"/>
        </w:rPr>
      </w:pPr>
    </w:p>
    <w:p>
      <w:pPr>
        <w:ind w:right="380" w:firstLine="584"/>
        <w:spacing w:after="0" w:line="283" w:lineRule="auto"/>
        <w:rPr>
          <w:sz w:val="20"/>
          <w:szCs w:val="20"/>
          <w:color w:val="auto"/>
        </w:rPr>
      </w:pPr>
      <w:r>
        <w:rPr>
          <w:rFonts w:ascii="Arial" w:cs="Arial" w:eastAsia="Arial" w:hAnsi="Arial"/>
          <w:sz w:val="16"/>
          <w:szCs w:val="16"/>
          <w:b w:val="1"/>
          <w:bCs w:val="1"/>
          <w:i w:val="1"/>
          <w:iCs w:val="1"/>
          <w:color w:val="auto"/>
        </w:rPr>
        <w:t>We generally rely on third parties to conduct our pre-clinical clinical trials and provide other services, and those third parties may not perform satisfactorily, including by failing to meet established deadlines for the completion of such services.</w:t>
      </w:r>
    </w:p>
    <w:p>
      <w:pPr>
        <w:spacing w:after="0" w:line="199" w:lineRule="exact"/>
        <w:rPr>
          <w:sz w:val="20"/>
          <w:szCs w:val="20"/>
          <w:color w:val="auto"/>
        </w:rPr>
      </w:pPr>
    </w:p>
    <w:p>
      <w:pPr>
        <w:ind w:right="20" w:firstLine="584"/>
        <w:spacing w:after="0" w:line="298" w:lineRule="auto"/>
        <w:rPr>
          <w:sz w:val="20"/>
          <w:szCs w:val="20"/>
          <w:color w:val="auto"/>
        </w:rPr>
      </w:pPr>
      <w:r>
        <w:rPr>
          <w:rFonts w:ascii="Arial" w:cs="Arial" w:eastAsia="Arial" w:hAnsi="Arial"/>
          <w:sz w:val="14"/>
          <w:szCs w:val="14"/>
          <w:color w:val="auto"/>
        </w:rPr>
        <w:t>We do not have the ability to conduct certain preclinical studies and clinical trials independently for our therapeutic candidates, and we rely on third parties, such as contract laboratories, contract research organizations, medical institutions and clinical investigators to conduct these studies and our clinical trials. Our reliance on these third parties limits our control over these activities. The third-party contractors may not assign as great a priority to our clinical development programs or pursue them as diligently as we would if we were undertaking such programs directly. Accordingly, these third-party contractors may not complete activities on schedule, or may not conduct the studies or our clinical trials in accordance with regulatory requirements or with our trial design. If these third parties do not successfully carry out their contractual duties or meet expected deadlines, or if their performance is substandard, we may be required to replace them or add more sites to the studies. Although we believe that there are a number of other third-party contractors that we could engage to continue these activities, replacement of these third parties will result in delays and/or additional costs. As a result, our efforts to obtain regulatory approvals for, and to commercialize, our therapeutic candidates may be delayed. The third-party contractors may also have relationships with other commercial entities, some of whom may compete with us. If the third-party contractors assist our competitors, our competitive position may be harmed.</w:t>
      </w:r>
    </w:p>
    <w:p>
      <w:pPr>
        <w:spacing w:after="0" w:line="198"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In addition, our ability to bring future products to market depends on the quality and integrity of data that we present to regulatory authorities in order to obtain marketing authorizations. Although we attempt to audit and control the quality of third-party data, we cannot guarantee the authenticity or accuracy of such data, nor can we be certain that such data has not been fraudulently generated. The failure of these third parties to carry out their obligations would materially adversely affect our ability to develop and market new products and implement our strategies.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We depend on out-licensing arrangements for late-stage development, marketing and commercialization of our therapeutic candidates.</w:t>
      </w:r>
    </w:p>
    <w:p>
      <w:pPr>
        <w:spacing w:after="0" w:line="254" w:lineRule="exact"/>
        <w:rPr>
          <w:sz w:val="20"/>
          <w:szCs w:val="20"/>
          <w:color w:val="auto"/>
        </w:rPr>
      </w:pPr>
    </w:p>
    <w:p>
      <w:pPr>
        <w:jc w:val="both"/>
        <w:ind w:right="60" w:firstLine="584"/>
        <w:spacing w:after="0" w:line="268" w:lineRule="auto"/>
        <w:rPr>
          <w:sz w:val="20"/>
          <w:szCs w:val="20"/>
          <w:color w:val="auto"/>
        </w:rPr>
      </w:pPr>
      <w:r>
        <w:rPr>
          <w:rFonts w:ascii="Arial" w:cs="Arial" w:eastAsia="Arial" w:hAnsi="Arial"/>
          <w:sz w:val="16"/>
          <w:szCs w:val="16"/>
          <w:color w:val="auto"/>
        </w:rPr>
        <w:t>We depend on out-licensing arrangements for late-stage development, marketing and commercialization of our therapeutic candidates. We have limited experience in late-stage development, marketing and commercializing therapeutic candidates. Dependence on out-licensing arrangements subjects us to a number of risks, including the risk that:</w:t>
      </w:r>
    </w:p>
    <w:p>
      <w:pPr>
        <w:spacing w:after="0" w:line="212" w:lineRule="exact"/>
        <w:rPr>
          <w:sz w:val="20"/>
          <w:szCs w:val="20"/>
          <w:color w:val="auto"/>
        </w:rPr>
      </w:pPr>
    </w:p>
    <w:p>
      <w:pPr>
        <w:ind w:left="1160" w:hanging="578"/>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limited control over the amount and timing of resources that our licensees devote to our therapeutic candidates;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licensees may experience financial difficulties;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licensees may fail to secure adequate commercial supplies of our therapeutic candidates upon marketing approval, if at all;</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future revenues depend heavily on the efforts of our licensees;</w:t>
      </w:r>
    </w:p>
    <w:p>
      <w:pPr>
        <w:spacing w:after="0" w:line="254" w:lineRule="exact"/>
        <w:rPr>
          <w:rFonts w:ascii="Arial" w:cs="Arial" w:eastAsia="Arial" w:hAnsi="Arial"/>
          <w:sz w:val="16"/>
          <w:szCs w:val="16"/>
          <w:color w:val="auto"/>
        </w:rPr>
      </w:pPr>
    </w:p>
    <w:p>
      <w:pPr>
        <w:ind w:left="1160" w:right="480" w:hanging="578"/>
        <w:spacing w:after="0" w:line="283"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business combinations or significant changes in a licensee’s business strategy may adversely affect the licensee’s willingness or ability to complete its obligations under any arrangement with us;</w:t>
      </w:r>
    </w:p>
    <w:p>
      <w:pPr>
        <w:spacing w:after="0" w:line="199" w:lineRule="exact"/>
        <w:rPr>
          <w:rFonts w:ascii="Arial" w:cs="Arial" w:eastAsia="Arial" w:hAnsi="Arial"/>
          <w:sz w:val="16"/>
          <w:szCs w:val="16"/>
          <w:color w:val="auto"/>
        </w:rPr>
      </w:pPr>
    </w:p>
    <w:p>
      <w:pPr>
        <w:ind w:left="1160" w:right="600" w:hanging="578"/>
        <w:spacing w:after="0" w:line="283"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licensee could move forward with a competing therapeutic candidate developed either independently or in collaboration with others, including our competitors; and</w:t>
      </w:r>
    </w:p>
    <w:p>
      <w:pPr>
        <w:spacing w:after="0" w:line="199" w:lineRule="exact"/>
        <w:rPr>
          <w:rFonts w:ascii="Arial" w:cs="Arial" w:eastAsia="Arial" w:hAnsi="Arial"/>
          <w:sz w:val="16"/>
          <w:szCs w:val="16"/>
          <w:color w:val="auto"/>
        </w:rPr>
      </w:pPr>
    </w:p>
    <w:p>
      <w:pPr>
        <w:ind w:left="1160" w:right="240" w:hanging="578"/>
        <w:spacing w:after="0" w:line="283"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out-licensing arrangements are often terminated or allowed to expire, which would delay the development and may increase the development costs of our therapeutic candidates.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0" w:name="page11"/>
    <w:bookmarkEnd w:id="10"/>
    <w:p>
      <w:pPr>
        <w:ind w:right="140" w:firstLine="584"/>
        <w:spacing w:after="0" w:line="260" w:lineRule="auto"/>
        <w:rPr>
          <w:sz w:val="20"/>
          <w:szCs w:val="20"/>
          <w:color w:val="auto"/>
        </w:rPr>
      </w:pPr>
      <w:r>
        <w:rPr>
          <w:rFonts w:ascii="Arial" w:cs="Arial" w:eastAsia="Arial" w:hAnsi="Arial"/>
          <w:sz w:val="16"/>
          <w:szCs w:val="16"/>
          <w:color w:val="auto"/>
        </w:rPr>
        <w:t>If we or any of our licensees breach or terminate their agreements with us, or if any of our licensees otherwise fail to conduct their development and commercialization activities in a timely manner or there is a dispute about their obligations, we may need to seek other licensees, or we may have to develop our own internal sales and marketing capability for our therapeutic candidates. Our dependence on our licensees’ experience and the rights of our licensees will limit our flexibility in considering alternative out-licensing arrangements for our therapeutic candidates. Any failure to successfully develop these arrangements or failure by our licensees to successfully develop or commercialize any of our therapeutic candidates in a competitive and timely manner, will have a material adverse effect on the commercialization of our therapeutic candidates.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We depend on our ability to identify and in-license technologies and therapeutic candidates.</w:t>
      </w:r>
    </w:p>
    <w:p>
      <w:pPr>
        <w:spacing w:after="0" w:line="254" w:lineRule="exact"/>
        <w:rPr>
          <w:sz w:val="20"/>
          <w:szCs w:val="20"/>
          <w:color w:val="auto"/>
        </w:rPr>
      </w:pPr>
    </w:p>
    <w:p>
      <w:pPr>
        <w:ind w:right="120" w:firstLine="584"/>
        <w:spacing w:after="0" w:line="278" w:lineRule="auto"/>
        <w:rPr>
          <w:sz w:val="20"/>
          <w:szCs w:val="20"/>
          <w:color w:val="auto"/>
        </w:rPr>
      </w:pPr>
      <w:r>
        <w:rPr>
          <w:rFonts w:ascii="Arial" w:cs="Arial" w:eastAsia="Arial" w:hAnsi="Arial"/>
          <w:sz w:val="15"/>
          <w:szCs w:val="15"/>
          <w:color w:val="auto"/>
        </w:rPr>
        <w:t>We employ a number of methods to identify therapeutic candidates that we believe are likely to achieve commercial success. In addition to our internal research and business developments efforts, we employ a rigorous screening system we developed. In certain instances, our Scientific Advisory Board and disease-specific third-party advisors evaluate therapeutic candidates, as we deem necessary. In addition, therapeutic candidates expected to be developed under our collaboration with Novartis Pharma AG, or Novartis, are also evaluated within the framework of the Joint Steering Committee established with Novartis for this purpose. However, there can be no assurance that our internal research efforts or our screening system will accurately or consistently select among various therapeutic candidates those that have the highest likelihood to achieve, and which ultimately achieve, commercial success. As a result, we may spend substantial resources developing therapeutic candidates that will not achieve commercial success and we may not advance those therapeutic candidates with the greatest potential for commercial success.</w:t>
      </w:r>
    </w:p>
    <w:p>
      <w:pPr>
        <w:spacing w:after="0" w:line="160" w:lineRule="exact"/>
        <w:rPr>
          <w:sz w:val="20"/>
          <w:szCs w:val="20"/>
          <w:color w:val="auto"/>
        </w:rPr>
      </w:pPr>
    </w:p>
    <w:p>
      <w:pPr>
        <w:ind w:firstLine="584"/>
        <w:spacing w:after="0" w:line="304" w:lineRule="auto"/>
        <w:rPr>
          <w:sz w:val="20"/>
          <w:szCs w:val="20"/>
          <w:color w:val="auto"/>
        </w:rPr>
      </w:pPr>
      <w:r>
        <w:rPr>
          <w:rFonts w:ascii="Arial" w:cs="Arial" w:eastAsia="Arial" w:hAnsi="Arial"/>
          <w:sz w:val="14"/>
          <w:szCs w:val="14"/>
          <w:color w:val="auto"/>
        </w:rPr>
        <w:t>An important element of our strategy is maintaining relationships with universities, medical institutions and biotechnology companies in order to in-license potential therapeutic candidates. We may not be able to maintain relationships with these entities and they may elect not to enter into in-licensing agreements with us or to terminate existing agreements. Recently, a number of global pharmaceutical companies and life-sciences-focused investment funds have set up operations in Israel, both with and without Israeli government funding, in order to identify and in-license new technologies. The presence of these global companies with significantly greater resources than we have may increase the competition with respect to the in-licensing of promising therapeutic candidates. We may not be able to acquire licenses on commercially reasonable terms, or at all. Failure to license or otherwise acquire necessary technologies could materially and adversely affect our business, financial condition and results of operations.</w:t>
      </w:r>
    </w:p>
    <w:p>
      <w:pPr>
        <w:spacing w:after="0" w:line="189" w:lineRule="exact"/>
        <w:rPr>
          <w:sz w:val="20"/>
          <w:szCs w:val="20"/>
          <w:color w:val="auto"/>
        </w:rPr>
      </w:pPr>
    </w:p>
    <w:p>
      <w:pPr>
        <w:ind w:right="340" w:firstLine="584"/>
        <w:spacing w:after="0" w:line="283" w:lineRule="auto"/>
        <w:rPr>
          <w:sz w:val="20"/>
          <w:szCs w:val="20"/>
          <w:color w:val="auto"/>
        </w:rPr>
      </w:pPr>
      <w:r>
        <w:rPr>
          <w:rFonts w:ascii="Arial" w:cs="Arial" w:eastAsia="Arial" w:hAnsi="Arial"/>
          <w:sz w:val="16"/>
          <w:szCs w:val="16"/>
          <w:b w:val="1"/>
          <w:bCs w:val="1"/>
          <w:i w:val="1"/>
          <w:iCs w:val="1"/>
          <w:color w:val="auto"/>
        </w:rPr>
        <w:t>If we cannot meet requirements under our in-license agreements, we could lose the rights to our therapeutic candidates, which could have a material adverse effect on our business.</w:t>
      </w:r>
    </w:p>
    <w:p>
      <w:pPr>
        <w:spacing w:after="0" w:line="199" w:lineRule="exact"/>
        <w:rPr>
          <w:sz w:val="20"/>
          <w:szCs w:val="20"/>
          <w:color w:val="auto"/>
        </w:rPr>
      </w:pPr>
    </w:p>
    <w:p>
      <w:pPr>
        <w:ind w:right="20" w:firstLine="584"/>
        <w:spacing w:after="0" w:line="275" w:lineRule="auto"/>
        <w:rPr>
          <w:sz w:val="20"/>
          <w:szCs w:val="20"/>
          <w:color w:val="auto"/>
        </w:rPr>
      </w:pPr>
      <w:r>
        <w:rPr>
          <w:rFonts w:ascii="Arial" w:cs="Arial" w:eastAsia="Arial" w:hAnsi="Arial"/>
          <w:sz w:val="15"/>
          <w:szCs w:val="15"/>
          <w:color w:val="auto"/>
        </w:rPr>
        <w:t>We depend on in-licensing agreements with third parties to maintain the intellectual property rights to our therapeutic candidates. Regarding the main therapeutic candidates in clinical trials, we have in-licensed rights from Biokine Therapeutics Ltd., or Biokine, with respect to our BL-8040 therapeutic candidate; from the University of Massachusetts, or the University, and from Kode Biotech Limited, or Kode Biotech, with respect to our AGI-134 therapeutic candidate; and from Innovative Pharmaceutical Concepts, Inc., or IPC, with respect to our BL-5010 therapeutic candidate. See "Item 4. Information on the Company — Business Overview — In-Licensing Agreements." Our in-license agreements require us to make payments and satisfy performance obligations in order to maintain our rights under these agreements. The royalty rates and revenue sharing payments vary from case to case but generally range from 20% to 29.5% of the consideration we receive from sublicensing the applicable therapeutic candidate. In some instances, we are required to pay a substantially lower percentage (generally less than 5%) if we elect to commercialize the subject therapeutic candidate independently. Due to the relatively advanced stage of development of the compound licensed from Biokine, our license agreement with Biokine provides for royalty payments of 40% of the consideration we receive from sublicensing and 10% of net sales, subject to certain limitations, should we independently sell products. These in-license agreements last either throughout the life of the patents that are the subject of the agreements, or with respect to other licensed technology, for a number of years after the first commercial sale of the relevant product.</w:t>
      </w:r>
    </w:p>
    <w:p>
      <w:pPr>
        <w:spacing w:after="0" w:line="164"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In addition, we are responsible for the cost of filing and prosecuting certain patent applications and maintaining certain issued patents licensed to us. If we do not meet our obligations under our in-license agreements in a timely manner, we could lose the rights to our proprietary technology which could have a material adverse effect on our business, financial condition and results of operations.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ind w:right="400" w:firstLine="584"/>
        <w:spacing w:after="0" w:line="283" w:lineRule="auto"/>
        <w:rPr>
          <w:sz w:val="20"/>
          <w:szCs w:val="20"/>
          <w:color w:val="auto"/>
        </w:rPr>
      </w:pPr>
      <w:r>
        <w:rPr>
          <w:rFonts w:ascii="Arial" w:cs="Arial" w:eastAsia="Arial" w:hAnsi="Arial"/>
          <w:sz w:val="16"/>
          <w:szCs w:val="16"/>
          <w:b w:val="1"/>
          <w:bCs w:val="1"/>
          <w:i w:val="1"/>
          <w:iCs w:val="1"/>
          <w:color w:val="auto"/>
        </w:rPr>
        <w:t>If we do not meet the requirements under our agreement with the Agalimmune selling shareholders, we could lose the rights to the therapeutic candidates in Agalimmune's pipeline, including but not limited to AGI-134.</w:t>
      </w:r>
    </w:p>
    <w:p>
      <w:pPr>
        <w:spacing w:after="0" w:line="151" w:lineRule="exact"/>
        <w:rPr>
          <w:sz w:val="20"/>
          <w:szCs w:val="20"/>
          <w:color w:val="auto"/>
        </w:rPr>
      </w:pPr>
    </w:p>
    <w:p>
      <w:pPr>
        <w:ind w:right="100" w:firstLine="584"/>
        <w:spacing w:after="0" w:line="277" w:lineRule="auto"/>
        <w:rPr>
          <w:sz w:val="20"/>
          <w:szCs w:val="20"/>
          <w:color w:val="auto"/>
        </w:rPr>
      </w:pPr>
      <w:r>
        <w:rPr>
          <w:rFonts w:ascii="Arial" w:cs="Arial" w:eastAsia="Arial" w:hAnsi="Arial"/>
          <w:sz w:val="15"/>
          <w:szCs w:val="15"/>
          <w:color w:val="auto"/>
        </w:rPr>
        <w:t>In March 2017, we acquired substantially all the outstanding shares of Agalimmune Ltd., or Agalimmune, a privately-held company incorporated in the United Kingdom. In conjunction with the acquisition, we entered into a development agreement with Agalimmune and its selling shareholders, or the Agalimmune Development Agreement, which, among other things, grants us an option to purchase any remaining Agalimmune shares. If we do not exercise this option within a certain period of time after achieving certain milestones or we commit a material breach of the Agalimmune Development Agreement, the selling shareholders have a reversionary option to acquire all the Agalimmune shares we hold for nominal consideration. If the exercise of this option is completed and our development work subsequently generates revenues for Agalimmune, we will only be entitled to a percentage of Agalimmune's net proceeds, until such time as we have recouped the expenses we incurred in connection with the Agalimmune Development Agreement. Completion of the exercise of the reversionary option would result in the loss of our rights in the proprietary technology held by Agalimmune, which could have a material adverse effect on our business, financial condition and results of operations.</w:t>
      </w:r>
    </w:p>
    <w:p>
      <w:pPr>
        <w:spacing w:after="0" w:line="161" w:lineRule="exact"/>
        <w:rPr>
          <w:sz w:val="20"/>
          <w:szCs w:val="20"/>
          <w:color w:val="auto"/>
        </w:rPr>
      </w:pPr>
    </w:p>
    <w:p>
      <w:pPr>
        <w:ind w:right="160" w:firstLine="584"/>
        <w:spacing w:after="0" w:line="358" w:lineRule="auto"/>
        <w:rPr>
          <w:sz w:val="20"/>
          <w:szCs w:val="20"/>
          <w:color w:val="auto"/>
        </w:rPr>
      </w:pPr>
      <w:r>
        <w:rPr>
          <w:rFonts w:ascii="Arial" w:cs="Arial" w:eastAsia="Arial" w:hAnsi="Arial"/>
          <w:sz w:val="14"/>
          <w:szCs w:val="14"/>
          <w:b w:val="1"/>
          <w:bCs w:val="1"/>
          <w:i w:val="1"/>
          <w:iCs w:val="1"/>
          <w:color w:val="auto"/>
        </w:rPr>
        <w:t>Modifications to our therapeutic candidates, or to any other therapeutic candidates that we may develop in the future, may require new regulatory clearances or approvals or may require us or our licensees, as applicable, to recall or cease marketing these therapeutic candidates until clearances are obtained.</w:t>
      </w:r>
    </w:p>
    <w:p>
      <w:pPr>
        <w:spacing w:after="0" w:line="153" w:lineRule="exact"/>
        <w:rPr>
          <w:sz w:val="20"/>
          <w:szCs w:val="20"/>
          <w:color w:val="auto"/>
        </w:rPr>
      </w:pPr>
    </w:p>
    <w:p>
      <w:pPr>
        <w:ind w:firstLine="584"/>
        <w:spacing w:after="0" w:line="298" w:lineRule="auto"/>
        <w:rPr>
          <w:sz w:val="20"/>
          <w:szCs w:val="20"/>
          <w:color w:val="auto"/>
        </w:rPr>
      </w:pPr>
      <w:r>
        <w:rPr>
          <w:rFonts w:ascii="Arial" w:cs="Arial" w:eastAsia="Arial" w:hAnsi="Arial"/>
          <w:sz w:val="14"/>
          <w:szCs w:val="14"/>
          <w:color w:val="auto"/>
        </w:rPr>
        <w:t>Modifications to our therapeutic candidates, after they have been approved for marketing, if at all, or to any other pharmaceutical product or medical device that we may develop in the future, may require new regulatory clearance, or approvals, and, if necessitated by a problem with a marketed product, may result in the recall or suspension of marketing of the previously approved and marketed product until clearances or approvals of the modified product are obtained. The FDA requires pharmaceutical products and device manufacturers to initially make and document a determination of whether or not a modification requires a new approval, supplement or clearance. A manufacturer may determine in conformity with applicable regulations and guidelines that a modification may be implemented without pre-clearance by the FDA; however, the FDA can review a manufacturer’s decision and may disagree. The FDA may also on its own initiative determine that a new clearance or approval is required. If the FDA requires new clearances or approvals of any pharmaceutical product or medical device for which we or our licensees receive marketing approval, if any, we or our licensees may be required to recall such product and to stop marketing the product as modified, which could require us or our licensees to redesign the product and will have a material adverse effect on our business, financial condition and results of operations. In these circumstances, we may be subject to significant enforcement actions.</w:t>
      </w:r>
    </w:p>
    <w:p>
      <w:pPr>
        <w:spacing w:after="0" w:line="198" w:lineRule="exact"/>
        <w:rPr>
          <w:sz w:val="20"/>
          <w:szCs w:val="20"/>
          <w:color w:val="auto"/>
        </w:rPr>
      </w:pPr>
    </w:p>
    <w:p>
      <w:pPr>
        <w:ind w:right="20" w:firstLine="584"/>
        <w:spacing w:after="0" w:line="301" w:lineRule="auto"/>
        <w:rPr>
          <w:sz w:val="20"/>
          <w:szCs w:val="20"/>
          <w:color w:val="auto"/>
        </w:rPr>
      </w:pPr>
      <w:r>
        <w:rPr>
          <w:rFonts w:ascii="Arial" w:cs="Arial" w:eastAsia="Arial" w:hAnsi="Arial"/>
          <w:sz w:val="14"/>
          <w:szCs w:val="14"/>
          <w:color w:val="auto"/>
        </w:rPr>
        <w:t>If a manufacturer determines that a modification to an FDA-cleared device could significantly affect the safety or efficacy of the device, would constitute a major change in its intended use, or otherwise requires pre-clearance, the modification may not be implemented without the requisite clearance. We or our licensees may not be able to obtain those additional clearances or approvals for the modifications or additional indications in a timely manner, or at all. For those products sold in the European Union, or EU, we, or our licensees, as applicable, must notify the applicable EU Notified Body, an organization appointed by a member State of the EU either for the approval and monitoring of a manufacturer’s quality assurance system or for direct product inspection, if significant changes are made to the product or if there are substantial changes to the quality assurance systems affecting the product. Delays in obtaining required future clearances or approvals would materially and adversely affect our ability to introduce new or enhanced products in a timely manner, which in turn would have a material adverse effect on our business, financial condition and results of operations.</w:t>
      </w:r>
    </w:p>
    <w:p>
      <w:pPr>
        <w:spacing w:after="0" w:line="194"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b w:val="1"/>
          <w:bCs w:val="1"/>
          <w:i w:val="1"/>
          <w:iCs w:val="1"/>
          <w:color w:val="auto"/>
        </w:rPr>
        <w:t>If our competitors develop and market products that are more effective, safer or less expensive than our current or future therapeutic candidates, our prospects will be negatively impacted.</w:t>
      </w:r>
    </w:p>
    <w:p>
      <w:pPr>
        <w:spacing w:after="0" w:line="199"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The life sciences industry is highly competitive, and we face significant competition from many pharmaceutical, biopharmaceutical and biotechnology companies that are researching and marketing products designed to address the indications for which we are currently developing therapeutic candidates or for which we may develop therapeutic candidates in the future. Specifically, we are aware of many other companies which currently market and/or are in the process of developing products that address acute myeloid leukemia, or AML, celiac disease and gluten sensitivity, and skin lesions.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ind w:right="40" w:firstLine="584"/>
        <w:spacing w:after="0" w:line="261" w:lineRule="auto"/>
        <w:rPr>
          <w:sz w:val="20"/>
          <w:szCs w:val="20"/>
          <w:color w:val="auto"/>
        </w:rPr>
      </w:pPr>
      <w:r>
        <w:rPr>
          <w:rFonts w:ascii="Arial" w:cs="Arial" w:eastAsia="Arial" w:hAnsi="Arial"/>
          <w:sz w:val="16"/>
          <w:szCs w:val="16"/>
          <w:color w:val="auto"/>
        </w:rPr>
        <w:t>An important element of our strategy for identifying future products is maintaining relationships with universities, medical institutions and biotechnology companies in order to in-license potential therapeutic candidates, and we compete with respect to this in-licensing with a number of global pharmaceutical companies, both with and without Israeli government funding. The presence of these global companies with significantly greater resources than we have may increase the competition with respect to the in-licensing of promising therapeutic candidates. Our failure to license or otherwise acquire necessary technologies could materially and adversely affect our business, financial condition and results of operations.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Our contract manufacturers are, and will be, subject to FDA and other comparable agency regulations.</w:t>
      </w:r>
    </w:p>
    <w:p>
      <w:pPr>
        <w:spacing w:after="0" w:line="254" w:lineRule="exact"/>
        <w:rPr>
          <w:sz w:val="20"/>
          <w:szCs w:val="20"/>
          <w:color w:val="auto"/>
        </w:rPr>
      </w:pPr>
    </w:p>
    <w:p>
      <w:pPr>
        <w:ind w:right="20" w:firstLine="584"/>
        <w:spacing w:after="0" w:line="258" w:lineRule="auto"/>
        <w:rPr>
          <w:sz w:val="20"/>
          <w:szCs w:val="20"/>
          <w:color w:val="auto"/>
        </w:rPr>
      </w:pPr>
      <w:r>
        <w:rPr>
          <w:rFonts w:ascii="Arial" w:cs="Arial" w:eastAsia="Arial" w:hAnsi="Arial"/>
          <w:sz w:val="16"/>
          <w:szCs w:val="16"/>
          <w:color w:val="auto"/>
        </w:rPr>
        <w:t>Our contract manufacturers are, and will be, required to adhere to FDA regulations setting forth current good manufacturing practices, or cGMP, for drugs and Quality System Regulations, or QSR, for devices. These regulations cover all aspects of the manufacturing, testing, quality control and recordkeeping relating to our therapeutic candidates. Our manufacturers may not be able to comply with applicable regulations. Our manufacturers are and will be subject to unannounced inspections by the FDA, state regulators and similar regulators outside the United States. The failure of our third party manufacturers to comply with applicable regulations could result in the imposition of sanctions on us, including fines, injunctions, civil penalties, failure of regulatory authorities to grant marketing approval of our therapeutic candidates, delays, suspension or withdrawal of approvals, license revocation, seizures or recalls of our candidates or products, operating restrictions and criminal prosecutions, any of which could significantly and adversely affect regulatory approval and supplies of our therapeutic candidates, and materially and adversely affect our business, financial condition and results of operations.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We have no experience selling, marketing or distributing products and no internal capability to do so.</w:t>
      </w:r>
    </w:p>
    <w:p>
      <w:pPr>
        <w:spacing w:after="0" w:line="254" w:lineRule="exact"/>
        <w:rPr>
          <w:sz w:val="20"/>
          <w:szCs w:val="20"/>
          <w:color w:val="auto"/>
        </w:rPr>
      </w:pPr>
    </w:p>
    <w:p>
      <w:pPr>
        <w:ind w:right="140" w:firstLine="584"/>
        <w:spacing w:after="0" w:line="268" w:lineRule="auto"/>
        <w:rPr>
          <w:sz w:val="20"/>
          <w:szCs w:val="20"/>
          <w:color w:val="auto"/>
        </w:rPr>
      </w:pPr>
      <w:r>
        <w:rPr>
          <w:rFonts w:ascii="Arial" w:cs="Arial" w:eastAsia="Arial" w:hAnsi="Arial"/>
          <w:sz w:val="16"/>
          <w:szCs w:val="16"/>
          <w:color w:val="auto"/>
        </w:rPr>
        <w:t>We currently have no sales, marketing or distribution capabilities and no experience in building a sales force or distribution capabilities. To be able to commercialize any of our therapeutic candidates upon approval, if at all, we must either develop internal sales, marketing and distribution capabilities, which will be expensive and time consuming, or enter into out-licensing arrangements with third parties to perform these services.</w:t>
      </w:r>
    </w:p>
    <w:p>
      <w:pPr>
        <w:spacing w:after="0" w:line="212" w:lineRule="exact"/>
        <w:rPr>
          <w:sz w:val="20"/>
          <w:szCs w:val="20"/>
          <w:color w:val="auto"/>
        </w:rPr>
      </w:pPr>
    </w:p>
    <w:p>
      <w:pPr>
        <w:ind w:right="40" w:firstLine="584"/>
        <w:spacing w:after="0" w:line="268" w:lineRule="auto"/>
        <w:rPr>
          <w:sz w:val="20"/>
          <w:szCs w:val="20"/>
          <w:color w:val="auto"/>
        </w:rPr>
      </w:pPr>
      <w:r>
        <w:rPr>
          <w:rFonts w:ascii="Arial" w:cs="Arial" w:eastAsia="Arial" w:hAnsi="Arial"/>
          <w:sz w:val="16"/>
          <w:szCs w:val="16"/>
          <w:color w:val="auto"/>
        </w:rPr>
        <w:t>If we decide to market any of our other therapeutic candidates on our own, we must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212" w:lineRule="exact"/>
        <w:rPr>
          <w:sz w:val="20"/>
          <w:szCs w:val="20"/>
          <w:color w:val="auto"/>
        </w:rPr>
      </w:pPr>
    </w:p>
    <w:p>
      <w:pPr>
        <w:ind w:left="1160" w:hanging="578"/>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and marketing personnel;</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or persuade adequate numbers of physicians to prescribe our therapeutic candidates;</w:t>
      </w:r>
    </w:p>
    <w:p>
      <w:pPr>
        <w:spacing w:after="0" w:line="254" w:lineRule="exact"/>
        <w:rPr>
          <w:rFonts w:ascii="Arial" w:cs="Arial" w:eastAsia="Arial" w:hAnsi="Arial"/>
          <w:sz w:val="16"/>
          <w:szCs w:val="16"/>
          <w:color w:val="auto"/>
        </w:rPr>
      </w:pPr>
    </w:p>
    <w:p>
      <w:pPr>
        <w:ind w:left="1160" w:right="500" w:hanging="578"/>
        <w:spacing w:after="0" w:line="283"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and sustaining an independent sales and marketing organization.</w:t>
      </w:r>
    </w:p>
    <w:p>
      <w:pPr>
        <w:spacing w:after="0" w:line="254"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We may not be successful in recruiting the sales and marketing personnel necessary to sell any of our therapeutic candidates upon approval, if at all, and even if we do build a sales force, it may not be successful in marketing our therapeutic candidates, which would have a material adverse effect on our business, financial condition and results of operations.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Our business could suffer if we are unable to attract and retain key employees.</w:t>
      </w:r>
    </w:p>
    <w:p>
      <w:pPr>
        <w:spacing w:after="0" w:line="254" w:lineRule="exact"/>
        <w:rPr>
          <w:sz w:val="20"/>
          <w:szCs w:val="20"/>
          <w:color w:val="auto"/>
        </w:rPr>
      </w:pPr>
    </w:p>
    <w:p>
      <w:pPr>
        <w:ind w:firstLine="584"/>
        <w:spacing w:after="0" w:line="282" w:lineRule="auto"/>
        <w:rPr>
          <w:sz w:val="20"/>
          <w:szCs w:val="20"/>
          <w:color w:val="auto"/>
        </w:rPr>
      </w:pPr>
      <w:r>
        <w:rPr>
          <w:rFonts w:ascii="Arial" w:cs="Arial" w:eastAsia="Arial" w:hAnsi="Arial"/>
          <w:sz w:val="15"/>
          <w:szCs w:val="15"/>
          <w:color w:val="auto"/>
        </w:rPr>
        <w:t>Our success depends upon the continued service and performance of our senior management and other key personnel. The loss of the services of these personnel could delay or prevent the successful completion of our planned clinical trials or the commercialization of our therapeutic candidates or otherwise affect our ability to manage our company effectively and to carry out our business plan. We do not maintain key-man life insurance. Although we have entered into employment agreements with all of the members of our senior management team, members of our senior management team may resign at any time. High demand exists for senior management and other key personnel in the pharmaceutical industry. There can be no assurance that we will be able to continue to retain and attract such personnel.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ind w:firstLine="584"/>
        <w:spacing w:after="0" w:line="278" w:lineRule="auto"/>
        <w:rPr>
          <w:sz w:val="20"/>
          <w:szCs w:val="20"/>
          <w:color w:val="auto"/>
        </w:rPr>
      </w:pPr>
      <w:r>
        <w:rPr>
          <w:rFonts w:ascii="Arial" w:cs="Arial" w:eastAsia="Arial" w:hAnsi="Arial"/>
          <w:sz w:val="15"/>
          <w:szCs w:val="15"/>
          <w:color w:val="auto"/>
        </w:rPr>
        <w:t>Our growth and success also depend on our ability to attract and retain additional highly qualified scientific, technical, sales, managerial and finance personnel. We experience intense competition for qualified personnel, and the existence of non-competition agreements between prospective employees and their former employers may prevent us from hiring those individuals or subject us to suit from their former employers. In addition, if we elect to independently commercialize any therapeutic candidate, we will need to expand our marketing and sales capabilities. While we attempt to provide competitive compensation packages to attract and retain key personnel, many of our competitors are likely to have greater resources and more experience than we have, making it difficult for us to compete successfully for key personnel. If we cannot attract and retain sufficiently qualified technical employees on acceptable terms, we may not be able to develop and commercialize competitive products. Further, any failure to effectively integrate new personnel could prevent us from successfully growing our company.</w:t>
      </w:r>
    </w:p>
    <w:p>
      <w:pPr>
        <w:spacing w:after="0" w:line="209" w:lineRule="exact"/>
        <w:rPr>
          <w:sz w:val="20"/>
          <w:szCs w:val="20"/>
          <w:color w:val="auto"/>
        </w:rPr>
      </w:pPr>
    </w:p>
    <w:p>
      <w:pPr>
        <w:ind w:right="580" w:firstLine="584"/>
        <w:spacing w:after="0" w:line="268" w:lineRule="auto"/>
        <w:rPr>
          <w:sz w:val="20"/>
          <w:szCs w:val="20"/>
          <w:color w:val="auto"/>
        </w:rPr>
      </w:pPr>
      <w:r>
        <w:rPr>
          <w:rFonts w:ascii="Arial" w:cs="Arial" w:eastAsia="Arial" w:hAnsi="Arial"/>
          <w:sz w:val="16"/>
          <w:szCs w:val="16"/>
          <w:b w:val="1"/>
          <w:bCs w:val="1"/>
          <w:i w:val="1"/>
          <w:iCs w:val="1"/>
          <w:color w:val="auto"/>
        </w:rPr>
        <w:t>We rely upon third-party manufacturers to produce therapeutic supplies for the clinical trials, and commercialization, of our therapeutic candidates. If we manufacture any of our therapeutic candidates in the future, we will be required to incur significant costs and devote significant efforts to establish and maintain manufacturing capabilities.</w:t>
      </w:r>
    </w:p>
    <w:p>
      <w:pPr>
        <w:spacing w:after="0" w:line="212" w:lineRule="exact"/>
        <w:rPr>
          <w:sz w:val="20"/>
          <w:szCs w:val="20"/>
          <w:color w:val="auto"/>
        </w:rPr>
      </w:pPr>
    </w:p>
    <w:p>
      <w:pPr>
        <w:ind w:right="40" w:firstLine="584"/>
        <w:spacing w:after="0" w:line="259" w:lineRule="auto"/>
        <w:rPr>
          <w:sz w:val="20"/>
          <w:szCs w:val="20"/>
          <w:color w:val="auto"/>
        </w:rPr>
      </w:pPr>
      <w:r>
        <w:rPr>
          <w:rFonts w:ascii="Arial" w:cs="Arial" w:eastAsia="Arial" w:hAnsi="Arial"/>
          <w:sz w:val="16"/>
          <w:szCs w:val="16"/>
          <w:color w:val="auto"/>
        </w:rPr>
        <w:t>We do not currently have laboratories that are compliant with cGMP and therefore cannot independently manufacture drug products for our current clinical trials. We rely on third-party manufacturers to produce the therapeutic supplies that will enable us to perform clinical trials and, if we choose to do so, commercialize therapeutic candidates ourselves. We have limited personnel with experience in drug or medical device manufacturing and we lack the resources and capabilities to manufacture any of our therapeutic candidates on a commercial scale. The manufacture of pharmaceutical products and medical devices requires significant expertise and capital investment, including the development of advanced manufacturing techniques and process controls. Manufacturers of pharmaceutical products and medical devices often encounter difficulties in production, particularly in scaling up initial production. These problems include difficulties with production costs and yields and quality control, including stability of the therapeutic candidate.</w:t>
      </w:r>
    </w:p>
    <w:p>
      <w:pPr>
        <w:spacing w:after="0" w:line="169" w:lineRule="exact"/>
        <w:rPr>
          <w:sz w:val="20"/>
          <w:szCs w:val="20"/>
          <w:color w:val="auto"/>
        </w:rPr>
      </w:pPr>
    </w:p>
    <w:p>
      <w:pPr>
        <w:ind w:right="240" w:firstLine="584"/>
        <w:spacing w:after="0" w:line="286" w:lineRule="auto"/>
        <w:rPr>
          <w:sz w:val="20"/>
          <w:szCs w:val="20"/>
          <w:color w:val="auto"/>
        </w:rPr>
      </w:pPr>
      <w:r>
        <w:rPr>
          <w:rFonts w:ascii="Arial" w:cs="Arial" w:eastAsia="Arial" w:hAnsi="Arial"/>
          <w:sz w:val="15"/>
          <w:szCs w:val="15"/>
          <w:color w:val="auto"/>
        </w:rPr>
        <w:t>We do not currently have any long-term agreements with third party manufacturers that guarantee the supply of any of our therapeutic candidates. When we require additional supplies of our therapeutic candidates to complete our clinical trials or if we elect to commercialize our products independently, we may be unable to enter into agreements for clinical or commercial supply, as applicable, with third party manufacturers, or may be unable to do so on acceptable terms. Even if we enter into these agreements, it is likely that the manufacturers of each therapeutic candidate will be single source suppliers to us for a significant period of time.</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Reliance on third party manufacturers entails risks to which we would not be subject if we manufactured therapeutic candidates ourselves, including:</w:t>
      </w:r>
    </w:p>
    <w:p>
      <w:pPr>
        <w:spacing w:after="0" w:line="254" w:lineRule="exact"/>
        <w:rPr>
          <w:sz w:val="20"/>
          <w:szCs w:val="20"/>
          <w:color w:val="auto"/>
        </w:rPr>
      </w:pPr>
    </w:p>
    <w:p>
      <w:pPr>
        <w:ind w:left="1160" w:hanging="578"/>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reliance on the third party for regulatory compliance and quality assurance;</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supply availability resulting from capacity and scheduling constraints of the third parties;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impact on our reputation in the marketplace if manufacturers of our products, once commercialized, fail to meet customer demands;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 party because of factors beyond our control;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possible termination or nonrenewal of the agreement by the third party, based on its own business priorities, at a time that is costly or inconvenient for us.</w:t>
      </w:r>
    </w:p>
    <w:p>
      <w:pPr>
        <w:spacing w:after="0" w:line="277" w:lineRule="exact"/>
        <w:rPr>
          <w:sz w:val="20"/>
          <w:szCs w:val="20"/>
          <w:color w:val="auto"/>
        </w:rPr>
      </w:pPr>
    </w:p>
    <w:p>
      <w:pPr>
        <w:jc w:val="both"/>
        <w:ind w:right="20" w:firstLine="584"/>
        <w:spacing w:after="0" w:line="294" w:lineRule="auto"/>
        <w:rPr>
          <w:sz w:val="20"/>
          <w:szCs w:val="20"/>
          <w:color w:val="auto"/>
        </w:rPr>
      </w:pPr>
      <w:r>
        <w:rPr>
          <w:rFonts w:ascii="Arial" w:cs="Arial" w:eastAsia="Arial" w:hAnsi="Arial"/>
          <w:sz w:val="15"/>
          <w:szCs w:val="15"/>
          <w:color w:val="auto"/>
        </w:rPr>
        <w:t>The failure of any of our contract manufacturers to maintain high manufacturing standards could result in injury or death of clinical trial participants or patients being treated with our products. Such failure could also result in product liability claims, product recalls, product seizures or withdrawals, delays or failures in testing or delivery, cost overruns or other problems, which would have a material adverse effect on our business, financial condition and results of operations.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4" w:name="page15"/>
    <w:bookmarkEnd w:id="14"/>
    <w:p>
      <w:pPr>
        <w:ind w:left="580"/>
        <w:spacing w:after="0"/>
        <w:rPr>
          <w:sz w:val="20"/>
          <w:szCs w:val="20"/>
          <w:color w:val="auto"/>
        </w:rPr>
      </w:pPr>
      <w:r>
        <w:rPr>
          <w:rFonts w:ascii="Arial" w:cs="Arial" w:eastAsia="Arial" w:hAnsi="Arial"/>
          <w:sz w:val="16"/>
          <w:szCs w:val="16"/>
          <w:b w:val="1"/>
          <w:bCs w:val="1"/>
          <w:color w:val="auto"/>
        </w:rPr>
        <w:t>Risks Related to Our Industry</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i w:val="1"/>
          <w:iCs w:val="1"/>
          <w:color w:val="auto"/>
        </w:rPr>
        <w:t>Even if our therapeutic candidates receive regulatory approval or do not require regulatory approval, they may not become commercially viable products.</w:t>
      </w:r>
    </w:p>
    <w:p>
      <w:pPr>
        <w:spacing w:after="0" w:line="266" w:lineRule="exact"/>
        <w:rPr>
          <w:sz w:val="20"/>
          <w:szCs w:val="20"/>
          <w:color w:val="auto"/>
        </w:rPr>
      </w:pPr>
    </w:p>
    <w:p>
      <w:pPr>
        <w:ind w:right="180" w:firstLine="584"/>
        <w:spacing w:after="0" w:line="261" w:lineRule="auto"/>
        <w:rPr>
          <w:sz w:val="20"/>
          <w:szCs w:val="20"/>
          <w:color w:val="auto"/>
        </w:rPr>
      </w:pPr>
      <w:r>
        <w:rPr>
          <w:rFonts w:ascii="Arial" w:cs="Arial" w:eastAsia="Arial" w:hAnsi="Arial"/>
          <w:sz w:val="16"/>
          <w:szCs w:val="16"/>
          <w:color w:val="auto"/>
        </w:rPr>
        <w:t>Even if our therapeutic candidates are approved for commercialization, they may not become commercially viable products. For example, if we or our licensees receive regulatory approval to market a product, approval may be subject to limitations on the indicated uses or subject to labeling or marketing restrictions which could materially and adversely affect the marketability and profitability of the product. In addition, a new product may appear promising at an early stage of development or after clinical trials but never reach the market, or it may reach the market but not result in sufficient product sales, if any. A therapeutic candidate may not result in commercial success for various reasons, including:</w:t>
      </w:r>
    </w:p>
    <w:p>
      <w:pPr>
        <w:spacing w:after="0" w:line="217" w:lineRule="exact"/>
        <w:rPr>
          <w:sz w:val="20"/>
          <w:szCs w:val="20"/>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difficulty in large-scale manufacturing;</w:t>
      </w:r>
    </w:p>
    <w:p>
      <w:pPr>
        <w:spacing w:after="0" w:line="254" w:lineRule="exact"/>
        <w:rPr>
          <w:rFonts w:ascii="Arial" w:cs="Arial" w:eastAsia="Arial" w:hAnsi="Arial"/>
          <w:sz w:val="16"/>
          <w:szCs w:val="16"/>
          <w:color w:val="auto"/>
        </w:rPr>
      </w:pPr>
    </w:p>
    <w:p>
      <w:pPr>
        <w:ind w:left="1160" w:right="240" w:hanging="578"/>
        <w:spacing w:after="0" w:line="358" w:lineRule="auto"/>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low market acceptance by physicians, healthcare payors, patients and the medical community as a result of lower demonstrated clinical safety or efficacy compared to other products, prevalence and severity of adverse side effects, or other potential disadvantages relative to alternative treatment methods;</w:t>
      </w:r>
    </w:p>
    <w:p>
      <w:pPr>
        <w:spacing w:after="0" w:line="152" w:lineRule="exact"/>
        <w:rPr>
          <w:rFonts w:ascii="Arial" w:cs="Arial" w:eastAsia="Arial" w:hAnsi="Arial"/>
          <w:sz w:val="14"/>
          <w:szCs w:val="14"/>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insufficient or unfavorable levels of reimbursement from government or third-party payors;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infringement on proprietary rights of others for which we or our licensees have not received licenses;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incompatibility with other therapeutic products;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potential advantages of alternative treatment methods;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ineffective marketing and distribution support;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changes in pricing due to pressure from public opinion, non-governmental organizations or governmental authorities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cost-effectiveness; or</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timing of market introduction of competitive products.</w:t>
      </w:r>
    </w:p>
    <w:p>
      <w:pPr>
        <w:spacing w:after="0" w:line="254" w:lineRule="exact"/>
        <w:rPr>
          <w:sz w:val="20"/>
          <w:szCs w:val="20"/>
          <w:color w:val="auto"/>
        </w:rPr>
      </w:pPr>
    </w:p>
    <w:p>
      <w:pPr>
        <w:ind w:right="140" w:firstLine="584"/>
        <w:spacing w:after="0" w:line="283" w:lineRule="auto"/>
        <w:rPr>
          <w:sz w:val="20"/>
          <w:szCs w:val="20"/>
          <w:color w:val="auto"/>
        </w:rPr>
      </w:pPr>
      <w:r>
        <w:rPr>
          <w:rFonts w:ascii="Arial" w:cs="Arial" w:eastAsia="Arial" w:hAnsi="Arial"/>
          <w:sz w:val="16"/>
          <w:szCs w:val="16"/>
          <w:color w:val="auto"/>
        </w:rPr>
        <w:t>If we are unable to develop commercially viable products, either on our own or through licensees, our business, results of operations and financial condition will be materially and adversely affected.</w:t>
      </w:r>
    </w:p>
    <w:p>
      <w:pPr>
        <w:spacing w:after="0" w:line="199" w:lineRule="exact"/>
        <w:rPr>
          <w:sz w:val="20"/>
          <w:szCs w:val="20"/>
          <w:color w:val="auto"/>
        </w:rPr>
      </w:pPr>
    </w:p>
    <w:p>
      <w:pPr>
        <w:ind w:right="340" w:firstLine="584"/>
        <w:spacing w:after="0" w:line="283" w:lineRule="auto"/>
        <w:rPr>
          <w:sz w:val="20"/>
          <w:szCs w:val="20"/>
          <w:color w:val="auto"/>
        </w:rPr>
      </w:pPr>
      <w:r>
        <w:rPr>
          <w:rFonts w:ascii="Arial" w:cs="Arial" w:eastAsia="Arial" w:hAnsi="Arial"/>
          <w:sz w:val="16"/>
          <w:szCs w:val="16"/>
          <w:b w:val="1"/>
          <w:bCs w:val="1"/>
          <w:i w:val="1"/>
          <w:iCs w:val="1"/>
          <w:color w:val="auto"/>
        </w:rPr>
        <w:t>Healthcare reforms and related reductions in pharmaceutical pricing, reimbursement and coverage by governmental authorities and third-party payors may adversely affect our business.</w:t>
      </w:r>
    </w:p>
    <w:p>
      <w:pPr>
        <w:spacing w:after="0" w:line="199" w:lineRule="exact"/>
        <w:rPr>
          <w:sz w:val="20"/>
          <w:szCs w:val="20"/>
          <w:color w:val="auto"/>
        </w:rPr>
      </w:pPr>
    </w:p>
    <w:p>
      <w:pPr>
        <w:ind w:firstLine="584"/>
        <w:spacing w:after="0" w:line="278" w:lineRule="auto"/>
        <w:rPr>
          <w:sz w:val="20"/>
          <w:szCs w:val="20"/>
          <w:color w:val="auto"/>
        </w:rPr>
      </w:pPr>
      <w:r>
        <w:rPr>
          <w:rFonts w:ascii="Arial" w:cs="Arial" w:eastAsia="Arial" w:hAnsi="Arial"/>
          <w:sz w:val="15"/>
          <w:szCs w:val="15"/>
          <w:color w:val="auto"/>
        </w:rPr>
        <w:t>The continuing increase in expenditures for healthcare has been the subject of considerable government attention, particularly as public resources have been stretched by financial and economic crises in the United States, Western Europe and elsewhere. Both private health insurance funds and government health authorities continue to seek ways to reduce or contain healthcare costs, including by reducing or eliminating coverage for certain products and lowering reimbursement levels. In many countries and regions, including the United States, Western Europe, Israel, Russia, certain countries in Central and Eastern Europe and several countries in Latin America, pharmaceutical prices are subject to new government policies designed to reduce healthcare costs. These changes frequently adversely affect pricing and profitability and may cause delays in market entry. We cannot predict which additional measures may be adopted or the impact of current and additional measures on the marketing, pricing and demand for our approved products, if any of our therapeutic products are approved.</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15" w:name="page16"/>
    <w:bookmarkEnd w:id="15"/>
    <w:p>
      <w:pPr>
        <w:ind w:right="100" w:firstLine="584"/>
        <w:spacing w:after="0" w:line="257" w:lineRule="auto"/>
        <w:rPr>
          <w:sz w:val="20"/>
          <w:szCs w:val="20"/>
          <w:color w:val="auto"/>
        </w:rPr>
      </w:pPr>
      <w:r>
        <w:rPr>
          <w:rFonts w:ascii="Arial" w:cs="Arial" w:eastAsia="Arial" w:hAnsi="Arial"/>
          <w:sz w:val="16"/>
          <w:szCs w:val="16"/>
          <w:color w:val="auto"/>
        </w:rPr>
        <w:t>Significant developments that may adversely affect pricing in the United States include (i) the enactment of federal healthcare reform laws and regulations, including the Medicare Prescription Drug Improvement and Modernization Act of 2003 and the Patient Protection and Affordable Care Act of 2010, or PPACA, and (ii) trends in the practices of managed care groups and institutional and governmental purchasers, including the impact of consolidation of our customers. Changes to the healthcare system enacted as part of healthcare reform in the United States, as well as the increased purchasing power of entities that negotiate on behalf of Medicare, Medicaid, and private sector beneficiaries, may result in increased pricing pressure by influencing, for instance, the reimbursement policies of third-party payors. Healthcare reform legislation has increased the number of patients who would have insurance coverage for our approved products, if any of our therapeutic products are approved, but provisions such as the assessment of a branded pharmaceutical manufacturer fee and an increase in the amount of the rebates that manufacturers pay for coverage of their drugs by Medicaid programs may have an adverse effect on us. It is uncertain how current and future reforms in these areas will influence the future of our business operations and financial condition.</w:t>
      </w:r>
    </w:p>
    <w:p>
      <w:pPr>
        <w:spacing w:after="0" w:line="224" w:lineRule="exact"/>
        <w:rPr>
          <w:sz w:val="20"/>
          <w:szCs w:val="20"/>
          <w:color w:val="auto"/>
        </w:rPr>
      </w:pPr>
    </w:p>
    <w:p>
      <w:pPr>
        <w:ind w:right="120" w:firstLine="584"/>
        <w:spacing w:after="0" w:line="283" w:lineRule="auto"/>
        <w:rPr>
          <w:sz w:val="20"/>
          <w:szCs w:val="20"/>
          <w:color w:val="auto"/>
        </w:rPr>
      </w:pPr>
      <w:r>
        <w:rPr>
          <w:rFonts w:ascii="Arial" w:cs="Arial" w:eastAsia="Arial" w:hAnsi="Arial"/>
          <w:sz w:val="16"/>
          <w:szCs w:val="16"/>
          <w:b w:val="1"/>
          <w:bCs w:val="1"/>
          <w:i w:val="1"/>
          <w:iCs w:val="1"/>
          <w:color w:val="auto"/>
        </w:rPr>
        <w:t>If third-party payors do not adequately reimburse customers for any of our therapeutic candidates that are approved for marketing, they might not be purchased or used, and our revenues and profits will not develop or increase.</w:t>
      </w:r>
    </w:p>
    <w:p>
      <w:pPr>
        <w:spacing w:after="0" w:line="199" w:lineRule="exact"/>
        <w:rPr>
          <w:sz w:val="20"/>
          <w:szCs w:val="20"/>
          <w:color w:val="auto"/>
        </w:rPr>
      </w:pPr>
    </w:p>
    <w:p>
      <w:pPr>
        <w:jc w:val="both"/>
        <w:ind w:right="220" w:firstLine="584"/>
        <w:spacing w:after="0" w:line="268" w:lineRule="auto"/>
        <w:rPr>
          <w:sz w:val="20"/>
          <w:szCs w:val="20"/>
          <w:color w:val="auto"/>
        </w:rPr>
      </w:pPr>
      <w:r>
        <w:rPr>
          <w:rFonts w:ascii="Arial" w:cs="Arial" w:eastAsia="Arial" w:hAnsi="Arial"/>
          <w:sz w:val="16"/>
          <w:szCs w:val="16"/>
          <w:color w:val="auto"/>
        </w:rPr>
        <w:t>Our revenues and profits will depend heavily upon the availability of adequate reimbursement for the use of our approved candidates, if any, from governmental or other third-party payors, both in the United States and in foreign markets. Reimbursement by a third-party payor may depend upon a number of factors, including the third-party payor’s determination that the use of an approved product is:</w:t>
      </w:r>
    </w:p>
    <w:p>
      <w:pPr>
        <w:spacing w:after="0" w:line="212" w:lineRule="exact"/>
        <w:rPr>
          <w:sz w:val="20"/>
          <w:szCs w:val="20"/>
          <w:color w:val="auto"/>
        </w:rPr>
      </w:pPr>
    </w:p>
    <w:p>
      <w:pPr>
        <w:ind w:left="1160" w:hanging="578"/>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covered benefit under its health plan;</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safe, effective and medically necessary;</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appropriate for the specific patient;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cost-effective;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neither experimental nor investigational.</w:t>
      </w:r>
    </w:p>
    <w:p>
      <w:pPr>
        <w:spacing w:after="0" w:line="254"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Obtaining reimbursement approval for a product from each government or other third-party payor is a time-consuming and costly process that could require us or our licensees to provide supporting scientific, clinical and cost-effectiveness data for the use of our products to each payor. Even when a payor determines that a product is eligible for reimbursement, the payor may impose coverage limitations that preclude payment for some uses that are approved by the FDA or comparable foreign regulatory authorities. Reimbursement rates may vary according to the use of the product and the clinical setting in which it used, may be based on payments allowed for lower-cost products that are already reimbursed, may be incorporated into existing payments for other products or services, and may reflect budgetary constraints and/or imperfections in Medicare, Medicaid or other data used to calculate these rates.</w:t>
      </w:r>
    </w:p>
    <w:p>
      <w:pPr>
        <w:spacing w:after="0" w:line="217" w:lineRule="exact"/>
        <w:rPr>
          <w:sz w:val="20"/>
          <w:szCs w:val="20"/>
          <w:color w:val="auto"/>
        </w:rPr>
      </w:pPr>
    </w:p>
    <w:p>
      <w:pPr>
        <w:ind w:right="20" w:firstLine="584"/>
        <w:spacing w:after="0" w:line="277" w:lineRule="auto"/>
        <w:rPr>
          <w:sz w:val="20"/>
          <w:szCs w:val="20"/>
          <w:color w:val="auto"/>
        </w:rPr>
      </w:pPr>
      <w:r>
        <w:rPr>
          <w:rFonts w:ascii="Arial" w:cs="Arial" w:eastAsia="Arial" w:hAnsi="Arial"/>
          <w:sz w:val="15"/>
          <w:szCs w:val="15"/>
          <w:color w:val="auto"/>
        </w:rPr>
        <w:t>Regardless of the impact of the PPACA on us, the U.S. government, other governments and commercial payors have shown significant interest in pursuing healthcare reform and reducing healthcare costs. Any government-adopted reform measures could cause significant pressure on the pricing of healthcare products and services, including those biopharmaceuticals currently being developed by us or our licensees, in the United States and internationally, as well as the amount of reimbursement available from governmental agencies or other third party payors. The continuing efforts of the U.S. and foreign governments, insurance companies, managed care organizations and other payors to contain or reduce healthcare costs may compromise our ability to set prices at commercially attractive levels for our products that we may develop, which in turn could adversely impact how much or under what circumstances healthcare providers will prescribe or administer our products, if approved. Changes in healthcare policy, such as the creation of broad limits for diagnostic products, could substantially diminish the sale of or inhibit the utilization of diagnostic tests, increase costs, divert management’s attention and adversely affect our ability to generate revenues and achieve consistent profitability. This could materially and adversely impact our business by reducing our ability to generate revenue, raise capital, obtain additional collaborators and market our products, if approved.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 w:name="page17"/>
    <w:bookmarkEnd w:id="16"/>
    <w:p>
      <w:pPr>
        <w:ind w:right="240" w:firstLine="584"/>
        <w:spacing w:after="0" w:line="268" w:lineRule="auto"/>
        <w:rPr>
          <w:sz w:val="20"/>
          <w:szCs w:val="20"/>
          <w:color w:val="auto"/>
        </w:rPr>
      </w:pPr>
      <w:r>
        <w:rPr>
          <w:rFonts w:ascii="Arial" w:cs="Arial" w:eastAsia="Arial" w:hAnsi="Arial"/>
          <w:sz w:val="16"/>
          <w:szCs w:val="16"/>
          <w:color w:val="auto"/>
        </w:rPr>
        <w:t>Further, the Centers for Medicare and Medicaid Services, or CMS, frequently change product descriptors, coverage policies, product and service codes, payment methodologies and reimbursement values. Third-party payors often follow Medicare coverage policy and payment limitations in setting their own reimbursement rates, and both CMS and other third-party payors may have sufficient market power to demand significant price reductions.</w:t>
      </w:r>
    </w:p>
    <w:p>
      <w:pPr>
        <w:spacing w:after="0" w:line="212" w:lineRule="exact"/>
        <w:rPr>
          <w:sz w:val="20"/>
          <w:szCs w:val="20"/>
          <w:color w:val="auto"/>
        </w:rPr>
      </w:pPr>
    </w:p>
    <w:p>
      <w:pPr>
        <w:ind w:right="140" w:firstLine="584"/>
        <w:spacing w:after="0" w:line="283" w:lineRule="auto"/>
        <w:rPr>
          <w:sz w:val="20"/>
          <w:szCs w:val="20"/>
          <w:color w:val="auto"/>
        </w:rPr>
      </w:pPr>
      <w:r>
        <w:rPr>
          <w:rFonts w:ascii="Arial" w:cs="Arial" w:eastAsia="Arial" w:hAnsi="Arial"/>
          <w:sz w:val="16"/>
          <w:szCs w:val="16"/>
          <w:b w:val="1"/>
          <w:bCs w:val="1"/>
          <w:i w:val="1"/>
          <w:iCs w:val="1"/>
          <w:color w:val="auto"/>
        </w:rPr>
        <w:t>Our business has a substantial risk of clinical trial and product liability claims. If we are unable to obtain and maintain appropriate levels of insurance, a claim could adversely affect our business.</w:t>
      </w:r>
    </w:p>
    <w:p>
      <w:pPr>
        <w:spacing w:after="0" w:line="199" w:lineRule="exact"/>
        <w:rPr>
          <w:sz w:val="20"/>
          <w:szCs w:val="20"/>
          <w:color w:val="auto"/>
        </w:rPr>
      </w:pPr>
    </w:p>
    <w:p>
      <w:pPr>
        <w:ind w:right="40" w:firstLine="584"/>
        <w:spacing w:after="0" w:line="276" w:lineRule="auto"/>
        <w:rPr>
          <w:sz w:val="20"/>
          <w:szCs w:val="20"/>
          <w:color w:val="auto"/>
        </w:rPr>
      </w:pPr>
      <w:r>
        <w:rPr>
          <w:rFonts w:ascii="Arial" w:cs="Arial" w:eastAsia="Arial" w:hAnsi="Arial"/>
          <w:sz w:val="15"/>
          <w:szCs w:val="15"/>
          <w:color w:val="auto"/>
        </w:rPr>
        <w:t>Our business exposes us to significant potential clinical trial and product liability risks that are inherent in the development, manufacturing and sales and marketing of human therapeutic products. Although we do not currently commercialize any products, claims could be made against us based on the use of our therapeutic candidates in clinical trials. We currently carry life science liability insurance covering general liability with an annual coverage amount of $30.0 million per occurrence and product liability and clinical trials coverage with an annual coverage amount of $30.0 million each claim and in the aggregate. The maximum indemnity for a single occurrence, claim or circumstances under this insurance is $30.0 million. However, our insurance may not provide adequate coverage against potential liabilities. Furthermore, clinical trial and product liability insurance is becoming increasingly expensive. As a result, we may be unable to maintain current amounts of insurance coverage or obtain additional or sufficient insurance at a reasonable cost to protect against losses that could have a material adverse effect on us. If a claim is brought against us, we might be required to pay legal and other expenses to defend the claim, as well as damages awards beyond the coverage of our insurance policies resulting from a claim brought successfully against us. Furthermore, whether or not we are ultimately successful in defending any claims, we might be required to direct significant financial and managerial resources to such defense, and adverse publicity is likely to result.</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Significant disruptions of our information technology systems or breaches of our data security could adversely affect our business.</w:t>
      </w:r>
    </w:p>
    <w:p>
      <w:pPr>
        <w:spacing w:after="0" w:line="254" w:lineRule="exact"/>
        <w:rPr>
          <w:sz w:val="20"/>
          <w:szCs w:val="20"/>
          <w:color w:val="auto"/>
        </w:rPr>
      </w:pPr>
    </w:p>
    <w:p>
      <w:pPr>
        <w:ind w:right="40" w:firstLine="584"/>
        <w:spacing w:after="0" w:line="261" w:lineRule="auto"/>
        <w:rPr>
          <w:sz w:val="20"/>
          <w:szCs w:val="20"/>
          <w:color w:val="auto"/>
        </w:rPr>
      </w:pPr>
      <w:r>
        <w:rPr>
          <w:rFonts w:ascii="Arial" w:cs="Arial" w:eastAsia="Arial" w:hAnsi="Arial"/>
          <w:sz w:val="16"/>
          <w:szCs w:val="16"/>
          <w:color w:val="auto"/>
        </w:rPr>
        <w:t>A significant invasion, interruption, destruction or breakdown of our information technology systems and/or infrastructure by persons with authorized or unauthorized access could negatively impact our business and operations. We could also experience business interruption, information theft and/or reputational damage from cyber attacks, which may compromise our systems and lead to data leakage either internally or at our third-party providers. Our systems have been, and are expected to continue to be, the target of malware and other cyber attacks. Although we have invested in measures to reduce these risks, we cannot assure you that these measures will be successful in preventing compromise and/or disruption of our information technology systems and related data.</w:t>
      </w:r>
    </w:p>
    <w:p>
      <w:pPr>
        <w:spacing w:after="0" w:line="217"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b w:val="1"/>
          <w:bCs w:val="1"/>
          <w:i w:val="1"/>
          <w:iCs w:val="1"/>
          <w:color w:val="auto"/>
        </w:rPr>
        <w:t>We deal with hazardous materials and must comply with environmental, health and safety laws and regulations, which can be expensive and restrict how we do business.</w:t>
      </w:r>
    </w:p>
    <w:p>
      <w:pPr>
        <w:spacing w:after="0" w:line="199" w:lineRule="exact"/>
        <w:rPr>
          <w:sz w:val="20"/>
          <w:szCs w:val="20"/>
          <w:color w:val="auto"/>
        </w:rPr>
      </w:pPr>
    </w:p>
    <w:p>
      <w:pPr>
        <w:ind w:firstLine="584"/>
        <w:spacing w:after="0" w:line="304" w:lineRule="auto"/>
        <w:rPr>
          <w:sz w:val="20"/>
          <w:szCs w:val="20"/>
          <w:color w:val="auto"/>
        </w:rPr>
      </w:pPr>
      <w:r>
        <w:rPr>
          <w:rFonts w:ascii="Arial" w:cs="Arial" w:eastAsia="Arial" w:hAnsi="Arial"/>
          <w:sz w:val="14"/>
          <w:szCs w:val="14"/>
          <w:color w:val="auto"/>
        </w:rPr>
        <w:t>Our activities and those of our third-party manufacturers on our behalf involve the controlled storage, use and disposal of hazardous materials, including microbial agents, corrosive, explosive and flammable chemicals, as well as cytotoxic, biologic, radio-labeled and other hazardous compounds. We and our manufacturers are subject to U.S. federal, state, local, Israeli and other foreign laws and regulations governing the use, manufacture, storage, handling and disposal of these hazardous materials. Although we believe that our safety procedures for handling and disposing of these materials comply with the standards prescribed by these laws and regulations, we cannot eliminate the risk of accidental contamination or injury from these materials. In addition, if we develop a manufacturing capacity, we may incur substantial costs to comply with environmental regulations and would be subject to the risk of accidental contamination or injury from the use of hazardous materials in our manufacturing process.</w:t>
      </w:r>
    </w:p>
    <w:p>
      <w:pPr>
        <w:spacing w:after="0" w:line="189" w:lineRule="exact"/>
        <w:rPr>
          <w:sz w:val="20"/>
          <w:szCs w:val="20"/>
          <w:color w:val="auto"/>
        </w:rPr>
      </w:pPr>
    </w:p>
    <w:p>
      <w:pPr>
        <w:ind w:right="60" w:firstLine="584"/>
        <w:spacing w:after="0" w:line="280" w:lineRule="auto"/>
        <w:rPr>
          <w:sz w:val="20"/>
          <w:szCs w:val="20"/>
          <w:color w:val="auto"/>
        </w:rPr>
      </w:pPr>
      <w:r>
        <w:rPr>
          <w:rFonts w:ascii="Arial" w:cs="Arial" w:eastAsia="Arial" w:hAnsi="Arial"/>
          <w:sz w:val="15"/>
          <w:szCs w:val="15"/>
          <w:color w:val="auto"/>
        </w:rPr>
        <w:t>In the event of an accident, government authorities may curtail our use of these materials and interrupt our business operations. In addition, we could be liable for any civil damages that result, which may exceed our financial resources and may seriously harm our business. Although our Israeli insurance program covers certain unforeseen sudden pollutions, we do not maintain a separate insurance policy for any of the foregoing types of risks. In addition, although the general liability section of our life sciences policy covers certain unforeseen, sudden environmental issues, pollution in the United States and Canada is excluded from the policy. In the event of environmental discharge or contamination or an accident, we may be held liable for any resulting damages, and any liability could exceed our resources. In addition, we may be subject to liability and may be required to comply with new or existing environmental laws regulating pharmaceuticals or other medical products in the environment.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ind w:left="58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58" w:lineRule="exact"/>
        <w:rPr>
          <w:sz w:val="20"/>
          <w:szCs w:val="20"/>
          <w:color w:val="auto"/>
        </w:rPr>
      </w:pPr>
    </w:p>
    <w:p>
      <w:pPr>
        <w:ind w:right="720" w:firstLine="584"/>
        <w:spacing w:after="0" w:line="358" w:lineRule="auto"/>
        <w:rPr>
          <w:sz w:val="20"/>
          <w:szCs w:val="20"/>
          <w:color w:val="auto"/>
        </w:rPr>
      </w:pPr>
      <w:r>
        <w:rPr>
          <w:rFonts w:ascii="Arial" w:cs="Arial" w:eastAsia="Arial" w:hAnsi="Arial"/>
          <w:sz w:val="14"/>
          <w:szCs w:val="14"/>
          <w:b w:val="1"/>
          <w:bCs w:val="1"/>
          <w:i w:val="1"/>
          <w:iCs w:val="1"/>
          <w:color w:val="auto"/>
        </w:rPr>
        <w:t>Our access to most of the intellectual property associated with our therapeutic candidates results from in-license agreements with universities, research institutions and biotechnology companies, the termination of which would prevent us from commercializing the associated therapeutic candidates.</w:t>
      </w:r>
    </w:p>
    <w:p>
      <w:pPr>
        <w:spacing w:after="0" w:line="153" w:lineRule="exact"/>
        <w:rPr>
          <w:sz w:val="20"/>
          <w:szCs w:val="20"/>
          <w:color w:val="auto"/>
        </w:rPr>
      </w:pPr>
    </w:p>
    <w:p>
      <w:pPr>
        <w:ind w:right="80" w:firstLine="584"/>
        <w:spacing w:after="0" w:line="277" w:lineRule="auto"/>
        <w:rPr>
          <w:sz w:val="20"/>
          <w:szCs w:val="20"/>
          <w:color w:val="auto"/>
        </w:rPr>
      </w:pPr>
      <w:r>
        <w:rPr>
          <w:rFonts w:ascii="Arial" w:cs="Arial" w:eastAsia="Arial" w:hAnsi="Arial"/>
          <w:sz w:val="15"/>
          <w:szCs w:val="15"/>
          <w:color w:val="auto"/>
        </w:rPr>
        <w:t>We do not conduct our own initial research with respect to the identification of our therapeutic candidates. Instead, we rely upon research and development work conducted by third parties as the primary source of our therapeutic candidates. As such, we have obtained our rights to our therapeutic candidates through in-license agreements entered into with universities, research institutions and biotechnology companies that invent and own the intellectual property underlying our candidates. There is no assurance that such in-licenses or rights will not be terminated or expire due to a material breach of the agreements, such as a failure on our part to achieve certain progress milestones set forth in the terms of the in-licenses or due to the loss of the rights to the underlying intellectual property by any of our licensors. There is no assurance that we will be able to renew or renegotiate an in-licensing agreement on acceptable terms if and when the agreement terminates. We cannot guarantee that any in-license is enforceable or will not be terminated or converted into a non-exclusive license in the future. The termination of any in-license or our inability to enforce our rights under any in-license would materially and adversely affect our ability to commercialize certain of our therapeutic candidates.</w:t>
      </w:r>
    </w:p>
    <w:p>
      <w:pPr>
        <w:spacing w:after="0" w:line="209" w:lineRule="exact"/>
        <w:rPr>
          <w:sz w:val="20"/>
          <w:szCs w:val="20"/>
          <w:color w:val="auto"/>
        </w:rPr>
      </w:pPr>
    </w:p>
    <w:p>
      <w:pPr>
        <w:ind w:right="140" w:firstLine="584"/>
        <w:spacing w:after="0" w:line="278" w:lineRule="auto"/>
        <w:rPr>
          <w:sz w:val="20"/>
          <w:szCs w:val="20"/>
          <w:color w:val="auto"/>
        </w:rPr>
      </w:pPr>
      <w:r>
        <w:rPr>
          <w:rFonts w:ascii="Arial" w:cs="Arial" w:eastAsia="Arial" w:hAnsi="Arial"/>
          <w:sz w:val="15"/>
          <w:szCs w:val="15"/>
          <w:color w:val="auto"/>
        </w:rPr>
        <w:t>We currently have in-licensing agreements relating to our lead therapeutic candidates that are in development or being commercialized. In 2012, we in-licensed the rights to BL-8040 under a license agreement from Biokine. Under the BL-8040 license agreement, we are obligated to make commercially reasonable, good faith efforts to sublicense or commercialize BL-8040 for fair consideration. Agalimmune in-licensed rights to AGI-134 under a license from the University of Massachusetts in 2013 and under a license from Kode Biotech in 2015. Under each of those license agreements, Agalimmune is obligated to use diligent efforts or cause its affiliates and sublicensees to use diligent efforts to develop the respective licensed technology and introduce licensed products into the commercial market. In 2007, we in-licensed the rights to BL-5010 under a license agreement with IPC. Under the BL-5010 license agreement, we are obligated to use commercially reasonable efforts to develop the licensed technology in accordance with a specified development plan, including meeting certain specified diligence goals.</w:t>
      </w:r>
    </w:p>
    <w:p>
      <w:pPr>
        <w:spacing w:after="0" w:line="160" w:lineRule="exact"/>
        <w:rPr>
          <w:sz w:val="20"/>
          <w:szCs w:val="20"/>
          <w:color w:val="auto"/>
        </w:rPr>
      </w:pPr>
    </w:p>
    <w:p>
      <w:pPr>
        <w:ind w:right="180" w:firstLine="584"/>
        <w:spacing w:after="0" w:line="282" w:lineRule="auto"/>
        <w:rPr>
          <w:sz w:val="20"/>
          <w:szCs w:val="20"/>
          <w:color w:val="auto"/>
        </w:rPr>
      </w:pPr>
      <w:r>
        <w:rPr>
          <w:rFonts w:ascii="Arial" w:cs="Arial" w:eastAsia="Arial" w:hAnsi="Arial"/>
          <w:sz w:val="15"/>
          <w:szCs w:val="15"/>
          <w:color w:val="auto"/>
        </w:rPr>
        <w:t>Each of the foregoing in-licensing agreements, or the obligation to pay royalties thereunder, will generally remain in effect until the expiration, under the applicable agreement, of all the licensing, royalty and sublicense revenue obligations to the applicable licensors, determined on a product-by-product and country-by-country basis. We may terminate the BL-8040 in-licensing agreement upon 90 days prior written notice to Biokine. Agalimmune may terminate the license from University of Massachusetts relating to AGI-134 and the evaluation license and option agreement (the "Evaluation License") from Kode Biotech relating to AGI-134, each on 90 days notice. We may terminate the BL-5010 in-licensing agreement upon 30 days' prior written notice to the respective licensor.</w:t>
      </w:r>
    </w:p>
    <w:p>
      <w:pPr>
        <w:spacing w:after="0" w:line="156" w:lineRule="exact"/>
        <w:rPr>
          <w:sz w:val="20"/>
          <w:szCs w:val="20"/>
          <w:color w:val="auto"/>
        </w:rPr>
      </w:pPr>
    </w:p>
    <w:p>
      <w:pPr>
        <w:ind w:right="380" w:firstLine="584"/>
        <w:spacing w:after="0" w:line="358" w:lineRule="auto"/>
        <w:rPr>
          <w:sz w:val="20"/>
          <w:szCs w:val="20"/>
          <w:color w:val="auto"/>
        </w:rPr>
      </w:pPr>
      <w:r>
        <w:rPr>
          <w:rFonts w:ascii="Arial" w:cs="Arial" w:eastAsia="Arial" w:hAnsi="Arial"/>
          <w:sz w:val="14"/>
          <w:szCs w:val="14"/>
          <w:color w:val="auto"/>
        </w:rPr>
        <w:t>Any party to any of the foregoing in-licensing agreements may terminate the respective agreement for material breach by the other party if the breaching party is unable to cure the breach within an agreed upon period, generally 30 days to 90 days, after receiving written notice of the breach from the non-breaching party.</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Patent protection for our products is important and uncertain.</w:t>
      </w:r>
    </w:p>
    <w:p>
      <w:pPr>
        <w:spacing w:after="0" w:line="254" w:lineRule="exact"/>
        <w:rPr>
          <w:sz w:val="20"/>
          <w:szCs w:val="20"/>
          <w:color w:val="auto"/>
        </w:rPr>
      </w:pPr>
    </w:p>
    <w:p>
      <w:pPr>
        <w:jc w:val="both"/>
        <w:ind w:right="420" w:firstLine="584"/>
        <w:spacing w:after="0" w:line="358" w:lineRule="auto"/>
        <w:rPr>
          <w:sz w:val="20"/>
          <w:szCs w:val="20"/>
          <w:color w:val="auto"/>
        </w:rPr>
      </w:pPr>
      <w:r>
        <w:rPr>
          <w:rFonts w:ascii="Arial" w:cs="Arial" w:eastAsia="Arial" w:hAnsi="Arial"/>
          <w:sz w:val="14"/>
          <w:szCs w:val="14"/>
          <w:color w:val="auto"/>
        </w:rPr>
        <w:t>Our success depends, in part, on our ability, and the ability of our licensees and licensors to obtain patent protection for our therapeutic candidates, maintain the confidentiality of our trade secrets and know how, operate without infringing on the proprietary rights of others and prevent others from infringing our proprietary rights.</w:t>
      </w:r>
    </w:p>
    <w:p>
      <w:pPr>
        <w:spacing w:after="0" w:line="153" w:lineRule="exact"/>
        <w:rPr>
          <w:sz w:val="20"/>
          <w:szCs w:val="20"/>
          <w:color w:val="auto"/>
        </w:rPr>
      </w:pPr>
    </w:p>
    <w:p>
      <w:pPr>
        <w:ind w:firstLine="584"/>
        <w:spacing w:after="0" w:line="286" w:lineRule="auto"/>
        <w:rPr>
          <w:sz w:val="20"/>
          <w:szCs w:val="20"/>
          <w:color w:val="auto"/>
        </w:rPr>
      </w:pPr>
      <w:r>
        <w:rPr>
          <w:rFonts w:ascii="Arial" w:cs="Arial" w:eastAsia="Arial" w:hAnsi="Arial"/>
          <w:sz w:val="15"/>
          <w:szCs w:val="15"/>
          <w:color w:val="auto"/>
        </w:rPr>
        <w:t>We try to protect our proprietary position by, among other things, filing U.S., European, Israeli and other patent applications related to our proprietary products, technologies, inventions and improvements that may be important to the continuing development of our therapeutic candidates. As of March 20, 2017, we owned or exclusively licensed for uses within our field of business 26 patent families that collectively contain over 54 issued patents, one allowed patent application and over 61 pending patent applications relating to our main therapeutic candidates. We are also pursuing patent protection for other drug candidates in our pipeline.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8" w:name="page19"/>
    <w:bookmarkEnd w:id="18"/>
    <w:p>
      <w:pPr>
        <w:ind w:right="40" w:firstLine="584"/>
        <w:spacing w:after="0" w:line="259" w:lineRule="auto"/>
        <w:rPr>
          <w:sz w:val="20"/>
          <w:szCs w:val="20"/>
          <w:color w:val="auto"/>
        </w:rPr>
      </w:pPr>
      <w:r>
        <w:rPr>
          <w:rFonts w:ascii="Arial" w:cs="Arial" w:eastAsia="Arial" w:hAnsi="Arial"/>
          <w:sz w:val="16"/>
          <w:szCs w:val="16"/>
          <w:color w:val="auto"/>
        </w:rPr>
        <w:t>Because the patent position of biopharmaceutical companies involves complex legal and factual questions, we cannot predict the validity and enforceability of patents with certainty. Our issued patents and the issued patents of our licensees or licensors may not provide us with any competitive advantages, or may be held invalid or unenforceable as a result of legal challenges by third parties. Thus, any patents that we own or license from others may not provide any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against competitors with similar technology. The degree of future protection to be afforded by our proprietary rights is uncertain because legal means afford only limited protection and may not adequately protect our rights or permit us to gain or keep our competitive advantage.</w:t>
      </w:r>
    </w:p>
    <w:p>
      <w:pPr>
        <w:spacing w:after="0" w:line="217" w:lineRule="exact"/>
        <w:rPr>
          <w:sz w:val="20"/>
          <w:szCs w:val="20"/>
          <w:color w:val="auto"/>
        </w:rPr>
      </w:pPr>
    </w:p>
    <w:p>
      <w:pPr>
        <w:ind w:right="100" w:firstLine="584"/>
        <w:spacing w:after="0" w:line="260" w:lineRule="auto"/>
        <w:rPr>
          <w:sz w:val="20"/>
          <w:szCs w:val="20"/>
          <w:color w:val="auto"/>
        </w:rPr>
      </w:pPr>
      <w:r>
        <w:rPr>
          <w:rFonts w:ascii="Arial" w:cs="Arial" w:eastAsia="Arial" w:hAnsi="Arial"/>
          <w:sz w:val="16"/>
          <w:szCs w:val="16"/>
          <w:color w:val="auto"/>
        </w:rPr>
        <w:t>Patent rights are territorial; thus, the patent protection we do have will only extend to those countries in which we have issued patents. Even so, the laws of certain countries do not protect our intellectual property rights to the same extent as do the laws of the United States and Israel. For example, the patent laws of China and India are relatively new and are not as developed as are older, more established patent laws of other countries. Competitors may successfully challenge our patents, produce similar drugs or products that do not infringe our patents, or produce drugs in countries where we have not applied for patent protection or that do not respect our patents. Furthermore, it is not possible to know the scope of claims that will be allowed in published applications and it is also not possible to know which claims of granted patents, if any, will be deemed enforceable in a court of law.</w:t>
      </w:r>
    </w:p>
    <w:p>
      <w:pPr>
        <w:spacing w:after="0" w:line="217" w:lineRule="exact"/>
        <w:rPr>
          <w:sz w:val="20"/>
          <w:szCs w:val="20"/>
          <w:color w:val="auto"/>
        </w:rPr>
      </w:pPr>
    </w:p>
    <w:p>
      <w:pPr>
        <w:ind w:right="80" w:firstLine="584"/>
        <w:spacing w:after="0" w:line="294" w:lineRule="auto"/>
        <w:rPr>
          <w:sz w:val="20"/>
          <w:szCs w:val="20"/>
          <w:color w:val="auto"/>
        </w:rPr>
      </w:pPr>
      <w:r>
        <w:rPr>
          <w:rFonts w:ascii="Arial" w:cs="Arial" w:eastAsia="Arial" w:hAnsi="Arial"/>
          <w:sz w:val="15"/>
          <w:szCs w:val="15"/>
          <w:color w:val="auto"/>
        </w:rPr>
        <w:t>Our technology may infringe the rights of third parties. The nature of claims contained in unpublished patent filings around the world is unknown to us and it is not possible to know which countries patent holders may choose for the extension of their filings under the Patent Cooperation Treaty, or other mechanisms. Any infringement by us of the proprietary rights of third parties may have a material adverse effect on our business, financial condition and results of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or know-how, such proprietary information may be used by others to compete against us.</w:t>
      </w:r>
    </w:p>
    <w:p>
      <w:pPr>
        <w:spacing w:after="0" w:line="266" w:lineRule="exact"/>
        <w:rPr>
          <w:sz w:val="20"/>
          <w:szCs w:val="20"/>
          <w:color w:val="auto"/>
        </w:rPr>
      </w:pPr>
    </w:p>
    <w:p>
      <w:pPr>
        <w:ind w:firstLine="584"/>
        <w:spacing w:after="0" w:line="301" w:lineRule="auto"/>
        <w:rPr>
          <w:sz w:val="20"/>
          <w:szCs w:val="20"/>
          <w:color w:val="auto"/>
        </w:rPr>
      </w:pPr>
      <w:r>
        <w:rPr>
          <w:rFonts w:ascii="Arial" w:cs="Arial" w:eastAsia="Arial" w:hAnsi="Arial"/>
          <w:sz w:val="14"/>
          <w:szCs w:val="14"/>
          <w:color w:val="auto"/>
        </w:rPr>
        <w:t>We rely on a combination of patents, trade secrets, know-how, technology, trademarks and regulatory exclusivity to maintain our competitive position. We generally try to protect trade secrets, know-how and technology by entering into confidentiality or non-disclosure agreements with parties that have access to it, such as our licensees, employees, contractors and consultants. We also enter into agreements that purport to require the disclosure and assignment to us of the rights to the ideas, developments, discoveries and inventions of our employees, advisors, research collaborators, contractors and consultants while we employ or engage them. However, these agreements can be difficult and costly to enforce or may not provide adequate remedies. Any of these parties may breach the confidentiality agreements and willfully or unintentionally disclose our confidential information, or our competitors might learn of the information in some other way. The disclosure to, or independent development by, a competitor of any trade secret, know-how or other technology not protected by a patent could materially adversely affect any competitive advantage we may have over any such competitor.</w:t>
      </w:r>
    </w:p>
    <w:p>
      <w:pPr>
        <w:spacing w:after="0" w:line="194" w:lineRule="exact"/>
        <w:rPr>
          <w:sz w:val="20"/>
          <w:szCs w:val="20"/>
          <w:color w:val="auto"/>
        </w:rPr>
      </w:pPr>
    </w:p>
    <w:p>
      <w:pPr>
        <w:ind w:right="340" w:firstLine="584"/>
        <w:spacing w:after="0" w:line="294" w:lineRule="auto"/>
        <w:rPr>
          <w:sz w:val="20"/>
          <w:szCs w:val="20"/>
          <w:color w:val="auto"/>
        </w:rPr>
      </w:pPr>
      <w:r>
        <w:rPr>
          <w:rFonts w:ascii="Arial" w:cs="Arial" w:eastAsia="Arial" w:hAnsi="Arial"/>
          <w:sz w:val="15"/>
          <w:szCs w:val="15"/>
          <w:color w:val="auto"/>
        </w:rPr>
        <w:t>To the extent that any of our employees, advisors, research collaborators, contractors or consultants independently develop, or use independently developed, intellectual property in connection with any of our projects, disputes may arise as to the proprietary rights to this type of information. If a dispute arises with respect to any proprietary right, enforcement of our rights can be costly and unpredictable and a court may determine that the right belongs to a third party.</w:t>
      </w:r>
    </w:p>
    <w:p>
      <w:pPr>
        <w:spacing w:after="0" w:line="194" w:lineRule="exact"/>
        <w:rPr>
          <w:sz w:val="20"/>
          <w:szCs w:val="20"/>
          <w:color w:val="auto"/>
        </w:rPr>
      </w:pPr>
    </w:p>
    <w:p>
      <w:pPr>
        <w:ind w:right="400" w:firstLine="584"/>
        <w:spacing w:after="0" w:line="283" w:lineRule="auto"/>
        <w:rPr>
          <w:sz w:val="20"/>
          <w:szCs w:val="20"/>
          <w:color w:val="auto"/>
        </w:rPr>
      </w:pPr>
      <w:r>
        <w:rPr>
          <w:rFonts w:ascii="Arial" w:cs="Arial" w:eastAsia="Arial" w:hAnsi="Arial"/>
          <w:sz w:val="16"/>
          <w:szCs w:val="16"/>
          <w:b w:val="1"/>
          <w:bCs w:val="1"/>
          <w:i w:val="1"/>
          <w:iCs w:val="1"/>
          <w:color w:val="auto"/>
        </w:rPr>
        <w:t>Legal proceedings or third-party claims of intellectual property infringement may require us to spend substantial time and money and could prevent us from developing or commercializing products.</w:t>
      </w:r>
    </w:p>
    <w:p>
      <w:pPr>
        <w:spacing w:after="0" w:line="199" w:lineRule="exact"/>
        <w:rPr>
          <w:sz w:val="20"/>
          <w:szCs w:val="20"/>
          <w:color w:val="auto"/>
        </w:rPr>
      </w:pPr>
    </w:p>
    <w:p>
      <w:pPr>
        <w:ind w:right="60" w:firstLine="584"/>
        <w:spacing w:after="0" w:line="259" w:lineRule="auto"/>
        <w:rPr>
          <w:sz w:val="20"/>
          <w:szCs w:val="20"/>
          <w:color w:val="auto"/>
        </w:rPr>
      </w:pPr>
      <w:r>
        <w:rPr>
          <w:rFonts w:ascii="Arial" w:cs="Arial" w:eastAsia="Arial" w:hAnsi="Arial"/>
          <w:sz w:val="16"/>
          <w:szCs w:val="16"/>
          <w:color w:val="auto"/>
        </w:rPr>
        <w:t>The development, manufacture, use, offer for sale, sale or importation of our therapeutic candidates may infringe on the claims of third-party patents. A party might file an infringement action against us. The cost to us of any patent litigation or other proceeding, even if resolved in our favor, could be substantial. Some of our competitors may be able to sustain the costs of such litigation or proceedings more effectively because of their substantially greater financial resources. Uncertainties resulting from the initiation and continuation or defense of a patent litigation or other proceedings could have a material adverse effect on our ability to compete in the marketplace. Patent litigation and other proceedings may also absorb significant management time. Consequently, we are unable to guarantee that we will be able to manufacture, use, offer for sale, sell or import our therapeutic candidates in the event of an infringement action. At present, we are not aware of pending or threatened patent infringement actions against us.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ind w:firstLine="584"/>
        <w:spacing w:after="0" w:line="280" w:lineRule="auto"/>
        <w:rPr>
          <w:sz w:val="20"/>
          <w:szCs w:val="20"/>
          <w:color w:val="auto"/>
        </w:rPr>
      </w:pPr>
      <w:r>
        <w:rPr>
          <w:rFonts w:ascii="Arial" w:cs="Arial" w:eastAsia="Arial" w:hAnsi="Arial"/>
          <w:sz w:val="15"/>
          <w:szCs w:val="15"/>
          <w:color w:val="auto"/>
        </w:rPr>
        <w:t>In the event of patent infringement claims, or to avoid potential claims, we may choose or be required to seek a license from a third party and would most likely be required to pay license fees or royalties or both. These licenses may not be available on acceptable terms, or at all. Even if we were able to obtain a license, the rights may be non-exclusive, which could potentially limit our competitive advantage. Ultimately, we could be prevented from commercializing a therapeutic candidate or be forced to cease some aspect of our business operations if, as a result of actual or threatened patent infringement claims, we are unable to enter into licenses on acceptable terms. This inability to enter into licenses could harm our business significantly. At present, we have not received any written demands from third parties that we take a license under their patents nor have we received any notice form a third party accusing us of patent infringement.</w:t>
      </w:r>
    </w:p>
    <w:p>
      <w:pPr>
        <w:spacing w:after="0" w:line="205" w:lineRule="exact"/>
        <w:rPr>
          <w:sz w:val="20"/>
          <w:szCs w:val="20"/>
          <w:color w:val="auto"/>
        </w:rPr>
      </w:pPr>
    </w:p>
    <w:p>
      <w:pPr>
        <w:ind w:right="260" w:firstLine="584"/>
        <w:spacing w:after="0" w:line="263" w:lineRule="auto"/>
        <w:rPr>
          <w:sz w:val="20"/>
          <w:szCs w:val="20"/>
          <w:color w:val="auto"/>
        </w:rPr>
      </w:pPr>
      <w:r>
        <w:rPr>
          <w:rFonts w:ascii="Arial" w:cs="Arial" w:eastAsia="Arial" w:hAnsi="Arial"/>
          <w:sz w:val="16"/>
          <w:szCs w:val="16"/>
          <w:color w:val="auto"/>
        </w:rPr>
        <w:t>Our license agreements with our licensees contain, and any contract that we enter into with licensees in the future will likely contain, indemnity provisions that obligate us to indemnify the licensee against any losses arising from infringement of third party intellectual property rights. In addition, our in-license agreements contain provisions that obligate us to indemnify the licensors against any damages arising from the development, manufacture and use of products developed on the basis of the in-licensed intellectual property.</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We may be subject to other patent-related litigation or proceedings that could be costly to defend and uncertain in their outcome.</w:t>
      </w:r>
    </w:p>
    <w:p>
      <w:pPr>
        <w:spacing w:after="0" w:line="254" w:lineRule="exact"/>
        <w:rPr>
          <w:sz w:val="20"/>
          <w:szCs w:val="20"/>
          <w:color w:val="auto"/>
        </w:rPr>
      </w:pPr>
    </w:p>
    <w:p>
      <w:pPr>
        <w:ind w:right="80" w:firstLine="584"/>
        <w:spacing w:after="0" w:line="261" w:lineRule="auto"/>
        <w:rPr>
          <w:sz w:val="20"/>
          <w:szCs w:val="20"/>
          <w:color w:val="auto"/>
        </w:rPr>
      </w:pPr>
      <w:r>
        <w:rPr>
          <w:rFonts w:ascii="Arial" w:cs="Arial" w:eastAsia="Arial" w:hAnsi="Arial"/>
          <w:sz w:val="16"/>
          <w:szCs w:val="16"/>
          <w:color w:val="auto"/>
        </w:rPr>
        <w:t>In addition to infringement claims against us, we may in the future become a party to other patent litigation or proceedings, including interference or re- examination proceedings filed with the U.S. Patent and Trademark Office or opposition proceedings in other foreign patent offices regarding intellectual property rights with respect to our products and technology, as well as other disputes regarding intellectual property rights with licensees, licensors or others with whom we have contractual or other business relationships. Post-issuance oppositions are not uncommon and we, our licensee or our licensor will be required to defend these opposition procedures as a matter of course. Opposition procedures may be costly, and there is a risk that we may not prevail.</w:t>
      </w:r>
    </w:p>
    <w:p>
      <w:pPr>
        <w:spacing w:after="0" w:line="217" w:lineRule="exact"/>
        <w:rPr>
          <w:sz w:val="20"/>
          <w:szCs w:val="20"/>
          <w:color w:val="auto"/>
        </w:rPr>
      </w:pPr>
    </w:p>
    <w:p>
      <w:pPr>
        <w:ind w:right="380" w:firstLine="584"/>
        <w:spacing w:after="0" w:line="283"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or our employees or contractors have wrongfully used or disclosed alleged trade secrets of their former employers.</w:t>
      </w:r>
    </w:p>
    <w:p>
      <w:pPr>
        <w:spacing w:after="0" w:line="199" w:lineRule="exact"/>
        <w:rPr>
          <w:sz w:val="20"/>
          <w:szCs w:val="20"/>
          <w:color w:val="auto"/>
        </w:rPr>
      </w:pPr>
    </w:p>
    <w:p>
      <w:pPr>
        <w:ind w:right="20" w:firstLine="584"/>
        <w:spacing w:after="0" w:line="280" w:lineRule="auto"/>
        <w:rPr>
          <w:sz w:val="20"/>
          <w:szCs w:val="20"/>
          <w:color w:val="auto"/>
        </w:rPr>
      </w:pPr>
      <w:r>
        <w:rPr>
          <w:rFonts w:ascii="Arial" w:cs="Arial" w:eastAsia="Arial" w:hAnsi="Arial"/>
          <w:sz w:val="15"/>
          <w:szCs w:val="15"/>
          <w:color w:val="auto"/>
        </w:rPr>
        <w:t>Many of our employees and contractors were previously employed at universities or other biotechnology or pharmaceutical companies, including our competitors or potential competitors. Although no claims against us are currently pending, we may be subject to claims that we or any employee or contractor has inadvertently or otherwise used or disclosed trade secrets or other proprietary information of his or her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therapeutic candidates, which could severely harm our business, financial condition and results of operations. Even if we are successful in defending against these claims, litigation could result in substantial costs and be a distraction to management.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 w:name="page21"/>
    <w:bookmarkEnd w:id="20"/>
    <w:p>
      <w:pPr>
        <w:ind w:left="580"/>
        <w:spacing w:after="0"/>
        <w:rPr>
          <w:sz w:val="20"/>
          <w:szCs w:val="20"/>
          <w:color w:val="auto"/>
        </w:rPr>
      </w:pPr>
      <w:r>
        <w:rPr>
          <w:rFonts w:ascii="Arial" w:cs="Arial" w:eastAsia="Arial" w:hAnsi="Arial"/>
          <w:sz w:val="16"/>
          <w:szCs w:val="16"/>
          <w:b w:val="1"/>
          <w:bCs w:val="1"/>
          <w:color w:val="auto"/>
        </w:rPr>
        <w:t>Risks Related to our Ordinary Shares and ADSs</w:t>
      </w:r>
    </w:p>
    <w:p>
      <w:pPr>
        <w:spacing w:after="0" w:line="210" w:lineRule="exact"/>
        <w:rPr>
          <w:sz w:val="20"/>
          <w:szCs w:val="20"/>
          <w:color w:val="auto"/>
        </w:rPr>
      </w:pPr>
    </w:p>
    <w:p>
      <w:pPr>
        <w:ind w:right="540" w:firstLine="584"/>
        <w:spacing w:after="0" w:line="358" w:lineRule="auto"/>
        <w:rPr>
          <w:sz w:val="20"/>
          <w:szCs w:val="20"/>
          <w:color w:val="auto"/>
        </w:rPr>
      </w:pPr>
      <w:r>
        <w:rPr>
          <w:rFonts w:ascii="Arial" w:cs="Arial" w:eastAsia="Arial" w:hAnsi="Arial"/>
          <w:sz w:val="14"/>
          <w:szCs w:val="14"/>
          <w:b w:val="1"/>
          <w:bCs w:val="1"/>
          <w:i w:val="1"/>
          <w:iCs w:val="1"/>
          <w:color w:val="auto"/>
        </w:rPr>
        <w:t>We may be a passive foreign investment company, or PFIC, for U.S. federal income tax purposes for our taxable year ending December 31, 2017 or in any subsequent year. There may be negative tax consequences for U.S. taxpayers that are holders of our ordinary shares or our ADSs if we are a PFIC.</w:t>
      </w:r>
    </w:p>
    <w:p>
      <w:pPr>
        <w:spacing w:after="0" w:line="104" w:lineRule="exact"/>
        <w:rPr>
          <w:sz w:val="20"/>
          <w:szCs w:val="20"/>
          <w:color w:val="auto"/>
        </w:rPr>
      </w:pPr>
    </w:p>
    <w:p>
      <w:pPr>
        <w:ind w:firstLine="584"/>
        <w:spacing w:after="0" w:line="273" w:lineRule="auto"/>
        <w:rPr>
          <w:sz w:val="20"/>
          <w:szCs w:val="20"/>
          <w:color w:val="auto"/>
        </w:rPr>
      </w:pPr>
      <w:r>
        <w:rPr>
          <w:rFonts w:ascii="Arial" w:cs="Arial" w:eastAsia="Arial" w:hAnsi="Arial"/>
          <w:sz w:val="15"/>
          <w:szCs w:val="15"/>
          <w:color w:val="auto"/>
        </w:rPr>
        <w:t>We will be treated as a PFIC for U.S. federal income tax purposes in any taxable year in which either (i) at least 75% of our gross income is "passive income" or (ii)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believe that we were a PFIC during certain prior taxable years and, although we have not determined whether we will be a PFIC for our taxable year ending December 31, 2017, or in any subsequent year, our operating results for any such years may cause us to be a PFIC. If we are a PFIC for our taxable year ending December 31, 2017, or any subsequent year, and a U.S. Investor (as defined below) does not make an election to treat us as a "qualified electing fund," or QEF, or make a "mark-to-market" election, then "excess distributions" to a U.S. Investor, and any gain realized on the sale or other disposition of our ordinary shares or ADSs will be subject to special rules. Under these rules: (i) the excess distribution or gain would be allocated ratably over the U.S. Investor's holding period for the ordinary shares (or ADSs, as the case may be); (ii) the amount allocated to the current taxable year and any period prior to the first day of the first taxable year in which we were a PFIC would be taxed as ordinary income; and (iii)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Investor to make a timely QEF or mark-to-market election. U.S. Investors who hold our ordinary shares or ADSs during a period when we are a PFIC will be subject to the foregoing rules, even if we cease to be a PFIC in subsequent years, subject to exceptions for U.S. Investors who made a timely QEF or mark-to-market election. A U.S. Investor can make a QEF election by completing the relevant portions of and filing IRS Form 8621 in accordance with the instructions thereto. A QEF election generally may not be revoked without the consent of the IRS. Upon request, we will annually furnish U.S. Investors with information needed in order to complete IRS Form 8621 (which form would be required to be filed with the IRS on an annual basis by the U.S. Investor) and to make and maintain a valid QEF election for any year in which we or any of our subsidiaries are a PFIC.</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The market prices of our ordinary shares and ADSs are subject to fluctuation, which could result in substantial losses by our investors.</w:t>
      </w:r>
    </w:p>
    <w:p>
      <w:pPr>
        <w:spacing w:after="0" w:line="254" w:lineRule="exact"/>
        <w:rPr>
          <w:sz w:val="20"/>
          <w:szCs w:val="20"/>
          <w:color w:val="auto"/>
        </w:rPr>
      </w:pPr>
    </w:p>
    <w:p>
      <w:pPr>
        <w:ind w:right="140" w:firstLine="584"/>
        <w:spacing w:after="0" w:line="268" w:lineRule="auto"/>
        <w:rPr>
          <w:sz w:val="20"/>
          <w:szCs w:val="20"/>
          <w:color w:val="auto"/>
        </w:rPr>
      </w:pPr>
      <w:r>
        <w:rPr>
          <w:rFonts w:ascii="Arial" w:cs="Arial" w:eastAsia="Arial" w:hAnsi="Arial"/>
          <w:sz w:val="16"/>
          <w:szCs w:val="16"/>
          <w:color w:val="auto"/>
        </w:rPr>
        <w:t>The stock market in general and the market prices of our ordinary shares on the TASE and ADSs on the Nasdaq, in particular, are subject to fluctuation, and changes in these prices may be unrelated to our operating performance. We expect that the market prices of our ordinary shares and ADSs will continue to be subject to wide fluctuations. The market price of our ordinary shares and ADSs are and will be subject to a number of factors, including:</w:t>
      </w:r>
    </w:p>
    <w:p>
      <w:pPr>
        <w:spacing w:after="0" w:line="212" w:lineRule="exact"/>
        <w:rPr>
          <w:sz w:val="20"/>
          <w:szCs w:val="20"/>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products by us or others;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announcements by us of significant acquisitions, strategic partnerships, in-licensing, out-licensing, joint ventures or capital commitments;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expiration or terminations of licenses, research contracts or other collaboration agreements;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public concern as to the safety of drugs we, our licensees or others develop;</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general market conditions;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volatility of market prices for shares of biotechnology companies generally;</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success of research and development projects;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departure of key personnel;</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developments concerning intellectual property rights or regulatory approvals;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variations in our and our competitors’ results of operations;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earnings estimates or recommendations by securities analysts, if our ordinary shares or ADSs are covered by analysts;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statements about the Company made in the financial media or by bloggers on the Internet;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1" w:name="page22"/>
    <w:bookmarkEnd w:id="21"/>
    <w:p>
      <w:pPr>
        <w:ind w:left="1160" w:hanging="578"/>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government regulations or patent decisions;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developments by our licensees;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market conditions and other factors, including factors unrelated to our operating performance.</w:t>
      </w:r>
    </w:p>
    <w:p>
      <w:pPr>
        <w:spacing w:after="0" w:line="254" w:lineRule="exact"/>
        <w:rPr>
          <w:sz w:val="20"/>
          <w:szCs w:val="20"/>
          <w:color w:val="auto"/>
        </w:rPr>
      </w:pPr>
    </w:p>
    <w:p>
      <w:pPr>
        <w:ind w:right="140" w:firstLine="584"/>
        <w:spacing w:after="0" w:line="283" w:lineRule="auto"/>
        <w:rPr>
          <w:sz w:val="20"/>
          <w:szCs w:val="20"/>
          <w:color w:val="auto"/>
        </w:rPr>
      </w:pPr>
      <w:r>
        <w:rPr>
          <w:rFonts w:ascii="Arial" w:cs="Arial" w:eastAsia="Arial" w:hAnsi="Arial"/>
          <w:sz w:val="16"/>
          <w:szCs w:val="16"/>
          <w:color w:val="auto"/>
        </w:rPr>
        <w:t>These factors and any corresponding price fluctuations may materially and adversely affect the market price of our ordinary shares and result in substantial losses by our investors.</w:t>
      </w:r>
    </w:p>
    <w:p>
      <w:pPr>
        <w:spacing w:after="0" w:line="199"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Additionally, market prices for securities of biotechnology and pharmaceutical companies historically have been very volatile. The market for these securities has from time to time experienced significant price and volume fluctuations for reasons unrelated to the operating performance of any one company. In the past, following periods of market volatility, shareholders have often instituted securities class action litigation. If we were involved in securities litigation, it could have a substantial cost and divert resources and attention of management from our business, even if we are successful.</w:t>
      </w:r>
    </w:p>
    <w:p>
      <w:pPr>
        <w:spacing w:after="0" w:line="216" w:lineRule="exact"/>
        <w:rPr>
          <w:sz w:val="20"/>
          <w:szCs w:val="20"/>
          <w:color w:val="auto"/>
        </w:rPr>
      </w:pPr>
    </w:p>
    <w:p>
      <w:pPr>
        <w:ind w:right="60" w:firstLine="584"/>
        <w:spacing w:after="0" w:line="286" w:lineRule="auto"/>
        <w:rPr>
          <w:sz w:val="20"/>
          <w:szCs w:val="20"/>
          <w:color w:val="auto"/>
        </w:rPr>
      </w:pPr>
      <w:r>
        <w:rPr>
          <w:rFonts w:ascii="Arial" w:cs="Arial" w:eastAsia="Arial" w:hAnsi="Arial"/>
          <w:sz w:val="15"/>
          <w:szCs w:val="15"/>
          <w:color w:val="auto"/>
        </w:rPr>
        <w:t>Our ordinary shares are traded on the TASE and our ADSs are listed on the Nasdaq. Trading in our securities on these markets takes place in different currencies (dollars on the Nasdaq and NIS on the TASE), and at different times (resulting from different time zones, different trading days and different public holidays in the United States and Israel). The trading prices of our securities on these two markets may differ due to these factors, the factors listed above, or other factors. Any decrease in the price of our securities on one of these markets could cause a decrease in the trading price of our securities on the other market.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Future sales of our ordinary shares or ADSs could reduce the market price of our ordinary shares and ADSs.</w:t>
      </w:r>
    </w:p>
    <w:p>
      <w:pPr>
        <w:spacing w:after="0" w:line="254" w:lineRule="exact"/>
        <w:rPr>
          <w:sz w:val="20"/>
          <w:szCs w:val="20"/>
          <w:color w:val="auto"/>
        </w:rPr>
      </w:pPr>
    </w:p>
    <w:p>
      <w:pPr>
        <w:ind w:right="140" w:firstLine="584"/>
        <w:spacing w:after="0" w:line="268" w:lineRule="auto"/>
        <w:rPr>
          <w:sz w:val="20"/>
          <w:szCs w:val="20"/>
          <w:color w:val="auto"/>
        </w:rPr>
      </w:pPr>
      <w:r>
        <w:rPr>
          <w:rFonts w:ascii="Arial" w:cs="Arial" w:eastAsia="Arial" w:hAnsi="Arial"/>
          <w:sz w:val="16"/>
          <w:szCs w:val="16"/>
          <w:color w:val="auto"/>
        </w:rPr>
        <w:t>Substantial sales of our ordinary shares or ADSs, either on the TASE or on the Nasdaq, may cause the market price of our ordinary shares or ADSs to decline. Sales by us or our securityholders of substantial amounts of our ordinary shares or ADSs, or the perception that these sales may occur in the future, could cause a reduction in the market price of our ordinary shares or ADSs.</w:t>
      </w:r>
    </w:p>
    <w:p>
      <w:pPr>
        <w:spacing w:after="0" w:line="212" w:lineRule="exact"/>
        <w:rPr>
          <w:sz w:val="20"/>
          <w:szCs w:val="20"/>
          <w:color w:val="auto"/>
        </w:rPr>
      </w:pPr>
    </w:p>
    <w:p>
      <w:pPr>
        <w:jc w:val="both"/>
        <w:ind w:right="60" w:firstLine="584"/>
        <w:spacing w:after="0" w:line="268" w:lineRule="auto"/>
        <w:rPr>
          <w:sz w:val="20"/>
          <w:szCs w:val="20"/>
          <w:color w:val="auto"/>
        </w:rPr>
      </w:pPr>
      <w:r>
        <w:rPr>
          <w:rFonts w:ascii="Arial" w:cs="Arial" w:eastAsia="Arial" w:hAnsi="Arial"/>
          <w:sz w:val="16"/>
          <w:szCs w:val="16"/>
          <w:color w:val="auto"/>
        </w:rPr>
        <w:t>As a result of previous financings, we have warrants outstanding for the purchase of 1.6 million ADSs at an exercise price of $3.94 per ADS. In addition, as of March 20, 2017 we have stock options granted to directors, employees and consultants for the purchase of 6.9 million ordinary shares with a weighted average exercise price of $1.60 per ordinary share.</w:t>
      </w:r>
    </w:p>
    <w:p>
      <w:pPr>
        <w:spacing w:after="0" w:line="163"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In May 2014, we entered into a purchase agreement with Lincoln Park Capital Fund, LLC, or LPC, for the sale, from time to time, of up to $20 million of our ADSs to LPC. During the 36-month term of this purchase agreement, we control the timing and amount of any sales to LPC, if and when we decide, in accordance with the agreement. LPC has no right to require us to sell any ADSs to LPC, but LPC is obligated to make purchases as we direct, subject to certain conditions. The purchase price related to any sales to LPC is based on the prevailing market prices of our ADSs immediately preceding the notice of sale to LPC, without any fixed discount. The agreement may be terminated by us at any time, at our sole discretion, without any cost or penalty. As of March 20, 2017, we have sold approximately 5.6 million ADSs to LPC under the purchase agreement.</w:t>
      </w:r>
    </w:p>
    <w:p>
      <w:pPr>
        <w:spacing w:after="0" w:line="168"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color w:val="auto"/>
        </w:rPr>
        <w:t>The issuance of any additional ordinary shares, any additional ADSs, or any securities that are exercisable for or convertible into our ordinary shares or ADSs, may have an adverse effect on the market price of our ordinary shares and ADSs and will have a dilutive effect on our shareholders.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Raising additional capital by issuing securities may cause dilution to existing shareholders.</w:t>
      </w:r>
    </w:p>
    <w:p>
      <w:pPr>
        <w:spacing w:after="0" w:line="254" w:lineRule="exact"/>
        <w:rPr>
          <w:sz w:val="20"/>
          <w:szCs w:val="20"/>
          <w:color w:val="auto"/>
        </w:rPr>
      </w:pPr>
    </w:p>
    <w:p>
      <w:pPr>
        <w:jc w:val="both"/>
        <w:ind w:right="460" w:firstLine="584"/>
        <w:spacing w:after="0" w:line="268" w:lineRule="auto"/>
        <w:rPr>
          <w:sz w:val="20"/>
          <w:szCs w:val="20"/>
          <w:color w:val="auto"/>
        </w:rPr>
      </w:pPr>
      <w:r>
        <w:rPr>
          <w:rFonts w:ascii="Arial" w:cs="Arial" w:eastAsia="Arial" w:hAnsi="Arial"/>
          <w:sz w:val="16"/>
          <w:szCs w:val="16"/>
          <w:color w:val="auto"/>
        </w:rPr>
        <w:t>We may need to raise substantial future capital to continue to complete clinical development and commercialize our products and therapeutic candidates and to conduct the research and development and clinical and regulatory activities necessary to bring our therapeutic candidates to market. Our future capital requirements will depend on many factors, including:</w:t>
      </w:r>
    </w:p>
    <w:p>
      <w:pPr>
        <w:spacing w:after="0" w:line="212" w:lineRule="exact"/>
        <w:rPr>
          <w:sz w:val="20"/>
          <w:szCs w:val="20"/>
          <w:color w:val="auto"/>
        </w:rPr>
      </w:pPr>
    </w:p>
    <w:p>
      <w:pPr>
        <w:ind w:left="1160" w:hanging="578"/>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failure to obtain regulatory approval or achieve commercial success of our therapeutic candidates;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success in effecting out-licensing arrangements with third-parties;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ind w:left="1160" w:right="280" w:hanging="578"/>
        <w:spacing w:after="0" w:line="283"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collaboration with Novartis and the extent that upfront licensing fees and program development costs would be covered by the option fees and equity investments paid by Novartis under this collaboration;</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success in establishing other out-licensing or co-development arrangements;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success of our licensees in selling products that utilize our technologies;</w:t>
      </w:r>
    </w:p>
    <w:p>
      <w:pPr>
        <w:spacing w:after="0" w:line="254" w:lineRule="exact"/>
        <w:rPr>
          <w:rFonts w:ascii="Arial" w:cs="Arial" w:eastAsia="Arial" w:hAnsi="Arial"/>
          <w:sz w:val="16"/>
          <w:szCs w:val="16"/>
          <w:color w:val="auto"/>
        </w:rPr>
      </w:pPr>
    </w:p>
    <w:p>
      <w:pPr>
        <w:ind w:left="1160" w:right="160" w:hanging="578"/>
        <w:spacing w:after="0" w:line="283"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results of our preclinical studies and clinical trials for our earlier stage therapeutic candidates, and any decisions to initiate clinical trials if supported by the preclinical results;</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therapeutic candidates that progress to clinical trials;</w:t>
      </w:r>
    </w:p>
    <w:p>
      <w:pPr>
        <w:spacing w:after="0" w:line="254" w:lineRule="exact"/>
        <w:rPr>
          <w:rFonts w:ascii="Arial" w:cs="Arial" w:eastAsia="Arial" w:hAnsi="Arial"/>
          <w:sz w:val="16"/>
          <w:szCs w:val="16"/>
          <w:color w:val="auto"/>
        </w:rPr>
      </w:pPr>
    </w:p>
    <w:p>
      <w:pPr>
        <w:ind w:left="1160" w:right="20" w:hanging="578"/>
        <w:spacing w:after="0" w:line="283"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of establishing or acquiring specialty sales, marketing and distribution capabilities, if any of our therapeutic candidates are approved, and we decide to commercialize them ourselves;</w:t>
      </w:r>
    </w:p>
    <w:p>
      <w:pPr>
        <w:spacing w:after="0" w:line="199" w:lineRule="exact"/>
        <w:rPr>
          <w:rFonts w:ascii="Arial" w:cs="Arial" w:eastAsia="Arial" w:hAnsi="Arial"/>
          <w:sz w:val="16"/>
          <w:szCs w:val="16"/>
          <w:color w:val="auto"/>
        </w:rPr>
      </w:pPr>
    </w:p>
    <w:p>
      <w:pPr>
        <w:ind w:left="1160" w:right="260" w:hanging="578"/>
        <w:spacing w:after="0" w:line="283"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issued patents and defending intellectual property-related claims;</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 and other strategic relationships;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of financing unanticipated working capital requirements and responding to competitive pressures.</w:t>
      </w:r>
    </w:p>
    <w:p>
      <w:pPr>
        <w:spacing w:after="0" w:line="254"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If we raise additional funds through licensing arrangements with third parties, we may have to relinquish valuable rights to our therapeutic candidates, or grant licenses on terms that are not favorable to us. If we raise additional funds by issuing equity or convertible debt securities, we will reduce the percentage ownership of our then-existing shareholders, and these securities may have rights, preferences or privileges senior to those of our existing shareholders. See also “— Future sales of our ordinary shares or ADSs could reduce the market price of our ordinary shares and ADSs.”</w:t>
      </w:r>
    </w:p>
    <w:p>
      <w:pPr>
        <w:spacing w:after="0" w:line="216" w:lineRule="exact"/>
        <w:rPr>
          <w:sz w:val="20"/>
          <w:szCs w:val="20"/>
          <w:color w:val="auto"/>
        </w:rPr>
      </w:pPr>
    </w:p>
    <w:p>
      <w:pPr>
        <w:ind w:right="80" w:firstLine="584"/>
        <w:spacing w:after="0" w:line="283" w:lineRule="auto"/>
        <w:rPr>
          <w:sz w:val="20"/>
          <w:szCs w:val="20"/>
          <w:color w:val="auto"/>
        </w:rPr>
      </w:pPr>
      <w:r>
        <w:rPr>
          <w:rFonts w:ascii="Arial" w:cs="Arial" w:eastAsia="Arial" w:hAnsi="Arial"/>
          <w:sz w:val="16"/>
          <w:szCs w:val="16"/>
          <w:b w:val="1"/>
          <w:bCs w:val="1"/>
          <w:i w:val="1"/>
          <w:iCs w:val="1"/>
          <w:color w:val="auto"/>
        </w:rPr>
        <w:t>As a foreign private issuer, we are permitted to follow certain home country corporate governance practices instead of applicable SEC and Nasdaq requirements, which may result in less protection than is accorded to investors under rules applicable to domestic issuers.</w:t>
      </w:r>
    </w:p>
    <w:p>
      <w:pPr>
        <w:spacing w:after="0" w:line="199" w:lineRule="exact"/>
        <w:rPr>
          <w:sz w:val="20"/>
          <w:szCs w:val="20"/>
          <w:color w:val="auto"/>
        </w:rPr>
      </w:pPr>
    </w:p>
    <w:p>
      <w:pPr>
        <w:ind w:right="20" w:firstLine="584"/>
        <w:spacing w:after="0" w:line="257" w:lineRule="auto"/>
        <w:rPr>
          <w:sz w:val="20"/>
          <w:szCs w:val="20"/>
          <w:color w:val="auto"/>
        </w:rPr>
      </w:pPr>
      <w:r>
        <w:rPr>
          <w:rFonts w:ascii="Arial" w:cs="Arial" w:eastAsia="Arial" w:hAnsi="Arial"/>
          <w:sz w:val="16"/>
          <w:szCs w:val="16"/>
          <w:color w:val="auto"/>
        </w:rPr>
        <w:t>As a foreign private issuer, we are permitted to follow certain home country corporate governance practices instead of those otherwise required under the Marketplace Rules of the Nasdaq for domestic issuers. For instance, we may follow home country practice in Israel with regard to, among other things, composition of the Board of Directors, director nomination procedure, composition of the compensation committee, approval of compensation of officers, and quorum at shareholders’ meetings. In addition, we will follow our home country law, instead of the Marketplace Rules of the Nasdaq, which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of the stock or assets of another company. Following our home country governance practices as opposed to the requirements that would otherwise apply to a United States company listed on the Nasdaq may provide less protection than is accorded to investors under the Marketplace Rules of the Nasdaq applicable to domestic issuers. See “Item 16G — Corporate Governance — Nasdaq Listing Rules and Home Country Practices.”</w:t>
      </w:r>
    </w:p>
    <w:p>
      <w:pPr>
        <w:spacing w:after="0" w:line="224" w:lineRule="exact"/>
        <w:rPr>
          <w:sz w:val="20"/>
          <w:szCs w:val="20"/>
          <w:color w:val="auto"/>
        </w:rPr>
      </w:pPr>
    </w:p>
    <w:p>
      <w:pPr>
        <w:jc w:val="both"/>
        <w:ind w:right="300" w:firstLine="584"/>
        <w:spacing w:after="0" w:line="313" w:lineRule="auto"/>
        <w:rPr>
          <w:sz w:val="20"/>
          <w:szCs w:val="20"/>
          <w:color w:val="auto"/>
        </w:rPr>
      </w:pPr>
      <w:r>
        <w:rPr>
          <w:rFonts w:ascii="Arial" w:cs="Arial" w:eastAsia="Arial" w:hAnsi="Arial"/>
          <w:sz w:val="14"/>
          <w:szCs w:val="14"/>
          <w:color w:val="auto"/>
        </w:rPr>
        <w:t>In addition, as a foreign private issuer, we are exempt from the rules and regulations under the U.S. Securities Exchange Act of 1934, as amended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companies whose securities are registered under the Exchange Act.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 w:name="page24"/>
    <w:bookmarkEnd w:id="23"/>
    <w:p>
      <w:pPr>
        <w:ind w:right="80" w:firstLine="584"/>
        <w:spacing w:after="0" w:line="318" w:lineRule="auto"/>
        <w:rPr>
          <w:sz w:val="20"/>
          <w:szCs w:val="20"/>
          <w:color w:val="auto"/>
        </w:rPr>
      </w:pPr>
      <w:r>
        <w:rPr>
          <w:rFonts w:ascii="Arial" w:cs="Arial" w:eastAsia="Arial" w:hAnsi="Arial"/>
          <w:sz w:val="15"/>
          <w:szCs w:val="15"/>
          <w:color w:val="auto"/>
        </w:rPr>
        <w:t>If we are unable to satisfy the requirements of Section 404 of the Sarbanes-Oxley Act as they apply to a foreign private issuer that is listed on a U.S. exchange, or our internal controls over financial reporting are not effective, the reliability of our financial statements may be questioned and our stock price and ADS price may suffer.</w:t>
      </w:r>
    </w:p>
    <w:p>
      <w:pPr>
        <w:spacing w:after="0" w:line="176" w:lineRule="exact"/>
        <w:rPr>
          <w:sz w:val="20"/>
          <w:szCs w:val="20"/>
          <w:color w:val="auto"/>
        </w:rPr>
      </w:pPr>
    </w:p>
    <w:p>
      <w:pPr>
        <w:ind w:right="220" w:firstLine="584"/>
        <w:spacing w:after="0" w:line="263" w:lineRule="auto"/>
        <w:rPr>
          <w:sz w:val="20"/>
          <w:szCs w:val="20"/>
          <w:color w:val="auto"/>
        </w:rPr>
      </w:pPr>
      <w:r>
        <w:rPr>
          <w:rFonts w:ascii="Arial" w:cs="Arial" w:eastAsia="Arial" w:hAnsi="Arial"/>
          <w:sz w:val="16"/>
          <w:szCs w:val="16"/>
          <w:color w:val="auto"/>
        </w:rPr>
        <w:t>Section 404 of the Sarbanes-Oxley Act requires companies subject to the reporting requirements of the U.S. securities laws to do a comprehensive evaluation of its and its subsidiaries’ internal controls over financial reporting. To comply with this statute, we are required to document and test our internal control procedures, and our management is required to assess and issue a report concerning our internal controls over financial reporting. In addition, our independent registered public accounting firm may be required to issue an opinion on management’s assessment of those matters.</w:t>
      </w:r>
    </w:p>
    <w:p>
      <w:pPr>
        <w:spacing w:after="0" w:line="216"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The continuous process of strengthening our internal controls and complying with Section 404 is complicated and time-consuming. Furthermore, as our business continues to grow both domestically and internationally, our internal controls will become more complex and will require significantly more resources and attention to ensure our internal controls remain effective overall. During the course of its testing, our management may identify material weaknesses or significant deficiencies, which may not be remedied in a timely manner to meet the deadline imposed by the Sarbanes-Oxley Act. If our management cannot favorably assess the effectiveness of our internal controls over financial reporting, or our independent registered public accounting firm identifies material weaknesses in our internal controls, investor confidence in our financial results may weaken, and the market price of our securities may suffer.</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Risks Related to our Operations in Israel</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We conduct our operations in Israel and therefore our results may be adversely affected by political, economic and military instability in Israel and its region.</w:t>
      </w:r>
    </w:p>
    <w:p>
      <w:pPr>
        <w:spacing w:after="0" w:line="277" w:lineRule="exact"/>
        <w:rPr>
          <w:sz w:val="20"/>
          <w:szCs w:val="20"/>
          <w:color w:val="auto"/>
        </w:rPr>
      </w:pPr>
    </w:p>
    <w:p>
      <w:pPr>
        <w:ind w:firstLine="584"/>
        <w:spacing w:after="0" w:line="293" w:lineRule="auto"/>
        <w:rPr>
          <w:sz w:val="20"/>
          <w:szCs w:val="20"/>
          <w:color w:val="auto"/>
        </w:rPr>
      </w:pPr>
      <w:r>
        <w:rPr>
          <w:rFonts w:ascii="Arial" w:cs="Arial" w:eastAsia="Arial" w:hAnsi="Arial"/>
          <w:sz w:val="14"/>
          <w:szCs w:val="14"/>
          <w:color w:val="auto"/>
        </w:rPr>
        <w:t>Our headquarters, all our operations and some of our suppliers and third party contractors are located in central Israel and our key employees, officers and most of our directors are residents of Israel. Accordingly, political, economic and military conditions in Israel and the surrounding region may directly affect our business. Since the establishment of the State of Israel in 1948, a number of armed conflicts have taken place between Israel and its Arab neighbors. Any hostilities involving Israel or the interruption or curtailment of trade within Israel or between Israel and its trading partners could adversely affect our operations and results of operations and could make it more difficult for us to raise capital. During the autumn of 2012, Israel was engaged in armed conflicts with Hamas, a militia group and political party operating in the Gaza Strip; during the summer of 2014, another escalation in violence among Israel, Hamas and other groups took place; and since October 2015, and to a lesser extent since August 2016, Israel has been facing another escalation in violence with the Palestinian population. These conflicts involved missile strikes against civilian targets in various parts of Israel, as well as civil insurrection of Palestinians in the West Bank, on the border with the Gaza Strip and in Israeli cities, and negatively affected business conditions in Israel. In addition, Israel faces threats from more distant neighbors, in particular Iran. Iran is also believed to have a strong influence among extremist groups in the region, such as Hamas in Gaza, Hezbollah (a Lebanese Islamist Shiite militia group and political party), and various rebel militia groups in Syria. Recent political uprisings and social unrest in various countries in the Middle East and North Africa are affecting the political stability of those countries. The year 2014 saw the rise of an Islamic fundamentalist group known as ISIS. Following swift operations, ISIS gained control of large areas in the Middle East, including in Iraq and Syria, which have contributed to the turmoil experienced in these areas. As a result, the United States armed forces have engaged in limited operations against ISIS and since 2015, Russia’s armed forces have also been engaged in limited yet substantive operations to defeat ISIS and other rebel groups operating in Syria. This instability may lead to deterioration of the political relationships that exist between Israel and these countries, and has raised concerns regarding security in the region and the potential for armed conflict. These situations may escalate in the future to more violent events which may affect Israel and us. Among other things, this instability may affect the global economy and marketplace through changes in oil and gas prices. Any armed conflicts, terrorist activities or political instability in the region could adversely affect business conditions and could harm our results of operations. For example, any major escalation in hostilities in the region could result in a portion of our employees being called up to perform military duty for an extended period of time. Parties with whom we do business have sometimes declined to travel to Israel during periods of heightened unrest or tension, forcing us to make alternative arrangements when necessary. In addition, the political and security situation in Israel may result in parties with whom we have agreements involving performance in Israel claiming that they are not obligated to perform their commitments under those agreements pursuant to force majeure provisions in the agreements.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ind w:right="120" w:firstLine="584"/>
        <w:spacing w:after="0" w:line="263" w:lineRule="auto"/>
        <w:rPr>
          <w:sz w:val="20"/>
          <w:szCs w:val="20"/>
          <w:color w:val="auto"/>
        </w:rPr>
      </w:pPr>
      <w:r>
        <w:rPr>
          <w:rFonts w:ascii="Arial" w:cs="Arial" w:eastAsia="Arial" w:hAnsi="Arial"/>
          <w:sz w:val="16"/>
          <w:szCs w:val="16"/>
          <w:color w:val="auto"/>
        </w:rPr>
        <w:t>Our commercial insurance does not cover losses that may occur as a result of events associated with the security situation in the Middle East. Although the Israeli government currently covers the reinstatement value of direct damages that are caused by terrorist attacks or acts of war, we cannot assure you that this government coverage will be maintained.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216"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 If the BDS Movement, the movement for boycotting, divesting and sanctioning Israel and Israeli institutions (including universities) and products become increasingly influential in the United States and Europe, this may also adversely affect our financial condition.</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Our operations may be disrupted as a result of the obligation of management or key personnel to perform military service.</w:t>
      </w:r>
    </w:p>
    <w:p>
      <w:pPr>
        <w:spacing w:after="0" w:line="254" w:lineRule="exact"/>
        <w:rPr>
          <w:sz w:val="20"/>
          <w:szCs w:val="20"/>
          <w:color w:val="auto"/>
        </w:rPr>
      </w:pPr>
    </w:p>
    <w:p>
      <w:pPr>
        <w:ind w:right="20" w:firstLine="584"/>
        <w:spacing w:after="0" w:line="260" w:lineRule="auto"/>
        <w:rPr>
          <w:sz w:val="20"/>
          <w:szCs w:val="20"/>
          <w:color w:val="auto"/>
        </w:rPr>
      </w:pPr>
      <w:r>
        <w:rPr>
          <w:rFonts w:ascii="Arial" w:cs="Arial" w:eastAsia="Arial" w:hAnsi="Arial"/>
          <w:sz w:val="16"/>
          <w:szCs w:val="16"/>
          <w:color w:val="auto"/>
        </w:rPr>
        <w:t>Many of our male employees in Israel, including a member of our senior management, are obligated to perform one month, and in some cases more, of annual military reserve duty until they reach the age of 40 (or older, for officers or reservists with certain occupations) and, in the event of a military conflict, may be called to active duty. In response to increases in terrorist activity, there have been periods of significant call-ups of military reservists, and some of our employees have been called up from time to time in connection with armed conflicts. It is possible that there will be military reserve duty call-ups in the future. Our operations could be disrupted by the absence of a significant number of our employees or of one or more of our key employees. Such disruption could materially adversely affect our business, financial condition and results of operations.</w:t>
      </w:r>
    </w:p>
    <w:p>
      <w:pPr>
        <w:spacing w:after="0" w:line="217" w:lineRule="exact"/>
        <w:rPr>
          <w:sz w:val="20"/>
          <w:szCs w:val="20"/>
          <w:color w:val="auto"/>
        </w:rPr>
      </w:pPr>
    </w:p>
    <w:p>
      <w:pPr>
        <w:ind w:right="400" w:firstLine="584"/>
        <w:spacing w:after="0" w:line="283" w:lineRule="auto"/>
        <w:rPr>
          <w:sz w:val="20"/>
          <w:szCs w:val="20"/>
          <w:color w:val="auto"/>
        </w:rPr>
      </w:pPr>
      <w:r>
        <w:rPr>
          <w:rFonts w:ascii="Arial" w:cs="Arial" w:eastAsia="Arial" w:hAnsi="Arial"/>
          <w:sz w:val="16"/>
          <w:szCs w:val="16"/>
          <w:b w:val="1"/>
          <w:bCs w:val="1"/>
          <w:i w:val="1"/>
          <w:iCs w:val="1"/>
          <w:color w:val="auto"/>
        </w:rPr>
        <w:t>Due to a significant portion of our expenses and revenues being denominated in non-dollar currencies, our results of operations may be harmed by currency fluctuations.</w:t>
      </w:r>
    </w:p>
    <w:p>
      <w:pPr>
        <w:spacing w:after="0" w:line="199" w:lineRule="exact"/>
        <w:rPr>
          <w:sz w:val="20"/>
          <w:szCs w:val="20"/>
          <w:color w:val="auto"/>
        </w:rPr>
      </w:pPr>
    </w:p>
    <w:p>
      <w:pPr>
        <w:ind w:firstLine="584"/>
        <w:spacing w:after="0" w:line="304" w:lineRule="auto"/>
        <w:rPr>
          <w:sz w:val="20"/>
          <w:szCs w:val="20"/>
          <w:color w:val="auto"/>
        </w:rPr>
      </w:pPr>
      <w:r>
        <w:rPr>
          <w:rFonts w:ascii="Arial" w:cs="Arial" w:eastAsia="Arial" w:hAnsi="Arial"/>
          <w:sz w:val="14"/>
          <w:szCs w:val="14"/>
          <w:color w:val="auto"/>
        </w:rPr>
        <w:t>Our reporting and functional currency is the dollar. However, we pay a significant portion of our expenses in NIS, and we expect this to continue. If the dollar weakens against the NIS in the future, there may be a negative impact on our results of operations. The revenues from our current out-licensing and co-development arrangements are payable in dollars and euros. Although we expect our revenues from future licensing arrangements to be denominated primarily in dollars, we are exposed to the currency fluctuation risks relating to the recording of our revenues in currencies other than dollars. For example, if the euro strengthens against the dollar, our reported revenues in dollars may be lower than anticipated. From time to time, we engage in currency hedging transactions to decrease the risk of financial exposure from fluctuations in the exchange rates of the currencies mentioned above in relation to the dollar. These measures, however, may not adequately protect us from material adverse effects.</w:t>
      </w:r>
    </w:p>
    <w:p>
      <w:pPr>
        <w:spacing w:after="0" w:line="189" w:lineRule="exact"/>
        <w:rPr>
          <w:sz w:val="20"/>
          <w:szCs w:val="20"/>
          <w:color w:val="auto"/>
        </w:rPr>
      </w:pPr>
    </w:p>
    <w:p>
      <w:pPr>
        <w:jc w:val="both"/>
        <w:ind w:right="80" w:firstLine="584"/>
        <w:spacing w:after="0" w:line="268" w:lineRule="auto"/>
        <w:rPr>
          <w:sz w:val="20"/>
          <w:szCs w:val="20"/>
          <w:color w:val="auto"/>
        </w:rPr>
      </w:pPr>
      <w:r>
        <w:rPr>
          <w:rFonts w:ascii="Arial" w:cs="Arial" w:eastAsia="Arial" w:hAnsi="Arial"/>
          <w:sz w:val="16"/>
          <w:szCs w:val="16"/>
          <w:b w:val="1"/>
          <w:bCs w:val="1"/>
          <w:i w:val="1"/>
          <w:iCs w:val="1"/>
          <w:color w:val="auto"/>
        </w:rPr>
        <w:t>We have received Israeli government grants and loans for certain research and development expenditures. The terms of these grants and loans may require us to satisfy specified conditions in order to manufacture products and transfer technologies outside of Israel. We may be required to pay penalties in addition to repayment of the grants and loans.</w:t>
      </w:r>
    </w:p>
    <w:p>
      <w:pPr>
        <w:spacing w:after="0" w:line="163" w:lineRule="exact"/>
        <w:rPr>
          <w:sz w:val="20"/>
          <w:szCs w:val="20"/>
          <w:color w:val="auto"/>
        </w:rPr>
      </w:pPr>
    </w:p>
    <w:p>
      <w:pPr>
        <w:ind w:right="20" w:firstLine="584"/>
        <w:spacing w:after="0" w:line="276" w:lineRule="auto"/>
        <w:rPr>
          <w:sz w:val="20"/>
          <w:szCs w:val="20"/>
          <w:color w:val="auto"/>
        </w:rPr>
      </w:pPr>
      <w:r>
        <w:rPr>
          <w:rFonts w:ascii="Arial" w:cs="Arial" w:eastAsia="Arial" w:hAnsi="Arial"/>
          <w:sz w:val="15"/>
          <w:szCs w:val="15"/>
          <w:color w:val="auto"/>
        </w:rPr>
        <w:t>Our research and development efforts have been financed, in part, through grants and loans that we have received from the OCS. In addition, before we in-licensed BL-8040, Biokine had received funding for the project from the OCS, and as a condition to OCS consent to our in-licensing of BL-8040, we were required to agree to abide by any obligations resulting from such funding. We therefore must comply with the requirements of the Israeli Law for the Encouragement of Industrial Research, Development and Technological Innovation, 1984, and related regulations, as amended, or the Research Law, with respect to these projects. Through December 31, 2016, we have received approximately $19.8 million in funding from the OCS and have paid the OCS approximately $6.3 million in royalties under our approved programs. As of December 31, 2016, we have no contingent obligation to the IIA other than for BL-8040. In connection with the in-licensing of BL-8040 from Biokine, and as a condition to OCS consent to the transaction, we agreed to abide by any obligations resulting from funds previously received by Biokine from the OCS. The contingent liability to the IIA assumed by us relating to this transaction (which liability has no relation to the funding actually received by us) amounts to $2.7 million as of December 31, 2016. We have a full right of offset for amounts payable to the IIA from payments that we may owe to Biokine in the future. Therefore, the likelihood of any payment obligation to the IIA with regard to the Biokine transaction is remote.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 w:name="page26"/>
    <w:bookmarkEnd w:id="25"/>
    <w:p>
      <w:pPr>
        <w:ind w:right="120" w:firstLine="584"/>
        <w:spacing w:after="0" w:line="282" w:lineRule="auto"/>
        <w:rPr>
          <w:sz w:val="20"/>
          <w:szCs w:val="20"/>
          <w:color w:val="auto"/>
        </w:rPr>
      </w:pPr>
      <w:r>
        <w:rPr>
          <w:rFonts w:ascii="Arial" w:cs="Arial" w:eastAsia="Arial" w:hAnsi="Arial"/>
          <w:sz w:val="15"/>
          <w:szCs w:val="15"/>
          <w:color w:val="auto"/>
        </w:rPr>
        <w:t>The transfer to third parties of know-how or technologies developed under the programs submitted to the OCS or IIA and as to which we or our licensors received grants, or manufacturing or rights to manufacture based on and/or incorporating such know-how to third parties, might require the consent of the IIA, and may require certain payments to the IIA. There is no assurance that we will be able to obtain such consent on terms that acceptable to us, or at all. Although such restrictions do not apply to the export from Israel of our products developed with such know-how, they may prevent us from engaging in transactions with our affiliates, customers or other third parties outside Israel, involving product or other asset transfers, which might otherwise be beneficial to us.</w:t>
      </w:r>
    </w:p>
    <w:p>
      <w:pPr>
        <w:spacing w:after="0" w:line="204" w:lineRule="exact"/>
        <w:rPr>
          <w:sz w:val="20"/>
          <w:szCs w:val="20"/>
          <w:color w:val="auto"/>
        </w:rPr>
      </w:pPr>
    </w:p>
    <w:p>
      <w:pPr>
        <w:ind w:right="40" w:firstLine="584"/>
        <w:spacing w:after="0" w:line="277" w:lineRule="auto"/>
        <w:rPr>
          <w:sz w:val="20"/>
          <w:szCs w:val="20"/>
          <w:color w:val="auto"/>
        </w:rPr>
      </w:pPr>
      <w:r>
        <w:rPr>
          <w:rFonts w:ascii="Arial" w:cs="Arial" w:eastAsia="Arial" w:hAnsi="Arial"/>
          <w:sz w:val="15"/>
          <w:szCs w:val="15"/>
          <w:color w:val="auto"/>
        </w:rPr>
        <w:t>In July 2015, the Knesset (the Israeli Parliament) enacted Amendment Number 7 to the Research Law, or the R&amp;D Amendment. The R&amp;D Amendment, effective as of January 1, 2016, amends material provisions of the Research Law (including but not limited to royalty rates and changes to royalty rates upon transfer of manufacturing rights abroad, as well as payments required for transfer of know-how out of Israel), leaves substantial discretion with the newly established IIA and includes only guidelines to some of the core issues of the Research Law. Thus, the R&amp;D Amendment is currently causing much ambiguity as to its implementation and its effect on companies which developed know-how using funds received from the OCS. While it is possible that some of the core issues regulated by the Research Law following the R&amp;D Amendment, including required approvals prior to the transfer abroad of the rights to or the manufacturing of any OCS or IIA-supported product or technology, will be similar to the regime prior to the R&amp;D Amendment, there is currently no certainty that procedures and requirements will remain similar to the ones in effect prior to the R&amp;D Amendment. See “Item 4. Information on the Company — Business Overview — Government Regulation and Funding — Israeli Government Programs.”</w:t>
      </w:r>
    </w:p>
    <w:p>
      <w:pPr>
        <w:spacing w:after="0" w:line="209" w:lineRule="exact"/>
        <w:rPr>
          <w:sz w:val="20"/>
          <w:szCs w:val="20"/>
          <w:color w:val="auto"/>
        </w:rPr>
      </w:pPr>
    </w:p>
    <w:p>
      <w:pPr>
        <w:ind w:right="40" w:firstLine="584"/>
        <w:spacing w:after="0" w:line="283" w:lineRule="auto"/>
        <w:rPr>
          <w:sz w:val="20"/>
          <w:szCs w:val="20"/>
          <w:color w:val="auto"/>
        </w:rPr>
      </w:pPr>
      <w:r>
        <w:rPr>
          <w:rFonts w:ascii="Arial" w:cs="Arial" w:eastAsia="Arial" w:hAnsi="Arial"/>
          <w:sz w:val="16"/>
          <w:szCs w:val="16"/>
          <w:b w:val="1"/>
          <w:bCs w:val="1"/>
          <w:i w:val="1"/>
          <w:iCs w:val="1"/>
          <w:color w:val="auto"/>
        </w:rPr>
        <w:t>Provisions of Israeli law may delay, prevent or otherwise impede a merger with, or an acquisition of, our company, which could prevent a change of control, even when the terms of such a transaction are favorable to us and our shareholders.</w:t>
      </w:r>
    </w:p>
    <w:p>
      <w:pPr>
        <w:spacing w:after="0" w:line="199" w:lineRule="exact"/>
        <w:rPr>
          <w:sz w:val="20"/>
          <w:szCs w:val="20"/>
          <w:color w:val="auto"/>
        </w:rPr>
      </w:pPr>
    </w:p>
    <w:p>
      <w:pPr>
        <w:ind w:firstLine="584"/>
        <w:spacing w:after="0" w:line="297"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a merger may not be consummated unless at least 50 days have passed from the date that a merger proposal was filed by each merging company with the Israel Registrar of Companies and at least 30 days from the date that the shareholders of both merging companies approved the merger. In addition, a majority of each class of securities of the target company must approve a merger. Moreover, a full tender offer can only be completed if the acquirer receives the approval of at least 95% of the issued share capital (provided that a majority of the offerees that do not have a personal interest in such tender offer shall have approved the tender offer, except that if the total votes to reject the tender offer represent less than 2% of the company’s issued and outstanding share capital, in the aggregate, approval by a majority of the offerees that do not have a personal interest in such tender offer is not required to complete the tender offer), and the shareholders, including those who indicated their acceptance of the tender offer, may, at any time within six months following the completion of the tender offer, claim that the consideration for the acquisition of the shares did not reflect their fair market value and petition the court to alter the consideration for the acquisition accordingly (unless the acquirer stipulated in the tender offer that a shareholder that accepts the offer may not seek appraisal rights, and the acquirer or the company published all required information with respect to the tender offer prior to the date indicated for response to the tender offer).</w:t>
      </w:r>
    </w:p>
    <w:p>
      <w:pPr>
        <w:spacing w:after="0" w:line="195"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restricted. Moreover, with respect to certain share swap transactions, the tax deferral is limited in time, and when such time expires, the tax becomes payable even if no actual disposition of the shares has occurred.</w:t>
      </w:r>
    </w:p>
    <w:p>
      <w:pPr>
        <w:spacing w:after="0" w:line="217" w:lineRule="exact"/>
        <w:rPr>
          <w:sz w:val="20"/>
          <w:szCs w:val="20"/>
          <w:color w:val="auto"/>
        </w:rPr>
      </w:pPr>
    </w:p>
    <w:p>
      <w:pPr>
        <w:ind w:right="320" w:firstLine="584"/>
        <w:spacing w:after="0" w:line="283" w:lineRule="auto"/>
        <w:rPr>
          <w:sz w:val="20"/>
          <w:szCs w:val="20"/>
          <w:color w:val="auto"/>
        </w:rPr>
      </w:pPr>
      <w:r>
        <w:rPr>
          <w:rFonts w:ascii="Arial" w:cs="Arial" w:eastAsia="Arial" w:hAnsi="Arial"/>
          <w:sz w:val="16"/>
          <w:szCs w:val="16"/>
          <w:color w:val="auto"/>
        </w:rPr>
        <w:t>These and other similar provisions could delay, prevent or impede an acquisition of us or our merger with another company, even if such an acquisition or merger would be beneficial to us or to our shareholders.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6" w:name="page27"/>
    <w:bookmarkEnd w:id="26"/>
    <w:p>
      <w:pPr>
        <w:ind w:right="160" w:firstLine="584"/>
        <w:spacing w:after="0" w:line="263" w:lineRule="auto"/>
        <w:rPr>
          <w:sz w:val="20"/>
          <w:szCs w:val="20"/>
          <w:color w:val="auto"/>
        </w:rPr>
      </w:pPr>
      <w:r>
        <w:rPr>
          <w:rFonts w:ascii="Arial" w:cs="Arial" w:eastAsia="Arial" w:hAnsi="Arial"/>
          <w:sz w:val="16"/>
          <w:szCs w:val="16"/>
          <w:color w:val="auto"/>
        </w:rPr>
        <w:t>We have received Israeli government grants and loans for certain research and development expenditures. The terms of these grants and loans, as may be in effect following the R&amp;D Amendment, may require us to satisfy specified conditions in order to manufacture products and transfer technologies outside of Israel. We may be required to pay penalties in addition to repayment of the grants and loans. Such grants and loans may be terminated or reduced in the future, which would increase our costs. See “Business — Government Regulation and Funding — Israeli Government Programs.”</w:t>
      </w:r>
    </w:p>
    <w:p>
      <w:pPr>
        <w:spacing w:after="0" w:line="216" w:lineRule="exact"/>
        <w:rPr>
          <w:sz w:val="20"/>
          <w:szCs w:val="20"/>
          <w:color w:val="auto"/>
        </w:rPr>
      </w:pPr>
    </w:p>
    <w:p>
      <w:pPr>
        <w:ind w:right="400" w:firstLine="584"/>
        <w:spacing w:after="0" w:line="283" w:lineRule="auto"/>
        <w:rPr>
          <w:sz w:val="20"/>
          <w:szCs w:val="20"/>
          <w:color w:val="auto"/>
        </w:rPr>
      </w:pPr>
      <w:r>
        <w:rPr>
          <w:rFonts w:ascii="Arial" w:cs="Arial" w:eastAsia="Arial" w:hAnsi="Arial"/>
          <w:sz w:val="16"/>
          <w:szCs w:val="16"/>
          <w:b w:val="1"/>
          <w:bCs w:val="1"/>
          <w:i w:val="1"/>
          <w:iCs w:val="1"/>
          <w:color w:val="auto"/>
        </w:rPr>
        <w:t>It may be difficult to enforce a U.S. judgment against us and our officers and directors named in this annual report in Israel or the United States, or to serve process on our officers and directors.</w:t>
      </w:r>
    </w:p>
    <w:p>
      <w:pPr>
        <w:spacing w:after="0" w:line="199"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We are incorporated in Israel. All of our executive officers and the majority of our directors reside outside of the United States, and all of our assets and most of the assets of our executive officers and directors are located outside of the United States. Therefore, a judgment obtained against us or any of our executive officers and directors in the United States, including one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w:t>
      </w:r>
    </w:p>
    <w:p>
      <w:pPr>
        <w:spacing w:after="0" w:line="217" w:lineRule="exact"/>
        <w:rPr>
          <w:sz w:val="20"/>
          <w:szCs w:val="20"/>
          <w:color w:val="auto"/>
        </w:rPr>
      </w:pPr>
    </w:p>
    <w:p>
      <w:pPr>
        <w:ind w:right="680" w:firstLine="584"/>
        <w:spacing w:after="0" w:line="283" w:lineRule="auto"/>
        <w:rPr>
          <w:sz w:val="20"/>
          <w:szCs w:val="20"/>
          <w:color w:val="auto"/>
        </w:rPr>
      </w:pPr>
      <w:r>
        <w:rPr>
          <w:rFonts w:ascii="Arial" w:cs="Arial" w:eastAsia="Arial" w:hAnsi="Arial"/>
          <w:sz w:val="16"/>
          <w:szCs w:val="16"/>
          <w:b w:val="1"/>
          <w:bCs w:val="1"/>
          <w:i w:val="1"/>
          <w:iCs w:val="1"/>
          <w:color w:val="auto"/>
        </w:rPr>
        <w:t>Your rights and responsibilities as a shareholder will be governed by Israeli law which may differ in some respects from the rights and responsibilities of shareholders of U.S. companies.</w:t>
      </w:r>
    </w:p>
    <w:p>
      <w:pPr>
        <w:spacing w:after="0" w:line="199" w:lineRule="exact"/>
        <w:rPr>
          <w:sz w:val="20"/>
          <w:szCs w:val="20"/>
          <w:color w:val="auto"/>
        </w:rPr>
      </w:pPr>
    </w:p>
    <w:p>
      <w:pPr>
        <w:ind w:right="40" w:firstLine="584"/>
        <w:spacing w:after="0" w:line="300" w:lineRule="auto"/>
        <w:rPr>
          <w:sz w:val="20"/>
          <w:szCs w:val="20"/>
          <w:color w:val="auto"/>
        </w:rPr>
      </w:pPr>
      <w:r>
        <w:rPr>
          <w:rFonts w:ascii="Arial" w:cs="Arial" w:eastAsia="Arial" w:hAnsi="Arial"/>
          <w:sz w:val="14"/>
          <w:szCs w:val="14"/>
          <w:color w:val="auto"/>
        </w:rPr>
        <w:t>We are incorporated under Israeli law. The rights and responsibilities of the holders of our ordinary shares are governed by our Articles of Association and Israeli law. These rights and responsibilities 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These provisions may be interpreted to impose additional obligations and liabilities on holders of our ordinary shares that are not typically imposed on shareholders of U.S. corporations.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INFORMATION ON THE COMPANY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History and Development of the Company</w:t>
      </w:r>
    </w:p>
    <w:p>
      <w:pPr>
        <w:spacing w:after="0" w:line="258" w:lineRule="exact"/>
        <w:rPr>
          <w:sz w:val="20"/>
          <w:szCs w:val="20"/>
          <w:color w:val="auto"/>
        </w:rPr>
      </w:pPr>
    </w:p>
    <w:p>
      <w:pPr>
        <w:jc w:val="both"/>
        <w:ind w:right="40" w:firstLine="584"/>
        <w:spacing w:after="0" w:line="283" w:lineRule="auto"/>
        <w:rPr>
          <w:sz w:val="20"/>
          <w:szCs w:val="20"/>
          <w:color w:val="auto"/>
        </w:rPr>
      </w:pPr>
      <w:r>
        <w:rPr>
          <w:rFonts w:ascii="Arial" w:cs="Arial" w:eastAsia="Arial" w:hAnsi="Arial"/>
          <w:sz w:val="16"/>
          <w:szCs w:val="16"/>
          <w:color w:val="auto"/>
        </w:rPr>
        <w:t>Our legal and commercial name is BioLineRx Ltd. We are a company limited by shares organized under the laws of the State of Israel. Our principal executive offices are located at 2 HaMa’ayan Street, Modi’in 7177871, Israel, and our telephone number is +972 (8) 642-9100.</w:t>
      </w:r>
    </w:p>
    <w:p>
      <w:pPr>
        <w:spacing w:after="0" w:line="199" w:lineRule="exact"/>
        <w:rPr>
          <w:sz w:val="20"/>
          <w:szCs w:val="20"/>
          <w:color w:val="auto"/>
        </w:rPr>
      </w:pPr>
    </w:p>
    <w:p>
      <w:pPr>
        <w:jc w:val="both"/>
        <w:ind w:right="20" w:firstLine="584"/>
        <w:spacing w:after="0" w:line="268" w:lineRule="auto"/>
        <w:rPr>
          <w:sz w:val="20"/>
          <w:szCs w:val="20"/>
          <w:color w:val="auto"/>
        </w:rPr>
      </w:pPr>
      <w:r>
        <w:rPr>
          <w:rFonts w:ascii="Arial" w:cs="Arial" w:eastAsia="Arial" w:hAnsi="Arial"/>
          <w:sz w:val="16"/>
          <w:szCs w:val="16"/>
          <w:color w:val="auto"/>
        </w:rPr>
        <w:t>We were founded in 2003 by leading institutions in the Israeli life sciences industry, including Teva Pharmaceutical Industries Ltd., or Teva. We completed our initial public offering in Israel in February 2007 and our ordinary shares are traded on the TASE under the symbol “BLRX.” In July 2011, we listed our ADSs on Nasdaq and they are traded under the symbol “BLRX.”</w:t>
      </w:r>
    </w:p>
    <w:p>
      <w:pPr>
        <w:spacing w:after="0" w:line="212" w:lineRule="exact"/>
        <w:rPr>
          <w:sz w:val="20"/>
          <w:szCs w:val="20"/>
          <w:color w:val="auto"/>
        </w:rPr>
      </w:pPr>
    </w:p>
    <w:p>
      <w:pPr>
        <w:ind w:right="40" w:firstLine="584"/>
        <w:spacing w:after="0" w:line="268" w:lineRule="auto"/>
        <w:rPr>
          <w:sz w:val="20"/>
          <w:szCs w:val="20"/>
          <w:color w:val="auto"/>
        </w:rPr>
      </w:pPr>
      <w:r>
        <w:rPr>
          <w:rFonts w:ascii="Arial" w:cs="Arial" w:eastAsia="Arial" w:hAnsi="Arial"/>
          <w:sz w:val="16"/>
          <w:szCs w:val="16"/>
          <w:color w:val="auto"/>
        </w:rPr>
        <w:t>Our capital expenditures for the years ended December 31, 2014 and 2015 were $0.2 million and $2.7 million, respectively. The amount for 2015 includes the leasehold improvements on our new facility in Modi’in, as well as the purchase of laboratory equipment. For the year ended December 31, 2016, our capital expenditures were immaterial. Our current capital expenditures involve acquisitions of laboratory equipment, computers and communications equipment.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B. Business Overview</w:t>
      </w:r>
    </w:p>
    <w:p>
      <w:pPr>
        <w:spacing w:after="0" w:line="258" w:lineRule="exact"/>
        <w:rPr>
          <w:sz w:val="20"/>
          <w:szCs w:val="20"/>
          <w:color w:val="auto"/>
        </w:rPr>
      </w:pPr>
    </w:p>
    <w:p>
      <w:pPr>
        <w:ind w:right="120" w:firstLine="584"/>
        <w:spacing w:after="0" w:line="257" w:lineRule="auto"/>
        <w:rPr>
          <w:sz w:val="20"/>
          <w:szCs w:val="20"/>
          <w:color w:val="auto"/>
        </w:rPr>
      </w:pPr>
      <w:r>
        <w:rPr>
          <w:rFonts w:ascii="Arial" w:cs="Arial" w:eastAsia="Arial" w:hAnsi="Arial"/>
          <w:sz w:val="16"/>
          <w:szCs w:val="16"/>
          <w:color w:val="auto"/>
        </w:rPr>
        <w:t>We are a clinical stage biopharmaceutical development company dedicated to identifying, in-licensing and developing therapeutic candidates that have advantages over currently available therapies or that address unmet medical needs. Our current development and commercialization pipeline consists of a clinical-stage therapeutic candidate − BL-8040, a novel peptide for the treatment of multiple cancer and hematological indications; a near-clinical candidate – AGI-134, an immuno-oncology agent in development for solid tumors; and a product that is being commercialized − BL-5010, a customized, proprietary, pen-like applicator containing a novel, acidic, aqueous solution, which has been launched for sale in Europe as a medical device for the non-surgical removal of benign skin lesions. In addition, we have five other therapeutic candidates in various stages of clinical and preclinical development. We generate our pipeline by systematically identifying, rigorously validating and in-licensing therapeutic candidates that we believe exhibit a relatively high probability of therapeutic and commercial success. To date, except for BL-5010, none of our therapeutic candidates have been approved for marketing or sold commercially. Our strategy includes commercializing our therapeutic candidates through out-licensing arrangements with biotechnology and pharmaceutical companies. We also evaluate, on a case-by-case basis, co-development and similar arrangements and the commercialization of our therapeutic candidates independently.</w:t>
      </w:r>
    </w:p>
    <w:p>
      <w:pPr>
        <w:spacing w:after="0" w:line="221" w:lineRule="exact"/>
        <w:rPr>
          <w:sz w:val="20"/>
          <w:szCs w:val="20"/>
          <w:color w:val="auto"/>
        </w:rPr>
      </w:pPr>
    </w:p>
    <w:p>
      <w:pPr>
        <w:ind w:right="40" w:firstLine="584"/>
        <w:spacing w:after="0" w:line="282" w:lineRule="auto"/>
        <w:rPr>
          <w:sz w:val="20"/>
          <w:szCs w:val="20"/>
          <w:color w:val="auto"/>
        </w:rPr>
      </w:pPr>
      <w:r>
        <w:rPr>
          <w:rFonts w:ascii="Arial" w:cs="Arial" w:eastAsia="Arial" w:hAnsi="Arial"/>
          <w:sz w:val="15"/>
          <w:szCs w:val="15"/>
          <w:color w:val="auto"/>
        </w:rPr>
        <w:t>In December 2014, we entered into a strategic collaboration with Novartis for the co-development of selected Israeli-sourced novel drug candidates. Under the agreement, we intend, in collaboration with Novartis, to co-develop a number of pre-clinical and early clinical therapeutic projects through clinical proof-of-concept for potential future licensing by Novartis. Additionally, in January 2016, we entered into a collaboration with MSD, known as Merck in the U.S. and Canada, in the field of cancer immunotherapy and, in September 2016, we entered into a collaboration with Genentech, Inc., or Genentech, a member of the Roche Group, to support several Phase 1b studies investigating BL-8040 in combination with Atezolizumab, Genentech's anti-PDL1 cancer immunotherapy, in multiple cancer indications.</w:t>
      </w:r>
    </w:p>
    <w:p>
      <w:pPr>
        <w:spacing w:after="0" w:line="156" w:lineRule="exact"/>
        <w:rPr>
          <w:sz w:val="20"/>
          <w:szCs w:val="20"/>
          <w:color w:val="auto"/>
        </w:rPr>
      </w:pPr>
    </w:p>
    <w:p>
      <w:pPr>
        <w:ind w:right="20" w:firstLine="584"/>
        <w:spacing w:after="0" w:line="283" w:lineRule="auto"/>
        <w:rPr>
          <w:sz w:val="20"/>
          <w:szCs w:val="20"/>
          <w:color w:val="auto"/>
        </w:rPr>
      </w:pPr>
      <w:r>
        <w:rPr>
          <w:rFonts w:ascii="Arial" w:cs="Arial" w:eastAsia="Arial" w:hAnsi="Arial"/>
          <w:sz w:val="16"/>
          <w:szCs w:val="16"/>
          <w:color w:val="auto"/>
        </w:rPr>
        <w:t>Our focus is on the therapeutic areas of oncology and immunology. However, we may also in-license therapeutic compounds outside of these areas in connection with our strategic collaboration with Novartis, as well as to a limited extent for our independent pipeline as the opportunities arise.</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BL-8040</w:t>
      </w:r>
    </w:p>
    <w:p>
      <w:pPr>
        <w:spacing w:after="0" w:line="254"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Our clinical-stage therapeutic candidate, BL-8040, is a novel, short peptide that functions as a high-affinity antagonist for CXCR4, which we are developing for the treatment of solid tumors, AML, and certain hematological indications. CXCR4 is a chemokine receptor that is directly involved in tumor progression, angiogenesis (growth of new blood vessels in the tumor), metastasis (spread of tumor to other organs) and cell survival. CXCR4 is over-expressed in more than 70% of human cancers and its expression often correlates with disease severity.</w:t>
      </w:r>
    </w:p>
    <w:p>
      <w:pPr>
        <w:spacing w:after="0" w:line="168" w:lineRule="exact"/>
        <w:rPr>
          <w:sz w:val="20"/>
          <w:szCs w:val="20"/>
          <w:color w:val="auto"/>
        </w:rPr>
      </w:pPr>
    </w:p>
    <w:p>
      <w:pPr>
        <w:ind w:right="160" w:firstLine="584"/>
        <w:spacing w:after="0" w:line="261" w:lineRule="auto"/>
        <w:rPr>
          <w:sz w:val="20"/>
          <w:szCs w:val="20"/>
          <w:color w:val="auto"/>
        </w:rPr>
      </w:pPr>
      <w:r>
        <w:rPr>
          <w:rFonts w:ascii="Arial" w:cs="Arial" w:eastAsia="Arial" w:hAnsi="Arial"/>
          <w:sz w:val="16"/>
          <w:szCs w:val="16"/>
          <w:color w:val="auto"/>
        </w:rPr>
        <w:t>BL-8040 mobilizes cancer cells from the bone marrow, thereby sensitizing these cells to chemo- and bio-based anti-cancer therapy. In addition, BL-8040 has demonstrated a direct anti-cancer effect by inducing apoptosis (cell death) and terminal differentiation. Multiple clinical and pre-clinical studies have shown the safety and efficacy of BL-8040. These studies have shown that BL-8040 inhibits the growth of various tumor types including multiple myeloma, non-Hodgkin's lymphoma, leukemia, non-small cell lung carcinoma, neuroblastoma and melanoma. BL-8040 significantly and preferentially stimulates apoptotic cell death of malignant cells (multiple myeloma, non-Hodgkin's lymphoma and leukemia).</w:t>
      </w:r>
    </w:p>
    <w:p>
      <w:pPr>
        <w:spacing w:after="0" w:line="168"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BL-8040 also mobilizes stem cells from the bone marrow to the peripheral blood, enabling their collection for subsequent autologous or allogeneic transplantation in cancer patients. In September 2013, the FDA granted an Orphan Drug Designation to BL-8040 as a therapeutic for the treatment of AML; and in January 2014, the FDA granted an Orphan Drug Designation to BL-8040 as a treatment for stem cell mobilization. In January 2015, the FDA modified this Orphan Drug Designation for BL-8040 for use either as a single agent or in combination with G-CSF.</w:t>
      </w:r>
    </w:p>
    <w:p>
      <w:pPr>
        <w:spacing w:after="0" w:line="168" w:lineRule="exact"/>
        <w:rPr>
          <w:sz w:val="20"/>
          <w:szCs w:val="20"/>
          <w:color w:val="auto"/>
        </w:rPr>
      </w:pPr>
    </w:p>
    <w:p>
      <w:pPr>
        <w:jc w:val="both"/>
        <w:ind w:right="60" w:firstLine="584"/>
        <w:spacing w:after="0" w:line="268" w:lineRule="auto"/>
        <w:rPr>
          <w:sz w:val="20"/>
          <w:szCs w:val="20"/>
          <w:color w:val="auto"/>
        </w:rPr>
      </w:pPr>
      <w:r>
        <w:rPr>
          <w:rFonts w:ascii="Arial" w:cs="Arial" w:eastAsia="Arial" w:hAnsi="Arial"/>
          <w:sz w:val="16"/>
          <w:szCs w:val="16"/>
          <w:color w:val="auto"/>
        </w:rPr>
        <w:t>In addition, findings in the field of immuno-oncology suggest that CXCR4 antagonists may be effective in inducing the migration of anti-tumor T-cells into the tumor micro-environment. As such, the combination of BL-8040 with immune checkpoints inhibitors (PD1/PD-L1 monoclonal antibodies) has the potential to expand the benefit of immunotherapy to cancer types currently resistant to immuno-oncology treatments.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8" w:name="page29"/>
    <w:bookmarkEnd w:id="28"/>
    <w:p>
      <w:pPr>
        <w:ind w:right="20" w:firstLine="584"/>
        <w:spacing w:after="0" w:line="274" w:lineRule="auto"/>
        <w:rPr>
          <w:sz w:val="20"/>
          <w:szCs w:val="20"/>
          <w:color w:val="auto"/>
        </w:rPr>
      </w:pPr>
      <w:r>
        <w:rPr>
          <w:rFonts w:ascii="Arial" w:cs="Arial" w:eastAsia="Arial" w:hAnsi="Arial"/>
          <w:sz w:val="15"/>
          <w:szCs w:val="15"/>
          <w:color w:val="auto"/>
        </w:rPr>
        <w:t>During 2016, we completed and reported on the results of a Phase 2a clinical trial studying the use of BL-8040 for the treatment of relapsed/refractory AML, or r/r AML. The Phase 2a trial was a multicenter, open-label study under an investigational new drug, or IND, conducted at six world-leading cancer research centers in the U.S. and at five premier sites in Israel, and was designed to assess the safety, efficacy, pharmacodynamics and pharmacokinetic parameters of BL-8040 as a single agent and in combination with Cytarabine (Ara-C) for the treatment of adult patients with r/r AML. The reported data set includes 45 patients, including three compassionate-use patients treated at the study sites under the identical treatment protocol. The majority of patients in the study were heavily pretreated, with 45% of patients being refractory to one or two remission induction treatments, 19% of patients having relapsed after a short first remission of less than 12 months, and 17% of patients having undergone two or more relapses. In addition, the treated patient population included patients that had relapsed post allogeneic stem-cell transplantation (17%), as well as secondary AML patients (24%), both conditions which represent difficult-to-treat populations with poor prognoses. Results show that treatment with BL-8040 in combination with Ara-C was safe and well tolerated at all doses tested up to and including the highest dose level of 2.0 mg/kg. Response to treatment was associated with efficient CXCR4 inhibition, resulting in high mobilization of blasts and induction of their differentiation. The composite complete remission rate, including both complete remission (CR) and complete remission with incomplete blood count recovery (CRi), was 38% in subjects receiving up to two cycles of BL-8040 treatment at doses of 1 mg/kg and higher (n=39). In the 1.5 mg/kg dose selected for the expansion Phase of the study (n=22), the composite complete remission rate was 41%. These response rates are superior to the historical response rate of approximately 20% reported for high-risk AML patients treated with Ara-C alone. The ongoing follow-up of patients participating in the study's expansion Phase and responding to the combination treatment suggests long durability of the remissions achieved, with two-thirds of these patients still alive, based on a follow-up period to date of up to 12 months.</w:t>
      </w:r>
    </w:p>
    <w:p>
      <w:pPr>
        <w:spacing w:after="0" w:line="163"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BL-8040 is also being investigated as a consolidation treatment together with cytarabine (the current standard of care) for AML patients who have responded to standard induction treatment and are in complete remission. In this regard, we are conducting a significant Phase 2b trial in Germany, in collaboration with the German Study Alliance Leukemia Group. The Phase 2b trial is a double-blind, placebo-controlled, randomized, multi-center study aimed at assessing the efficacy of BL-8040 in addition to standard consolidation therapy in AML patients. Up to 194 patients will be enrolled in the trial. The primary endpoint of the study is to compare the relapse-free survival (RFS) time in AML subjects in their first remission during a minimum follow-up time of 18 months after randomization. We are considering performing an interim analysis on this study in 2018, with top-line results expected in 2019.</w:t>
      </w:r>
    </w:p>
    <w:p>
      <w:pPr>
        <w:spacing w:after="0" w:line="217" w:lineRule="exact"/>
        <w:rPr>
          <w:sz w:val="20"/>
          <w:szCs w:val="20"/>
          <w:color w:val="auto"/>
        </w:rPr>
      </w:pPr>
    </w:p>
    <w:p>
      <w:pPr>
        <w:ind w:right="20" w:firstLine="584"/>
        <w:spacing w:after="0" w:line="282" w:lineRule="auto"/>
        <w:rPr>
          <w:sz w:val="20"/>
          <w:szCs w:val="20"/>
          <w:color w:val="auto"/>
        </w:rPr>
      </w:pPr>
      <w:r>
        <w:rPr>
          <w:rFonts w:ascii="Arial" w:cs="Arial" w:eastAsia="Arial" w:hAnsi="Arial"/>
          <w:sz w:val="15"/>
          <w:szCs w:val="15"/>
          <w:color w:val="auto"/>
        </w:rPr>
        <w:t>In March 2015, we announced successful top-line results from a Phase 1 trial for another indication of BL-8040 as a novel treatment for the mobilization of stem cells from the bone marrow to the peripheral blood circulation, where they can be harvested for transplant supporting the treatment of hematological indications. The study was conducted at the Hadassah Medical Center in Jerusalem. All safety and efficacy endpoints were met, showing that treatment with BL-8040 as a single agent was safe and well tolerated at all doses and resulted in efficient stem cell mobilization and collection in all study participants. Furthermore, the results support BL-8040 as one-day, single-dose collection regimen, which is a significant improvement in comparison with the current standard of care.</w:t>
      </w:r>
    </w:p>
    <w:p>
      <w:pPr>
        <w:spacing w:after="0" w:line="204" w:lineRule="exact"/>
        <w:rPr>
          <w:sz w:val="20"/>
          <w:szCs w:val="20"/>
          <w:color w:val="auto"/>
        </w:rPr>
      </w:pPr>
    </w:p>
    <w:p>
      <w:pPr>
        <w:ind w:right="20" w:firstLine="584"/>
        <w:spacing w:after="0" w:line="247" w:lineRule="auto"/>
        <w:rPr>
          <w:sz w:val="20"/>
          <w:szCs w:val="20"/>
          <w:color w:val="auto"/>
        </w:rPr>
      </w:pPr>
      <w:r>
        <w:rPr>
          <w:rFonts w:ascii="Arial" w:cs="Arial" w:eastAsia="Arial" w:hAnsi="Arial"/>
          <w:sz w:val="15"/>
          <w:szCs w:val="15"/>
          <w:color w:val="auto"/>
        </w:rPr>
        <w:t>In January 2016, we entered into a collaboration with MSD in the field of cancer immunotherapy. Based on this collaboration, in September 2016 we initiated a Phase 2a study, known as the COMBAT study, focusing on evaluating the safety and efficacy of BL-8040 in combination with KEYTRUDA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(pembrolizumab), MSD's anti-PD-1 therapy, in up to 30 patients with metastatic pancreatic adenocarcinoma. The study is an open-label, multicenter, single-arm trial designed to evaluate the clinical response, safety and tolerability of the combination of these therapies as well as multiple pharmacodynamic parameters, including the ability to improve infiltration of T-cells into the tumor and their reactivity. Upon completion of the study, or at any earlier point, both parties will have the option to expand the collaboration to include a pivotal registration study. Partial results are expected in the second half of 2017 and top-line results in the second half of 2018.</w:t>
      </w:r>
    </w:p>
    <w:p>
      <w:pPr>
        <w:spacing w:after="0" w:line="180" w:lineRule="exact"/>
        <w:rPr>
          <w:sz w:val="20"/>
          <w:szCs w:val="20"/>
          <w:color w:val="auto"/>
        </w:rPr>
      </w:pPr>
    </w:p>
    <w:p>
      <w:pPr>
        <w:ind w:right="60" w:firstLine="584"/>
        <w:spacing w:after="0" w:line="261" w:lineRule="auto"/>
        <w:rPr>
          <w:sz w:val="20"/>
          <w:szCs w:val="20"/>
          <w:color w:val="auto"/>
        </w:rPr>
      </w:pPr>
      <w:r>
        <w:rPr>
          <w:rFonts w:ascii="Arial" w:cs="Arial" w:eastAsia="Arial" w:hAnsi="Arial"/>
          <w:sz w:val="16"/>
          <w:szCs w:val="16"/>
          <w:color w:val="auto"/>
        </w:rPr>
        <w:t>In March 2016, we announced the initiation of a Phase 2 trial for BL-8040 for allogeneic stem-cell transplantation, conducted in collaboration with the Washington University School of Medicine, Division of Oncology and Hematology. Positive partial results from this study were reported in the first quarter of 2017, and topline results are expected by the end of 2017. In addition, based on developments in the field of mobilization and on market research, we are preparing to conduct a Phase 3 registration study in autologous stem cell mobilization. Our plans include meeting with the FDA to confirm the parameters of such a study and then commencing the study in the second half of 2017.</w:t>
      </w:r>
    </w:p>
    <w:p>
      <w:pPr>
        <w:spacing w:after="0" w:line="168" w:lineRule="exact"/>
        <w:rPr>
          <w:sz w:val="20"/>
          <w:szCs w:val="20"/>
          <w:color w:val="auto"/>
        </w:rPr>
      </w:pPr>
    </w:p>
    <w:p>
      <w:pPr>
        <w:ind w:right="40" w:firstLine="584"/>
        <w:spacing w:after="0" w:line="260" w:lineRule="auto"/>
        <w:rPr>
          <w:sz w:val="20"/>
          <w:szCs w:val="20"/>
          <w:color w:val="auto"/>
        </w:rPr>
      </w:pPr>
      <w:r>
        <w:rPr>
          <w:rFonts w:ascii="Arial" w:cs="Arial" w:eastAsia="Arial" w:hAnsi="Arial"/>
          <w:sz w:val="16"/>
          <w:szCs w:val="16"/>
          <w:color w:val="auto"/>
        </w:rPr>
        <w:t>In August 2016, by way of an agreement with MD Anderson Cancer Center, we entered into an additional collaboration for the investigation of BL-8040 in combination with KEYTRUDA in pancreatic cancer. The study will be conducted as an investigator-sponsored study, as part of a strategic clinical research collaboration between Merck and MD Anderson Cancer Center aimed at evaluating KEYTRUDA in combination with various treatments and novel drugs, including BL-8040. The open-label, single center, single-arm Phase 2b study will focus on the mechanism of action by which both drugs might synergize. In addition to assessing clinical response, the study will include multiple assessments to evaluate the biological anti-tumor effects induced by the combination. We are supplying BL-8040 for the study, which commenced in January 2017.</w:t>
      </w:r>
    </w:p>
    <w:p>
      <w:pPr>
        <w:spacing w:after="0" w:line="168" w:lineRule="exact"/>
        <w:rPr>
          <w:sz w:val="20"/>
          <w:szCs w:val="20"/>
          <w:color w:val="auto"/>
        </w:rPr>
      </w:pPr>
    </w:p>
    <w:p>
      <w:pPr>
        <w:ind w:right="100" w:firstLine="584"/>
        <w:spacing w:after="0" w:line="286" w:lineRule="auto"/>
        <w:rPr>
          <w:sz w:val="20"/>
          <w:szCs w:val="20"/>
          <w:color w:val="auto"/>
        </w:rPr>
      </w:pPr>
      <w:r>
        <w:rPr>
          <w:rFonts w:ascii="Arial" w:cs="Arial" w:eastAsia="Arial" w:hAnsi="Arial"/>
          <w:sz w:val="15"/>
          <w:szCs w:val="15"/>
          <w:color w:val="auto"/>
        </w:rPr>
        <w:t>In September 2016, we entered into a collaboration with Genentech to support several Phase 1b studies investigating BL-8040 in combination with Atezolizumab, Genentech's anti-PDL1 cancer immunotherapy, in multiple cancer indications. The Phase 1b studies, which are all expected to commence in 2017, will evaluate the clinical response, safety and tolerability of the combination of these therapies, as well as multiple pharmacodynamic parameters, in hematologic malignancies and solid tumors. Upon completion of the studies, both parties will have the option to expand the collaboration to include a pivotal registration study.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9" w:name="page30"/>
    <w:bookmarkEnd w:id="29"/>
    <w:p>
      <w:pPr>
        <w:ind w:right="240" w:firstLine="584"/>
        <w:spacing w:after="0" w:line="268" w:lineRule="auto"/>
        <w:rPr>
          <w:sz w:val="20"/>
          <w:szCs w:val="20"/>
          <w:color w:val="auto"/>
        </w:rPr>
      </w:pPr>
      <w:r>
        <w:rPr>
          <w:rFonts w:ascii="Arial" w:cs="Arial" w:eastAsia="Arial" w:hAnsi="Arial"/>
          <w:sz w:val="16"/>
          <w:szCs w:val="16"/>
          <w:color w:val="auto"/>
        </w:rPr>
        <w:t>In addition to the above, we are currently conducting, or planning to conduct, a number of investigator-initiated, open-label studies in a variety of indications, to support the interest of the scientific and medical communities in exploring additional uses for BL-8040. These studies serve to further elucidate the mechanism of action for BL-8040.</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AGI-134</w:t>
      </w:r>
    </w:p>
    <w:p>
      <w:pPr>
        <w:spacing w:after="0" w:line="254" w:lineRule="exact"/>
        <w:rPr>
          <w:sz w:val="20"/>
          <w:szCs w:val="20"/>
          <w:color w:val="auto"/>
        </w:rPr>
      </w:pPr>
    </w:p>
    <w:p>
      <w:pPr>
        <w:ind w:right="300" w:firstLine="584"/>
        <w:spacing w:after="0" w:line="283" w:lineRule="auto"/>
        <w:rPr>
          <w:sz w:val="20"/>
          <w:szCs w:val="20"/>
          <w:color w:val="auto"/>
        </w:rPr>
      </w:pPr>
      <w:r>
        <w:rPr>
          <w:rFonts w:ascii="Arial" w:cs="Arial" w:eastAsia="Arial" w:hAnsi="Arial"/>
          <w:sz w:val="16"/>
          <w:szCs w:val="16"/>
          <w:color w:val="auto"/>
        </w:rPr>
        <w:t>In March 2017, we acquired substantially all the outstanding shares of Agalimmune. The acquisition expands our pipeline to include Agalimmune's primary asset, AGI-134, an immuno-oncology agent for various cancer indications at the near-clinical stage of development.</w:t>
      </w:r>
    </w:p>
    <w:p>
      <w:pPr>
        <w:spacing w:after="0" w:line="151" w:lineRule="exact"/>
        <w:rPr>
          <w:sz w:val="20"/>
          <w:szCs w:val="20"/>
          <w:color w:val="auto"/>
        </w:rPr>
      </w:pPr>
    </w:p>
    <w:p>
      <w:pPr>
        <w:ind w:firstLine="584"/>
        <w:spacing w:after="0" w:line="259" w:lineRule="auto"/>
        <w:rPr>
          <w:sz w:val="20"/>
          <w:szCs w:val="20"/>
          <w:color w:val="auto"/>
        </w:rPr>
      </w:pPr>
      <w:r>
        <w:rPr>
          <w:rFonts w:ascii="Arial" w:cs="Arial" w:eastAsia="Arial" w:hAnsi="Arial"/>
          <w:sz w:val="16"/>
          <w:szCs w:val="16"/>
          <w:color w:val="auto"/>
        </w:rPr>
        <w:t>AGI-134, a near-clinical therapeutic candidate, is a synthetic alpha-Gal glycolipid immunotherapy in development for solid tumors. The goal of therapy using the compound is to harness the body's pre-existing, highly abundant, anti-alpha-Gal antibodies to induce a systemic, specific anti-tumor response to the patient's own tumor neo-antigens. This response not only kills the tumor cells at the site of injection, but also brings a durable, follow-on, anti-metastatic immune response. AGI-134 has completed numerous proof-of-concept studies, demonstrating robust protection against the development of secondary tumors in a model of melanoma with a single dose only. Synergy has also been demonstrated in the same model when combined with a PD-1 inhibitor immune checkpoint inhibitor, offering the potential to broaden the utility of such immunotherapies and improve the rate and duration of responses in multiple cancer types. AGI-134 is expected to commence a first-in-man study in patients with solid tumors in the first half of 2018.</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BL-5010</w:t>
      </w:r>
    </w:p>
    <w:p>
      <w:pPr>
        <w:spacing w:after="0" w:line="254" w:lineRule="exact"/>
        <w:rPr>
          <w:sz w:val="20"/>
          <w:szCs w:val="20"/>
          <w:color w:val="auto"/>
        </w:rPr>
      </w:pPr>
    </w:p>
    <w:p>
      <w:pPr>
        <w:ind w:right="80" w:firstLine="584"/>
        <w:spacing w:after="0" w:line="259" w:lineRule="auto"/>
        <w:rPr>
          <w:sz w:val="20"/>
          <w:szCs w:val="20"/>
          <w:color w:val="auto"/>
        </w:rPr>
      </w:pPr>
      <w:r>
        <w:rPr>
          <w:rFonts w:ascii="Arial" w:cs="Arial" w:eastAsia="Arial" w:hAnsi="Arial"/>
          <w:sz w:val="16"/>
          <w:szCs w:val="16"/>
          <w:color w:val="auto"/>
        </w:rPr>
        <w:t>Our commercialized therapeutic product, BL-5010, is a novel medical device containing a novel, acidic, aqueous solution and applicator for the non-surgical removal of benign skin lesions. It offers an alternative to painful, invasive and expensive removal treatments including cryotherapy, laser treatment and surgery. Since the treatment is non-invasive, it poses minimal infection risk and eliminates the need for anesthesia, antiseptic precautions and bandaging. The pre-filled device controls and standardizes the volume of solution applied to a lesion, ensuring accurate administration directly on the lesion and preventing both accidental exposure of the healthy surrounding tissue and unintentional dripping. The device has an ergonomic design, making it easy to handle, and it will be childproofed. The product has completed a Phase 1/2 pilot clinical study for the removal of a skin lesion known as seborrheic keratosis, or SK, which showed excellent efficacy and cosmetic results, and has received confirmation in Europe for the regulatory pathway classification as a Class IIa medical device.</w:t>
      </w:r>
    </w:p>
    <w:p>
      <w:pPr>
        <w:spacing w:after="0" w:line="217" w:lineRule="exact"/>
        <w:rPr>
          <w:sz w:val="20"/>
          <w:szCs w:val="20"/>
          <w:color w:val="auto"/>
        </w:rPr>
      </w:pPr>
    </w:p>
    <w:p>
      <w:pPr>
        <w:ind w:firstLine="584"/>
        <w:spacing w:after="0" w:line="297" w:lineRule="auto"/>
        <w:rPr>
          <w:sz w:val="20"/>
          <w:szCs w:val="20"/>
          <w:color w:val="auto"/>
        </w:rPr>
      </w:pPr>
      <w:r>
        <w:rPr>
          <w:rFonts w:ascii="Arial" w:cs="Arial" w:eastAsia="Arial" w:hAnsi="Arial"/>
          <w:sz w:val="14"/>
          <w:szCs w:val="14"/>
          <w:color w:val="auto"/>
        </w:rPr>
        <w:t>In December 2014, we entered into an exclusive out-licensing arrangement with Omega Pharma, now part of Perrigo Company plc, for the rights to BL-5010 for over-the-counter, or OTC, indications in the territories of Europe, Australia and additional selected countries. We will retain all OTC rights to BL-5010 in the United States and the rest of the world, as well as all non-OTC rights on a global basis. Under our out-licensing arrangement with Omega Pharma, Omega Pharma is obligated to use commercially reasonable best efforts to obtain regulatory approval in the licensed territory for at least two OTC indications and to commercialize BL-5010 for those two OTC indications. In addition, Omega Pharma will sponsor and manufacture BL-5010 in the relevant regions. Omega Pharma will pay us an agreed amount for each unit sold, and we will be entitled to certain commercial milestone payments. In addition, we will have full access to all clinical and research and development data generated during the performance of the development plan and may use these data in order to develop or license the product in other territories and fields of use where we retain the rights. In March 2016, Omega Pharma received CE Mark approval for BL-5010 as a novel OTC treatment for the non-surgical removal of warts. The commercial product launch of this first OTC indication (warts/verrucas) commenced in Europe in the second quarter of 2016. As a result of our out-licensing arrangement with Omega Pharma, as well as the previous discussions with other potential partners for this product, the development activities for BL-5010 are currently focused on OTC indications. However, we may decide to continue development of BL-5010 for non-OTC indications, including, but not limited to, SK, or for OTC indications in territories not out-licensed to Omega Pharma, primarily the 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ind w:right="100" w:firstLine="584"/>
        <w:spacing w:after="0" w:line="283" w:lineRule="auto"/>
        <w:rPr>
          <w:sz w:val="20"/>
          <w:szCs w:val="20"/>
          <w:color w:val="auto"/>
        </w:rPr>
      </w:pPr>
      <w:r>
        <w:rPr>
          <w:rFonts w:ascii="Arial" w:cs="Arial" w:eastAsia="Arial" w:hAnsi="Arial"/>
          <w:sz w:val="16"/>
          <w:szCs w:val="16"/>
          <w:color w:val="auto"/>
        </w:rPr>
        <w:t>We are required to pay a portion, within the standard range of sublicense receipt consideration paid to our licensors, of the revenues we receive from our arrangement with Omega Pharma, to Innovative Pharmaceutical Concepts, Inc. or IPC, the party from which we in-licensed BL-5010 in 2007.</w:t>
      </w:r>
    </w:p>
    <w:p>
      <w:pPr>
        <w:spacing w:after="0" w:line="199" w:lineRule="exact"/>
        <w:rPr>
          <w:sz w:val="20"/>
          <w:szCs w:val="20"/>
          <w:color w:val="auto"/>
        </w:rPr>
      </w:pPr>
    </w:p>
    <w:p>
      <w:pPr>
        <w:ind w:right="40" w:firstLine="584"/>
        <w:spacing w:after="0" w:line="282" w:lineRule="auto"/>
        <w:rPr>
          <w:sz w:val="20"/>
          <w:szCs w:val="20"/>
          <w:color w:val="auto"/>
        </w:rPr>
      </w:pPr>
      <w:r>
        <w:rPr>
          <w:rFonts w:ascii="Arial" w:cs="Arial" w:eastAsia="Arial" w:hAnsi="Arial"/>
          <w:sz w:val="15"/>
          <w:szCs w:val="15"/>
          <w:color w:val="auto"/>
        </w:rPr>
        <w:t>As part of our business strategy, we continue to actively source, rigorously evaluate and in-license selected therapeutic candidates. We establish and maintain close relationships with research institutes, academic institutions and biotechnology companies in Israel. More recently, we have extended our sourcing activities to other countries. Before in-licensing, each therapeutic candidate must pass through our thorough screening process. In certain circumstances, our Scientific Advisory Board and disease-specific third-party advisors are active in evaluating certain therapeutic candidates, as deemed necessary. Our approach is consistent with our objective of proceeding only with therapeutic candidates that we believe exhibit a relatively high probability of therapeutic and commercial success.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58" w:lineRule="exact"/>
        <w:rPr>
          <w:sz w:val="20"/>
          <w:szCs w:val="20"/>
          <w:color w:val="auto"/>
        </w:rPr>
      </w:pPr>
    </w:p>
    <w:p>
      <w:pPr>
        <w:ind w:right="100" w:firstLine="584"/>
        <w:spacing w:after="0" w:line="294" w:lineRule="auto"/>
        <w:rPr>
          <w:sz w:val="20"/>
          <w:szCs w:val="20"/>
          <w:color w:val="auto"/>
        </w:rPr>
      </w:pPr>
      <w:r>
        <w:rPr>
          <w:rFonts w:ascii="Arial" w:cs="Arial" w:eastAsia="Arial" w:hAnsi="Arial"/>
          <w:sz w:val="15"/>
          <w:szCs w:val="15"/>
          <w:color w:val="auto"/>
        </w:rPr>
        <w:t>Our objective is to be a leader in developing innovative pharmaceutical and biopharmaceutical products. We continuously identify and in-license therapeutic candidates in order to maximize our potential for commercial success. We repeatedly assess compounds by evaluating their efficacy, safety, total estimated development costs, technological novelty, patent status, market potential and approvability. Our approach to evaluating, in-licensing and developing therapeutic candidates allows us to:</w:t>
      </w:r>
    </w:p>
    <w:p>
      <w:pPr>
        <w:spacing w:after="0" w:line="194" w:lineRule="exact"/>
        <w:rPr>
          <w:sz w:val="20"/>
          <w:szCs w:val="20"/>
          <w:color w:val="auto"/>
        </w:rPr>
      </w:pPr>
    </w:p>
    <w:p>
      <w:pPr>
        <w:ind w:left="1160" w:hanging="578"/>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continually build our pipeline of therapeutic candidates;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advance those therapeutic candidates with the greatest potential;</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quickly identify, and terminate the development of, unattractive therapeutic candidates;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avoid dependency on a small number of therapeutic candidates.</w:t>
      </w:r>
    </w:p>
    <w:p>
      <w:pPr>
        <w:spacing w:after="0" w:line="254" w:lineRule="exact"/>
        <w:rPr>
          <w:sz w:val="20"/>
          <w:szCs w:val="20"/>
          <w:color w:val="auto"/>
        </w:rPr>
      </w:pPr>
    </w:p>
    <w:p>
      <w:pPr>
        <w:ind w:right="200" w:firstLine="584"/>
        <w:spacing w:after="0" w:line="283" w:lineRule="auto"/>
        <w:rPr>
          <w:sz w:val="20"/>
          <w:szCs w:val="20"/>
          <w:color w:val="auto"/>
        </w:rPr>
      </w:pPr>
      <w:r>
        <w:rPr>
          <w:rFonts w:ascii="Arial" w:cs="Arial" w:eastAsia="Arial" w:hAnsi="Arial"/>
          <w:sz w:val="16"/>
          <w:szCs w:val="16"/>
          <w:color w:val="auto"/>
        </w:rPr>
        <w:t>Using this approach, we have successfully advanced a number of therapeutic candidates into clinical development. Specific elements of our current strategy include the following:</w:t>
      </w:r>
    </w:p>
    <w:p>
      <w:pPr>
        <w:spacing w:after="0" w:line="195" w:lineRule="exact"/>
        <w:rPr>
          <w:sz w:val="20"/>
          <w:szCs w:val="20"/>
          <w:color w:val="auto"/>
        </w:rPr>
      </w:pPr>
    </w:p>
    <w:p>
      <w:pPr>
        <w:ind w:left="1160" w:right="360" w:hanging="578"/>
        <w:spacing w:after="0" w:line="288"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Support the successful development and commercialization of therapeutic candidates that have already been partnered. </w:t>
      </w:r>
      <w:r>
        <w:rPr>
          <w:rFonts w:ascii="Arial" w:cs="Arial" w:eastAsia="Arial" w:hAnsi="Arial"/>
          <w:sz w:val="16"/>
          <w:szCs w:val="16"/>
          <w:color w:val="auto"/>
        </w:rPr>
        <w:t>We currently have seven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at various stages of development in our pipeline that have already been partnered or under collaboration.</w:t>
      </w:r>
    </w:p>
    <w:p>
      <w:pPr>
        <w:spacing w:after="0" w:line="191" w:lineRule="exact"/>
        <w:rPr>
          <w:rFonts w:ascii="Arial" w:cs="Arial" w:eastAsia="Arial" w:hAnsi="Arial"/>
          <w:sz w:val="16"/>
          <w:szCs w:val="16"/>
          <w:color w:val="auto"/>
        </w:rPr>
      </w:pPr>
    </w:p>
    <w:p>
      <w:pPr>
        <w:ind w:left="1160" w:hanging="578"/>
        <w:spacing w:after="0" w:line="284" w:lineRule="auto"/>
        <w:tabs>
          <w:tab w:leader="none" w:pos="1160" w:val="left"/>
        </w:tabs>
        <w:numPr>
          <w:ilvl w:val="0"/>
          <w:numId w:val="23"/>
        </w:numPr>
        <w:rPr>
          <w:rFonts w:ascii="Arial" w:cs="Arial" w:eastAsia="Arial" w:hAnsi="Arial"/>
          <w:sz w:val="15"/>
          <w:szCs w:val="15"/>
          <w:color w:val="auto"/>
        </w:rPr>
      </w:pPr>
      <w:r>
        <w:rPr>
          <w:rFonts w:ascii="Arial" w:cs="Arial" w:eastAsia="Arial" w:hAnsi="Arial"/>
          <w:sz w:val="15"/>
          <w:szCs w:val="15"/>
          <w:b w:val="1"/>
          <w:bCs w:val="1"/>
          <w:color w:val="auto"/>
        </w:rPr>
        <w:t xml:space="preserve">Commercialize additional therapeutic candidates through out-licensing or co-development arrangements or, where appropriate, by ourselves. </w:t>
      </w:r>
      <w:r>
        <w:rPr>
          <w:rFonts w:ascii="Arial" w:cs="Arial" w:eastAsia="Arial" w:hAnsi="Arial"/>
          <w:sz w:val="15"/>
          <w:szCs w:val="15"/>
          <w:color w:val="auto"/>
        </w:rPr>
        <w:t>We</w:t>
      </w:r>
      <w:r>
        <w:rPr>
          <w:rFonts w:ascii="Arial" w:cs="Arial" w:eastAsia="Arial" w:hAnsi="Arial"/>
          <w:sz w:val="15"/>
          <w:szCs w:val="15"/>
          <w:b w:val="1"/>
          <w:bCs w:val="1"/>
          <w:color w:val="auto"/>
        </w:rPr>
        <w:t xml:space="preserve"> </w:t>
      </w:r>
      <w:r>
        <w:rPr>
          <w:rFonts w:ascii="Arial" w:cs="Arial" w:eastAsia="Arial" w:hAnsi="Arial"/>
          <w:sz w:val="15"/>
          <w:szCs w:val="15"/>
          <w:color w:val="auto"/>
        </w:rPr>
        <w:t>intend to commercialize many of our other products through out-licensing or co-development arrangements with third parties who may perform any or all of the following tasks: completing development, securing regulatory approvals, securing reimbursement codes from insurance companies and Health Maintenance Organizations, manufacturing and/or marketing. If appropriate, we may also enter into co-development and similar arrangements with respect to any therapeutic candidate with third parties or commercialize a therapeutic candidate ourselves.</w:t>
      </w:r>
    </w:p>
    <w:p>
      <w:pPr>
        <w:spacing w:after="0" w:line="197" w:lineRule="exact"/>
        <w:rPr>
          <w:rFonts w:ascii="Arial" w:cs="Arial" w:eastAsia="Arial" w:hAnsi="Arial"/>
          <w:sz w:val="15"/>
          <w:szCs w:val="15"/>
          <w:color w:val="auto"/>
        </w:rPr>
      </w:pPr>
    </w:p>
    <w:p>
      <w:pPr>
        <w:ind w:left="1160" w:right="480" w:hanging="578"/>
        <w:spacing w:after="0" w:line="265"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Design development programs that reach critical decisions quickly. </w:t>
      </w:r>
      <w:r>
        <w:rPr>
          <w:rFonts w:ascii="Arial" w:cs="Arial" w:eastAsia="Arial" w:hAnsi="Arial"/>
          <w:sz w:val="16"/>
          <w:szCs w:val="16"/>
          <w:color w:val="auto"/>
        </w:rPr>
        <w:t>At each step of our screening process for therapeutic candidates, a candidate is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subjected to rigorous feasibility testing and potential advancement or termination. We believe our feasibility approach reduces costs and increases the probability of commercial success by eliminating less promising candidates quickly before advancing them into more costly preclinical and clinical programs.</w:t>
      </w:r>
    </w:p>
    <w:p>
      <w:pPr>
        <w:spacing w:after="0" w:line="210" w:lineRule="exact"/>
        <w:rPr>
          <w:rFonts w:ascii="Arial" w:cs="Arial" w:eastAsia="Arial" w:hAnsi="Arial"/>
          <w:sz w:val="16"/>
          <w:szCs w:val="16"/>
          <w:color w:val="auto"/>
        </w:rPr>
      </w:pPr>
    </w:p>
    <w:p>
      <w:pPr>
        <w:ind w:left="1160" w:right="300" w:hanging="578"/>
        <w:spacing w:after="0" w:line="265"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Use our expertise and proven screening methodology to evaluate in-licensing opportunities. </w:t>
      </w:r>
      <w:r>
        <w:rPr>
          <w:rFonts w:ascii="Arial" w:cs="Arial" w:eastAsia="Arial" w:hAnsi="Arial"/>
          <w:sz w:val="16"/>
          <w:szCs w:val="16"/>
          <w:color w:val="auto"/>
        </w:rPr>
        <w:t>In order to review and select among various candidates</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efficiently and effectively, we employ a rigorous screening system we developed. In certain instances, our Scientific Advisory Board and disease-specific third-party advisors evaluate therapeutic candidates, as deemed necessary. In addition, projects under the Novartis collaboration benefit from additional review and assessment by Novartis.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ind w:left="1160" w:hanging="578"/>
        <w:spacing w:after="0" w:line="259"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Leverage and expand our relationships with research institutes, academic institutions and biotechnology companies, including the specific strategic relationships that we have developed with Israeli research and academic institutions, to identify and in-license promising therapeutic candidates.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date, we have successfully in-licensed compounds from many major Israeli universities, as well as from many Israeli hospitals, technology incubators and biotechnology companies. We continue to maintain close contacts with university technology transfer offices, research and development authorities, university faculty, and many biotechnology companies to actively seek out early stage compounds. In addition, we actively source and evaluate non-Israeli compounds. In line with this strategy, in March 2017 we announced our acquisition of Agalimmune. Agalimmune’s primary asset, AGI-134, is a near-clinical immuno-oncology agent for various cancer indications.</w:t>
      </w:r>
    </w:p>
    <w:p>
      <w:pPr>
        <w:spacing w:after="0" w:line="217" w:lineRule="exact"/>
        <w:rPr>
          <w:rFonts w:ascii="Arial" w:cs="Arial" w:eastAsia="Arial" w:hAnsi="Arial"/>
          <w:sz w:val="16"/>
          <w:szCs w:val="16"/>
          <w:color w:val="auto"/>
        </w:rPr>
      </w:pPr>
    </w:p>
    <w:p>
      <w:pPr>
        <w:ind w:left="1160" w:right="80" w:hanging="578"/>
        <w:spacing w:after="0" w:line="257"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Seek to co-develop certain pre-clinical and early clinical therapeutic projects through clinical proof-of-concept by means of our multi-year strategic collaboration agreement with Novartis</w:t>
      </w:r>
      <w:r>
        <w:rPr>
          <w:rFonts w:ascii="Arial" w:cs="Arial" w:eastAsia="Arial" w:hAnsi="Arial"/>
          <w:sz w:val="16"/>
          <w:szCs w:val="16"/>
          <w:color w:val="auto"/>
        </w:rPr>
        <w:t>. Pursuant to an agreement entered into in December 2014, Novartis will evaluate jointly with us both clinical and</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 stage projects presented by us via a Joint Steering Committee, which will determine which projects to advance further in development and on what terms. Projects at or reaching the clinical stage will be eligible for selection by Novartis. Upon selection of a project, Novartis will pay us an option fee of $5 million, as well as fund 50% of the anticipated remaining development costs associated with establishing clinical proof-of-concept, in the form of an additional equity investment in BioLineRx. A limited number of projects in pre-clinical stages are also eligible for flagging by Novartis, for initial development by BioLineRx. Such projects, once reaching the clinical stage, will be eligible for selection by Novartis under the terms set forth above. The companies intend to develop up to three clinical-stage programs pursuant to this collaboration. Under the terms of the agreement, Novartis acquired 5,000,000 of our ADSs in a private transaction at a price of $2.00 per ADS, for a total equity investment of $10 million, and agreed to certain standstill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Pipeline</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table below summarizes our current pipeline of therapeutic candidates, including the target indications and status of each candidate and our development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317105" cy="4012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105" cy="401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 Therapeutic Candidates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BL-8040</w:t>
      </w:r>
    </w:p>
    <w:p>
      <w:pPr>
        <w:spacing w:after="0" w:line="254" w:lineRule="exact"/>
        <w:rPr>
          <w:sz w:val="20"/>
          <w:szCs w:val="20"/>
          <w:color w:val="auto"/>
        </w:rPr>
      </w:pPr>
    </w:p>
    <w:p>
      <w:pPr>
        <w:jc w:val="both"/>
        <w:ind w:right="40" w:firstLine="584"/>
        <w:spacing w:after="0" w:line="294" w:lineRule="auto"/>
        <w:rPr>
          <w:sz w:val="20"/>
          <w:szCs w:val="20"/>
          <w:color w:val="auto"/>
        </w:rPr>
      </w:pPr>
      <w:r>
        <w:rPr>
          <w:rFonts w:ascii="Arial" w:cs="Arial" w:eastAsia="Arial" w:hAnsi="Arial"/>
          <w:sz w:val="15"/>
          <w:szCs w:val="15"/>
          <w:color w:val="auto"/>
        </w:rPr>
        <w:t>BL-8040 is a novel, short peptide that functions as a high-affinity antagonist for CXCR4, which we are developing for the treatment of AML, solid tumors and certain hematological indications. CXCR4 is a chemokine receptor that is directly involved in tumor progression, angiogenesis, metastasis and cell survival. CXCR4 is over-expressed in more than 70% of human cancers and its over-expression often correlates with disease severity. We in-licensed BL-8040 from Biokine in September 2012.</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paragraphs are a high-level summary of the therapeutic areas we are currently investigating for BL-8040:</w:t>
      </w:r>
    </w:p>
    <w:p>
      <w:pPr>
        <w:spacing w:after="0" w:line="206" w:lineRule="exact"/>
        <w:rPr>
          <w:sz w:val="20"/>
          <w:szCs w:val="20"/>
          <w:color w:val="auto"/>
        </w:rPr>
      </w:pPr>
    </w:p>
    <w:p>
      <w:pPr>
        <w:ind w:firstLine="584"/>
        <w:spacing w:after="0" w:line="307" w:lineRule="auto"/>
        <w:rPr>
          <w:sz w:val="20"/>
          <w:szCs w:val="20"/>
          <w:color w:val="auto"/>
        </w:rPr>
      </w:pPr>
      <w:r>
        <w:rPr>
          <w:rFonts w:ascii="Arial" w:cs="Arial" w:eastAsia="Arial" w:hAnsi="Arial"/>
          <w:sz w:val="14"/>
          <w:szCs w:val="14"/>
          <w:i w:val="1"/>
          <w:iCs w:val="1"/>
          <w:color w:val="auto"/>
        </w:rPr>
        <w:t xml:space="preserve">Acute Myeloid Leukemia (AML). </w:t>
      </w:r>
      <w:r>
        <w:rPr>
          <w:rFonts w:ascii="Arial" w:cs="Arial" w:eastAsia="Arial" w:hAnsi="Arial"/>
          <w:sz w:val="14"/>
          <w:szCs w:val="14"/>
          <w:color w:val="auto"/>
        </w:rPr>
        <w:t>AML is a cancer of the blood and bone marrow and is the most common type of acute leukemia in adults. The Surveillance,</w:t>
      </w:r>
      <w:r>
        <w:rPr>
          <w:rFonts w:ascii="Arial" w:cs="Arial" w:eastAsia="Arial" w:hAnsi="Arial"/>
          <w:sz w:val="14"/>
          <w:szCs w:val="14"/>
          <w:i w:val="1"/>
          <w:iCs w:val="1"/>
          <w:color w:val="auto"/>
        </w:rPr>
        <w:t xml:space="preserve"> </w:t>
      </w:r>
      <w:r>
        <w:rPr>
          <w:rFonts w:ascii="Arial" w:cs="Arial" w:eastAsia="Arial" w:hAnsi="Arial"/>
          <w:sz w:val="14"/>
          <w:szCs w:val="14"/>
          <w:color w:val="auto"/>
        </w:rPr>
        <w:t>Epidemiology and End Results program, or SEER, of the National Cancer Institute estimates that approximately 20,000 new cases of AML were diagnosed in the United States in 2016. The first treatment line for patients with AML includes a combination of chemotherapy drugs and is called induction treatment. The median survival for AML patients receiving induction chemotherapy is less than two years, with shorter survival for patients over the age of 60 or for those with certain gene or chromosome aberrations. Due to relapsed or refractory disease (where the disease is not responsive to standard treatments), the overall five-year survival rate for AML is between 10 and 40 percent.</w:t>
      </w:r>
    </w:p>
    <w:p>
      <w:pPr>
        <w:sectPr>
          <w:pgSz w:w="11900" w:h="16838" w:orient="portrait"/>
          <w:cols w:equalWidth="0" w:num="1">
            <w:col w:w="11420"/>
          </w:cols>
          <w:pgMar w:left="240" w:top="123" w:right="23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725995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32" w:name="page33"/>
    <w:bookmarkEnd w:id="32"/>
    <w:p>
      <w:pPr>
        <w:ind w:firstLine="584"/>
        <w:spacing w:after="0" w:line="260" w:lineRule="auto"/>
        <w:rPr>
          <w:sz w:val="20"/>
          <w:szCs w:val="20"/>
          <w:color w:val="auto"/>
        </w:rPr>
      </w:pPr>
      <w:r>
        <w:rPr>
          <w:rFonts w:ascii="Arial" w:cs="Arial" w:eastAsia="Arial" w:hAnsi="Arial"/>
          <w:sz w:val="16"/>
          <w:szCs w:val="16"/>
          <w:i w:val="1"/>
          <w:iCs w:val="1"/>
          <w:color w:val="auto"/>
        </w:rPr>
        <w:t xml:space="preserve">Stem cell mobilization. </w:t>
      </w:r>
      <w:r>
        <w:rPr>
          <w:rFonts w:ascii="Arial" w:cs="Arial" w:eastAsia="Arial" w:hAnsi="Arial"/>
          <w:sz w:val="16"/>
          <w:szCs w:val="16"/>
          <w:color w:val="auto"/>
        </w:rPr>
        <w:t>High-dose chemotherapy followed by stem cell transplantation has become an established treatment modality for a variety of hematologic</w:t>
      </w:r>
      <w:r>
        <w:rPr>
          <w:rFonts w:ascii="Arial" w:cs="Arial" w:eastAsia="Arial" w:hAnsi="Arial"/>
          <w:sz w:val="16"/>
          <w:szCs w:val="16"/>
          <w:i w:val="1"/>
          <w:iCs w:val="1"/>
          <w:color w:val="auto"/>
        </w:rPr>
        <w:t xml:space="preserve"> </w:t>
      </w:r>
      <w:r>
        <w:rPr>
          <w:rFonts w:ascii="Arial" w:cs="Arial" w:eastAsia="Arial" w:hAnsi="Arial"/>
          <w:sz w:val="16"/>
          <w:szCs w:val="16"/>
          <w:color w:val="auto"/>
        </w:rPr>
        <w:t>malignancies, including multiple myeloma, as well as various forms of lymphoma and leukemia. Stem cells are mobilized from the bone marrow of the patient (i.e., autologous transplant) or donor (i.e., allogeneic transplant) using granulocyte colony-stimulating factor, or G-CSF, harvested from the peripheral blood by apheresis, and infused to the patient after chemotherapy. G-CSF is approved only for autologous use, although it is also used to mobilize and collect stem cells in the allogeneic setting on an off-label basis. This type of treatment often replaces the use of traditional surgical bone marrow harvesting, because the stem cells are easier to collect and the treatment allows for a quicker recovery time and fewer complications</w:t>
      </w:r>
      <w:r>
        <w:rPr>
          <w:rFonts w:ascii="Arial" w:cs="Arial" w:eastAsia="Arial" w:hAnsi="Arial"/>
          <w:sz w:val="16"/>
          <w:szCs w:val="16"/>
          <w:i w:val="1"/>
          <w:iCs w:val="1"/>
          <w:color w:val="auto"/>
        </w:rPr>
        <w:t>.</w:t>
      </w:r>
    </w:p>
    <w:p>
      <w:pPr>
        <w:spacing w:after="0" w:line="168" w:lineRule="exact"/>
        <w:rPr>
          <w:sz w:val="20"/>
          <w:szCs w:val="20"/>
          <w:color w:val="auto"/>
        </w:rPr>
      </w:pPr>
    </w:p>
    <w:p>
      <w:pPr>
        <w:ind w:right="200" w:firstLine="584"/>
        <w:spacing w:after="0" w:line="260" w:lineRule="auto"/>
        <w:rPr>
          <w:sz w:val="20"/>
          <w:szCs w:val="20"/>
          <w:color w:val="auto"/>
        </w:rPr>
      </w:pPr>
      <w:r>
        <w:rPr>
          <w:rFonts w:ascii="Arial" w:cs="Arial" w:eastAsia="Arial" w:hAnsi="Arial"/>
          <w:sz w:val="16"/>
          <w:szCs w:val="16"/>
          <w:i w:val="1"/>
          <w:iCs w:val="1"/>
          <w:color w:val="auto"/>
        </w:rPr>
        <w:t xml:space="preserve">Solid malignancies (e.g., pancreatic, gastric and non-small cell lung cancer). </w:t>
      </w:r>
      <w:r>
        <w:rPr>
          <w:rFonts w:ascii="Arial" w:cs="Arial" w:eastAsia="Arial" w:hAnsi="Arial"/>
          <w:sz w:val="16"/>
          <w:szCs w:val="16"/>
          <w:color w:val="auto"/>
        </w:rPr>
        <w:t>According to the Journal of Oncology Practice, in 2020 roughly 1 in every 19 people</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will either be diagnosed with a solid tumor or be a cancer survivor. According to the American Cancer Society, lung cancers are the most common type of cancer worldwide, while pancreatic cancers of all types are the third most common cause of cancer-related deaths in the United States. Pancreatic, gastric and non-small cell lung malignancies have high mortality rates and poor five-years survival prognosis. Novel, emerging therapeutic approaches for targeting solid tumors are being developed and tested. Combinational therapies of immune checkpoint inhibitors with immuno-oncology supporting agents are among the most promising experimental treatments for solid malignancies.</w:t>
      </w:r>
    </w:p>
    <w:p>
      <w:pPr>
        <w:spacing w:after="0" w:line="217" w:lineRule="exact"/>
        <w:rPr>
          <w:sz w:val="20"/>
          <w:szCs w:val="20"/>
          <w:color w:val="auto"/>
        </w:rPr>
      </w:pPr>
    </w:p>
    <w:p>
      <w:pPr>
        <w:jc w:val="both"/>
        <w:ind w:right="40" w:firstLine="584"/>
        <w:spacing w:after="0" w:line="260" w:lineRule="auto"/>
        <w:rPr>
          <w:sz w:val="20"/>
          <w:szCs w:val="20"/>
          <w:color w:val="auto"/>
        </w:rPr>
      </w:pPr>
      <w:r>
        <w:rPr>
          <w:rFonts w:ascii="Arial" w:cs="Arial" w:eastAsia="Arial" w:hAnsi="Arial"/>
          <w:sz w:val="16"/>
          <w:szCs w:val="16"/>
          <w:i w:val="1"/>
          <w:iCs w:val="1"/>
          <w:color w:val="auto"/>
        </w:rPr>
        <w:t>Regulatory Approvals</w:t>
      </w:r>
      <w:r>
        <w:rPr>
          <w:rFonts w:ascii="Arial" w:cs="Arial" w:eastAsia="Arial" w:hAnsi="Arial"/>
          <w:sz w:val="16"/>
          <w:szCs w:val="16"/>
          <w:color w:val="auto"/>
        </w:rPr>
        <w:t>. In September 2013, the FDA granted an Orphan Drug Designation to BL-8040 as a therapeutic for the treatment of AML. In January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FDA granted an Orphan Drug Designation to BL-8040 for use, in combination with G-CSF, in mobilizing human stem cells from the bone marrow to the peripheral blood for collection for autologous or allogeneic (donor-based) transplantation. In January 2015, the FDA modified this Orphan Drug Designation for BL-8040 for use either as a single agent or in combination with G-CSF. Orphan Drug Designation is granted to therapeutics intended to treat rare diseases that affect not more than 200,000 people in the United States. Orphan Drug Designation entitles the sponsor to a seven-year marketing exclusivity period and clinical protocol assistance with the FDA, as well as federal grants and tax credits.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Preclinical Results.</w:t>
      </w:r>
    </w:p>
    <w:p>
      <w:pPr>
        <w:spacing w:after="0" w:line="254"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In vitro and in vivo data show that BL-8040 binds CXCR4 at the low nanomolar range (1-10nM) and occupies it for prolonged periods of time (&gt;24h). These studies have shown that BL-8040 mobilizes cancer cells from the bone marrow and may therefore sensitize these cells to chemo- and bio-based anti-cancer therapies. In addition, BL-8040 directly induces apoptosis of cancer cells. BL-8040 was efficient, both alone and in combination with chemotherapy, in reducing malignant bone marrow cells and stimulating their cell death.</w:t>
      </w:r>
    </w:p>
    <w:p>
      <w:pPr>
        <w:spacing w:after="0" w:line="168" w:lineRule="exact"/>
        <w:rPr>
          <w:sz w:val="20"/>
          <w:szCs w:val="20"/>
          <w:color w:val="auto"/>
        </w:rPr>
      </w:pPr>
    </w:p>
    <w:p>
      <w:pPr>
        <w:ind w:right="740" w:firstLine="584"/>
        <w:spacing w:after="0" w:line="283" w:lineRule="auto"/>
        <w:rPr>
          <w:sz w:val="20"/>
          <w:szCs w:val="20"/>
          <w:color w:val="auto"/>
        </w:rPr>
      </w:pPr>
      <w:r>
        <w:rPr>
          <w:rFonts w:ascii="Arial" w:cs="Arial" w:eastAsia="Arial" w:hAnsi="Arial"/>
          <w:sz w:val="16"/>
          <w:szCs w:val="16"/>
          <w:color w:val="auto"/>
        </w:rPr>
        <w:t>In August 2013, we announced that BL-8040 has been shown in pre-clinical trials to be effective for the treatment of thrombocytopenia, or reduced platelet production.</w:t>
      </w:r>
    </w:p>
    <w:p>
      <w:pPr>
        <w:spacing w:after="0" w:line="199" w:lineRule="exact"/>
        <w:rPr>
          <w:sz w:val="20"/>
          <w:szCs w:val="20"/>
          <w:color w:val="auto"/>
        </w:rPr>
      </w:pPr>
    </w:p>
    <w:p>
      <w:pPr>
        <w:ind w:right="40" w:firstLine="584"/>
        <w:spacing w:after="0" w:line="261" w:lineRule="auto"/>
        <w:rPr>
          <w:sz w:val="20"/>
          <w:szCs w:val="20"/>
          <w:color w:val="auto"/>
        </w:rPr>
      </w:pPr>
      <w:r>
        <w:rPr>
          <w:rFonts w:ascii="Arial" w:cs="Arial" w:eastAsia="Arial" w:hAnsi="Arial"/>
          <w:sz w:val="16"/>
          <w:szCs w:val="16"/>
          <w:color w:val="auto"/>
        </w:rPr>
        <w:t>In December 2013, we presented pre-clinical data at the annual meeting of the American Society of Hematology (ASH), showing that BL-8040 directly inhibits AML cell growth and induces cell death, both in cell cultures and in mice engrafted with human AML cells. In addition, BL-8040 showed the ability to induce mobilization of AML cells from the bone marrow into the blood circulation, thereby enhancing the chemotherapeutic effect of ARA-C (one of the standard-of-care chemotherapies for AML). The data also showed that BL-8040's effects were even more robust in cells harboring the FLT3 mutation, and a synergistic effect was observed when BL-8040 was combined with the FLT3 inhibitor AC220 (Quizartinib).</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3" w:name="page34"/>
    <w:bookmarkEnd w:id="33"/>
    <w:p>
      <w:pPr>
        <w:ind w:right="40" w:firstLine="584"/>
        <w:spacing w:after="0" w:line="277" w:lineRule="auto"/>
        <w:rPr>
          <w:sz w:val="20"/>
          <w:szCs w:val="20"/>
          <w:color w:val="auto"/>
        </w:rPr>
      </w:pPr>
      <w:r>
        <w:rPr>
          <w:rFonts w:ascii="Arial" w:cs="Arial" w:eastAsia="Arial" w:hAnsi="Arial"/>
          <w:sz w:val="15"/>
          <w:szCs w:val="15"/>
          <w:color w:val="auto"/>
        </w:rPr>
        <w:t>At the annual meeting of ASH in December 2016, detailed pre-clinical data on the mechanism-of-action by which BL-8040 directly induces apoptosis of AML cells was presented by Prof. Amnon Peled of the Hadassah Medical Center and Biokine. The results of the pre-clinical studies show that BL-8040 treatment in vivo triggered mobilization of AML blasts from their protective bone marrow microenvironment and induced their terminal differentiation, further supporting the data we presented at the American Association for Cancer Research annual conference earlier in 2016. In addition, the studies illustrate how BL-8040 increases the expression and activity of a special class of microRNA precursors termed miR-15a/16-1. These microRNA molecules have been previously linked to cancer, and shown to suppress the activity of several tumor-related pro-survival proteins. Therefore, by increasing the expression of miR-15a/16-1 microRNA molecules, BL-8040 decreases the expression of tumor-survival proteins and promotes tumor cell death. Importantly, in both in vitro and in vivo experiments, BL-8040 was found to synergize with a selective Bcl-2 inhibitor (Venetoclax) and an FLT3 inhibitor (Quizartinib, also known as AC220) in inducing AML cell death, pointing at potential drug combination treatments.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Clinical Trials.</w:t>
      </w:r>
    </w:p>
    <w:p>
      <w:pPr>
        <w:spacing w:after="0" w:line="254"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In a Phase 1/2, open-label, dose escalation, safety and efficacy clinical trial in 18 multiple myeloma patients, BL-8040 demonstrated an excellent safety profile at all doses tested and was highly effective in combination with G-CSF, in the mobilization of hematopoietic stem cells and white blood cells from the bone marrow to the peripheral blood. All patients receiving transplants (n=17) exhibited rapid engraftment, with median time to neutrophil and platelet recovery of 12 and 14 days, respectively, at the highest dose given (0.9 mg/kg).</w:t>
      </w:r>
    </w:p>
    <w:p>
      <w:pPr>
        <w:spacing w:after="0" w:line="216" w:lineRule="exact"/>
        <w:rPr>
          <w:sz w:val="20"/>
          <w:szCs w:val="20"/>
          <w:color w:val="auto"/>
        </w:rPr>
      </w:pPr>
    </w:p>
    <w:p>
      <w:pPr>
        <w:ind w:right="160" w:firstLine="584"/>
        <w:spacing w:after="0" w:line="277" w:lineRule="auto"/>
        <w:rPr>
          <w:sz w:val="20"/>
          <w:szCs w:val="20"/>
          <w:color w:val="auto"/>
        </w:rPr>
      </w:pPr>
      <w:r>
        <w:rPr>
          <w:rFonts w:ascii="Arial" w:cs="Arial" w:eastAsia="Arial" w:hAnsi="Arial"/>
          <w:sz w:val="15"/>
          <w:szCs w:val="15"/>
          <w:color w:val="auto"/>
        </w:rPr>
        <w:t>During 2016, we completed and reported on the results of a Phase 2a clinical trial studying the use of BL-8040 for the treatment of relapsed/refractory AML, or r/r AML. The study was conducted at six sites in the United States, including MD Anderson Cancer Center in Houston, Memorial Sloan-Kettering Cancer Center in New York, Mayo Clinic in Jacksonville, Johns Hopkins University in Baltimore, Northwestern Memorial Hospital in Chicago and Washington University in St. Louis, as well as at five well-known sites in Israel. The study was an open-label study under an IND, designed to evaluate the safety and efficacy profile of repeated escalating doses of BL-8040 as a single agent and in combination with Ara-C in adult subjects with r/r AML. The study was comprised of two parts – a dose escalation Phase and an expansion Phase at the highest tolerated dose found during the escalation Phase. The primary endpoints of the study were the safety and tolerability of the drug. Secondary endpoints included the pharmacokinetic profile of the drug and an efficacy evaluation, indicated by the extent of mobilization of cancer cells from the bone marrow to the peripheral blood, the level of cancer cell death (apoptosis) and clinical responses.</w:t>
      </w:r>
    </w:p>
    <w:p>
      <w:pPr>
        <w:spacing w:after="0" w:line="161"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Final results for the Phase 2a trial were presented at the annual meetings of the Society of Hematologic Oncology and ASH in September and December 2016, respectively. The reported data set includes 45 patients, including three compassionate-use patients treated at the study sites under the identical treatment protocol. The majority of patients in the study were heavily pretreated, with 45% of patients being refractory to one or two remission induction treatments, 19% of patients having relapsed after a short first remission of less than 12 months, and 17% of patients having undergone two or more relapses. In addition, the treated patient population included patients that had relapsed post allogeneic stem-cell transplantation (17%), as well as secondary AML patients (24%), both conditions which represent difficult-to-treat populations with poor prognoses.</w:t>
      </w:r>
    </w:p>
    <w:p>
      <w:pPr>
        <w:spacing w:after="0" w:line="217" w:lineRule="exact"/>
        <w:rPr>
          <w:sz w:val="20"/>
          <w:szCs w:val="20"/>
          <w:color w:val="auto"/>
        </w:rPr>
      </w:pPr>
    </w:p>
    <w:p>
      <w:pPr>
        <w:ind w:right="60" w:firstLine="584"/>
        <w:spacing w:after="0" w:line="276" w:lineRule="auto"/>
        <w:rPr>
          <w:sz w:val="20"/>
          <w:szCs w:val="20"/>
          <w:color w:val="auto"/>
        </w:rPr>
      </w:pPr>
      <w:r>
        <w:rPr>
          <w:rFonts w:ascii="Arial" w:cs="Arial" w:eastAsia="Arial" w:hAnsi="Arial"/>
          <w:sz w:val="15"/>
          <w:szCs w:val="15"/>
          <w:color w:val="auto"/>
        </w:rPr>
        <w:t>Results show that treatment with BL-8040 in combination with Ara-C was safe and well tolerated at all doses tested up to and including the highest dose level of 2.0 mg/kg. Response to treatment was associated with efficient CXCR4 inhibition, resulting in high mobilization of blasts and induction of their differentiation. The composite complete remission rate, including both CR and CRi, was 38% in subjects receiving up to two cycles of BL-8040 treatment at doses of 1 mg/kg and higher (n=39). In the 1.5 mg/kg dose selected for the expansion Phase of the study (n=22), the composite complete remission rate was 41%. These response rates are superior to the historical response rate of approximately 20% reported for high-risk AML patients treated with Ara-C alone. The ongoing follow-up of patients participating in the study's expansion Phase and responding to the combination treatment suggests long durability of the remissions achieved, with two-thirds of these patients still alive, based on a follow-up period to date of up to 12 months. Results further show that BL-8040 monotherapy had a substantial therapeutic effect. Treatment with BL-8040 as a single agent triggered robust mobilization of AML blasts from the bone marrow to the peripheral blood stream, and the extent of mobilization was correlated with a positive response to treatment. The preferential mobilization of AML blasts over normal cells (4.7-fold vs. 1.4-fold, respectively) was further confirmed by analysis using the fluorescence in situ hybridization, or FISH, technique in a subset of patients. In addition, BL-8040 monotherapy resulted in a 40% increase in AML blast apoptosis.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ind w:right="220" w:firstLine="584"/>
        <w:spacing w:after="0" w:line="313" w:lineRule="auto"/>
        <w:rPr>
          <w:sz w:val="20"/>
          <w:szCs w:val="20"/>
          <w:color w:val="auto"/>
        </w:rPr>
      </w:pPr>
      <w:r>
        <w:rPr>
          <w:rFonts w:ascii="Arial" w:cs="Arial" w:eastAsia="Arial" w:hAnsi="Arial"/>
          <w:sz w:val="14"/>
          <w:szCs w:val="14"/>
          <w:color w:val="auto"/>
        </w:rPr>
        <w:t>In order to test a second AML treatment line, we commenced a Phase 2b trial in Germany as a consolidation treatment for AML patients who have responded to standard induction treatment. It will examine BL-8040 as part of a second stage treatment, termed consolidation therapy, to improve outcomes for the approximately 70% of AML patients who have achieved remission after the standard initial treatment regimen, known as induction therapy. The consolidation therapy is aimed at eliminating the minimal residual disease left in the bone marrow after induction therapy that can lead to relapse in 40-60% of the patients within 12-18 months after entering remission.</w:t>
      </w:r>
    </w:p>
    <w:p>
      <w:pPr>
        <w:spacing w:after="0" w:line="183" w:lineRule="exact"/>
        <w:rPr>
          <w:sz w:val="20"/>
          <w:szCs w:val="20"/>
          <w:color w:val="auto"/>
        </w:rPr>
      </w:pPr>
    </w:p>
    <w:p>
      <w:pPr>
        <w:ind w:firstLine="584"/>
        <w:spacing w:after="0" w:line="278" w:lineRule="auto"/>
        <w:rPr>
          <w:sz w:val="20"/>
          <w:szCs w:val="20"/>
          <w:color w:val="auto"/>
        </w:rPr>
      </w:pPr>
      <w:r>
        <w:rPr>
          <w:rFonts w:ascii="Arial" w:cs="Arial" w:eastAsia="Arial" w:hAnsi="Arial"/>
          <w:sz w:val="15"/>
          <w:szCs w:val="15"/>
          <w:color w:val="auto"/>
        </w:rPr>
        <w:t>The Phase 2b trial, which is being conducted in collaboration with the University of Halle as sponsor and with the participation of two large leukemia study groups in Germany, is a double-blind, placebo-controlled, randomized, multi-center study aimed at assessing the efficacy of BL-8040 in addition to standard consolidation therapy in AML patients. The primary endpoint of the study is to compare the RFS time in AML subjects in their first remission during a minimum follow-up time of 18 months after randomization. In addition, pharmacodynamic measurements will be conducted in order to assess the minimal residual disease, and biomarker analyses will be performed to identify predictors of BL-8040 response. The study will enroll up to 194 patients at up to 25 sites in Germany. AML patients between 18 and 75 years of age with documented first remission will be randomized in a 1:1 ratio to receive high dose Cytarabine, either with BL-8040 or with a matching placebo, as consolidation therapy. We are considering performing an interim analysis on this study in 2018, with top-line results expected in 2019.</w:t>
      </w:r>
    </w:p>
    <w:p>
      <w:pPr>
        <w:spacing w:after="0" w:line="160" w:lineRule="exact"/>
        <w:rPr>
          <w:sz w:val="20"/>
          <w:szCs w:val="20"/>
          <w:color w:val="auto"/>
        </w:rPr>
      </w:pPr>
    </w:p>
    <w:p>
      <w:pPr>
        <w:ind w:right="120" w:firstLine="584"/>
        <w:spacing w:after="0" w:line="280" w:lineRule="auto"/>
        <w:rPr>
          <w:sz w:val="20"/>
          <w:szCs w:val="20"/>
          <w:color w:val="auto"/>
        </w:rPr>
      </w:pPr>
      <w:r>
        <w:rPr>
          <w:rFonts w:ascii="Arial" w:cs="Arial" w:eastAsia="Arial" w:hAnsi="Arial"/>
          <w:sz w:val="15"/>
          <w:szCs w:val="15"/>
          <w:color w:val="auto"/>
        </w:rPr>
        <w:t>In March 2015, we announced successful top-line results from a Phase 1 trial for a third indication of BL-8040 as a novel treatment for the mobilization of stem cells from the bone marrow to the peripheral blood circulation, where they can be harvested for transplant supporting the treatment of hematological indications. The study was conducted at the Hadassah Medical Center in Jerusalem. It was performed on healthy volunteers and consisted of two parts. The first part of the study was a randomized, double-blind, placebo-controlled, dose-escalation study in three cohorts of eight participants each, with each participant receiving two consecutive injections of BL-8040. Results show that BL-8040 is safe and well tolerated up to a dose of 1 mg/kg, and that dramatic mobilization of hematopoietic stem and progenitor cells, or HSPCs, was observed across all doses tested. The robust mobilization supports the further use of a single injection of BL-8040 for HSPC collection.</w:t>
      </w:r>
    </w:p>
    <w:p>
      <w:pPr>
        <w:spacing w:after="0" w:line="205" w:lineRule="exact"/>
        <w:rPr>
          <w:sz w:val="20"/>
          <w:szCs w:val="20"/>
          <w:color w:val="auto"/>
        </w:rPr>
      </w:pPr>
    </w:p>
    <w:p>
      <w:pPr>
        <w:ind w:firstLine="584"/>
        <w:spacing w:after="0" w:line="264" w:lineRule="auto"/>
        <w:rPr>
          <w:sz w:val="20"/>
          <w:szCs w:val="20"/>
          <w:color w:val="auto"/>
        </w:rPr>
      </w:pPr>
      <w:r>
        <w:rPr>
          <w:rFonts w:ascii="Arial" w:cs="Arial" w:eastAsia="Arial" w:hAnsi="Arial"/>
          <w:sz w:val="14"/>
          <w:szCs w:val="14"/>
          <w:color w:val="auto"/>
        </w:rPr>
        <w:t>In the second part of the Phase 1 study, eight healthy participants received a single injection of BL-8040 at the highest dose of 1 mg/kg, and four hours later underwent a single, standard leukapheresis procedure. Robust and rapid stem-cell mobilization was evident in all treated participants, supporting a novel approach to stem-cell collection. The median level of collected stem cells was higher than 11 x 10</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cells per kg, which is more than two-fold higher than the target concentration, and five-fold higher than the minimum concentration, necessary for transplantation. In addition, the level of HPSCs in the peripheral blood circulation 24 hours after injection of BL-8040 enabled an additional apheresis on day 2, if needed. These data support the use of BL-8040 as a single-agent, single-injection, one-day regimen for the collection of stem cells.</w:t>
      </w:r>
    </w:p>
    <w:p>
      <w:pPr>
        <w:spacing w:after="0" w:line="218" w:lineRule="exact"/>
        <w:rPr>
          <w:sz w:val="20"/>
          <w:szCs w:val="20"/>
          <w:color w:val="auto"/>
        </w:rPr>
      </w:pPr>
    </w:p>
    <w:p>
      <w:pPr>
        <w:ind w:firstLine="584"/>
        <w:spacing w:after="0" w:line="301" w:lineRule="auto"/>
        <w:rPr>
          <w:sz w:val="20"/>
          <w:szCs w:val="20"/>
          <w:color w:val="auto"/>
        </w:rPr>
      </w:pPr>
      <w:r>
        <w:rPr>
          <w:rFonts w:ascii="Arial" w:cs="Arial" w:eastAsia="Arial" w:hAnsi="Arial"/>
          <w:sz w:val="14"/>
          <w:szCs w:val="14"/>
          <w:color w:val="auto"/>
        </w:rPr>
        <w:t>In March 2016, we announced the initiation of a Phase 2 trial for BL-8040 as a novel approach for the mobilization and collection of bone marrow stem cells from the peripheral blood circulation. The open-label study is being conducted in collaboration with the Washington University School of Medicine, Division of Oncology and Hematology, and will enroll up to 24 donor/recipient pairs, aged 18-70. The trial is designed to evaluate the ability of BL-8040, as a single agent, to promote stem cell mobilization for allogeneic transplantation. On the donor side, the primary endpoint of the study is the ability of a single injection of BL-8040 to mobilize sufficient amounts of cells for transplantation following up to two apheresis collections. On the recipient side, the study aims to evaluate the functionality and engraftment following transplantation of the BL-8040 collected graft. The study will also evaluate the safety and tolerability of BL-8040 in healthy donors, as well as graft durability, the incidence of grade 2-4 acute graft versus host disease (GVHD), and other recipient-related parameters in patients who have undergone transplantation of hematopoietic cells mobilized with BL-8040.</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5" w:name="page36"/>
    <w:bookmarkEnd w:id="35"/>
    <w:p>
      <w:pPr>
        <w:ind w:right="100" w:firstLine="584"/>
        <w:spacing w:after="0" w:line="307" w:lineRule="auto"/>
        <w:rPr>
          <w:sz w:val="20"/>
          <w:szCs w:val="20"/>
          <w:color w:val="auto"/>
        </w:rPr>
      </w:pPr>
      <w:r>
        <w:rPr>
          <w:rFonts w:ascii="Arial" w:cs="Arial" w:eastAsia="Arial" w:hAnsi="Arial"/>
          <w:sz w:val="14"/>
          <w:szCs w:val="14"/>
          <w:color w:val="auto"/>
        </w:rPr>
        <w:t>In March 2017, we announced positive interim results from the first part of the study which is nearing completion. This part initially enrolled 10 donor and recipient pairs, consisting of patients with advanced hematological malignancies and their sibling donors matched for human leukocyte antigen. Interim results show that a single injection of BL-8040 mobilized sufficient amounts of cells required for transplantation at a level of efficacy similar to that achieved by using 4-6 injections of G-CSF, the current standard of care. Furthermore, all recipients transplanted so far have experienced a successful neutrophil engraftment. The recipients will be followed for one year to assess acute and chronic GVHD events. As for the donors, BL-8040 treatment was safe and well tolerated. Topline results for this study are expected by the end of 2017.</w:t>
      </w:r>
    </w:p>
    <w:p>
      <w:pPr>
        <w:spacing w:after="0" w:line="139" w:lineRule="exact"/>
        <w:rPr>
          <w:sz w:val="20"/>
          <w:szCs w:val="20"/>
          <w:color w:val="auto"/>
        </w:rPr>
      </w:pPr>
    </w:p>
    <w:p>
      <w:pPr>
        <w:ind w:right="160" w:firstLine="584"/>
        <w:spacing w:after="0" w:line="318" w:lineRule="auto"/>
        <w:rPr>
          <w:sz w:val="20"/>
          <w:szCs w:val="20"/>
          <w:color w:val="auto"/>
        </w:rPr>
      </w:pPr>
      <w:r>
        <w:rPr>
          <w:rFonts w:ascii="Arial" w:cs="Arial" w:eastAsia="Arial" w:hAnsi="Arial"/>
          <w:sz w:val="15"/>
          <w:szCs w:val="15"/>
          <w:color w:val="auto"/>
        </w:rPr>
        <w:t>In addition, based on developments in the field of mobilization and on market research, we are preparing to conduct a Phase 3 registration study in autologous stem cell mobilization. Our plans include meeting with the FDA to confirm the parameters of such a study and then commencing the study toward the end of 2017.</w:t>
      </w:r>
    </w:p>
    <w:p>
      <w:pPr>
        <w:spacing w:after="0" w:line="127"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In January 2016, we entered into a collaboration with MSD in the field of cancer immunotherapy. In this regard, in September 2016 we initiated a Phase 2a study, known as the COMBAT study, focusing on evaluating the safety and efficacy of BL-8040 in combination with KEYTRUDA (pembrolizumab), MSD's anti-PD-1 therapy, in patients with metastatic pancreatic adenocarcinoma. Findings in the field of immuno-oncology suggest that CXCR4 antagonists such as BL-8040 may be effective in inducing the migration of anti-tumor T-cells into the tumor micro-environment. KEYTRUDA is a humanized monoclonal antibody that works by increasing the ability of the body's immune system to help detect and fight tumor cells. KEYTRUDA blocks the interaction between PD-1 and its ligands, PD-L1 and PD-L2, thereby activating T- lymphocytes, which may affect both tumor cells and healthy cells. The study is an open-label, multicenter, single-arm trial designed to evaluate the clinical response, safety and tolerability of the combination of BL-8040 and KEYTRUDA as well as multiple pharmacodynamic parameters, including the ability to improve infiltration of T-cells into the tumor and their reactivity. Upon completion of the study, or at any earlier point, both parties will have the option to expand the collaboration to include a pivotal registration study. Partial results are expected in the second half of 2017, top-line results in the second half of 2018.</w:t>
      </w:r>
    </w:p>
    <w:p>
      <w:pPr>
        <w:spacing w:after="0" w:line="156"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In August 2016, we entered into an agreement with MD Anderson Cancer Center in regard to an additional collaboration for the investigation of BL-8040 in combination with KEYTRUDA in pancreatic cancer. The study will be conducted as an investigator-sponsored study, as part of a strategic clinical research collaboration between Merck and MD Anderson Cancer Center aimed at evaluating KEYTRUDA in combination with various treatments and novel drugs, including BL-8040. The open-label, single center, single-arm Phase 2b study will focus on the mechanism of action by which both drugs might synergize. In addition to assessing clinical response, the study will include multiple assessments to evaluate the biological anti-tumor effects induced by the combination. We are supplying BL-8040 for the study, which commenced in January 2017.</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36" w:name="page37"/>
    <w:bookmarkEnd w:id="36"/>
    <w:p>
      <w:pPr>
        <w:ind w:right="20" w:firstLine="584"/>
        <w:spacing w:after="0" w:line="282" w:lineRule="auto"/>
        <w:rPr>
          <w:sz w:val="20"/>
          <w:szCs w:val="20"/>
          <w:color w:val="auto"/>
        </w:rPr>
      </w:pPr>
      <w:r>
        <w:rPr>
          <w:rFonts w:ascii="Arial" w:cs="Arial" w:eastAsia="Arial" w:hAnsi="Arial"/>
          <w:sz w:val="15"/>
          <w:szCs w:val="15"/>
          <w:color w:val="auto"/>
        </w:rPr>
        <w:t>In September 2016, we entered into a collaboration with Genentech to support several Phase 1b studies investigating BL-8040 in combination with Atezolizumab, Genentech's anti-PDL1 cancer immunotherapy, in multiple cancer indications. Research findings in the field of immuno-oncology suggest that CXCR4 antagonists such as BL-8040 may be effective in inducing the migration of anti-tumor T-cells into the tumor micro-environment. Atezolizumab is a humanized monoclonal antibody designed to bind with a protein called PD-L1. Atezolizumab is designed to bind to PD-L1 expressed on tumor cells and tumor-infiltrating immune cells, blocking its interactions with both PD-1 and B7-1 (CD80) receptors. By inhibiting PD-L1, Atezolizumab may enable the activation of T-cells, whose migration into the tumor may be enhanced by BL-8040.</w:t>
      </w:r>
    </w:p>
    <w:p>
      <w:pPr>
        <w:spacing w:after="0" w:line="156" w:lineRule="exact"/>
        <w:rPr>
          <w:sz w:val="20"/>
          <w:szCs w:val="20"/>
          <w:color w:val="auto"/>
        </w:rPr>
      </w:pPr>
    </w:p>
    <w:p>
      <w:pPr>
        <w:ind w:right="80" w:firstLine="584"/>
        <w:spacing w:after="0" w:line="261" w:lineRule="auto"/>
        <w:rPr>
          <w:sz w:val="20"/>
          <w:szCs w:val="20"/>
          <w:color w:val="auto"/>
        </w:rPr>
      </w:pPr>
      <w:r>
        <w:rPr>
          <w:rFonts w:ascii="Arial" w:cs="Arial" w:eastAsia="Arial" w:hAnsi="Arial"/>
          <w:sz w:val="16"/>
          <w:szCs w:val="16"/>
          <w:color w:val="auto"/>
        </w:rPr>
        <w:t>The Phase 1b studies, which are all expected to commence in the second half of 2017, will evaluate the clinical response, safety and tolerability of the combination of these therapies, as well as multiple pharmacodynamic parameters, in hematologic malignancies and solid tumors. Under the collaboration agreement, Genentech will sponsor and conduct several trials in multiple solid cancer indications. In addition, we will sponsor and conduct a study in AML patients. The studies are planned as open-label, multicenter, single-arm trials designed to evaluate the safety and efficacy of the combination of BL-8040 and Atezolizumab. Upon completion of the studies, both parties will have the option to expand the collaboration to include a pivotal registration study.</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AGI-134</w:t>
      </w:r>
    </w:p>
    <w:p>
      <w:pPr>
        <w:spacing w:after="0" w:line="206" w:lineRule="exact"/>
        <w:rPr>
          <w:sz w:val="20"/>
          <w:szCs w:val="20"/>
          <w:color w:val="auto"/>
        </w:rPr>
      </w:pPr>
    </w:p>
    <w:p>
      <w:pPr>
        <w:ind w:right="100" w:firstLine="584"/>
        <w:spacing w:after="0" w:line="282" w:lineRule="auto"/>
        <w:rPr>
          <w:sz w:val="20"/>
          <w:szCs w:val="20"/>
          <w:color w:val="auto"/>
        </w:rPr>
      </w:pPr>
      <w:r>
        <w:rPr>
          <w:rFonts w:ascii="Arial" w:cs="Arial" w:eastAsia="Arial" w:hAnsi="Arial"/>
          <w:sz w:val="15"/>
          <w:szCs w:val="15"/>
          <w:color w:val="auto"/>
        </w:rPr>
        <w:t>AGI-134 entered our pipeline following our acquisition of Agalimmune in March 2017. The compound is a synthetic alpha-gal immunotherapy in development for solid tumors. AGI-134 harnesses the body's pre-existing, highly abundant, anti-alpha-gal antibodies to induce a systemic, specific anti-tumor response to the patient's own tumor neo-antigens. This response not only kills the tumor cells at the site of injection, but also brings about a durable, follow-on, anti-metastatic immune response. Alpha-gal is a cell-surface carbohydrate antigen that is not expressed by humans, unlike virtually all other mammals and bacteria. Therefore, humans universally produce and maintain high levels of anti-alpha-gal antibodies, due to exposure to alpha-gal on bacteria in the digestive system.</w:t>
      </w:r>
    </w:p>
    <w:p>
      <w:pPr>
        <w:spacing w:after="0" w:line="156"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AGI-134 is injected into the tumor, where it coats the tumor cell membranes, resulting in alpha-gal being exposed on the tumor cell surface. Anti-alpha-gal antibodies bind to the alpha-gal part of AGI-134 to produce an initial immune response that activates complement-dependent and antibody-dependent cellular cytotoxicity (cell death). This cytotoxicity generates immune-tagged cells and cellular debris that trigger an uptake of tumor-associated antigens by antigen-presenting cells (APCs). These APCs induce a follow-on systemic immune response by the activation and clonal expansion of T-cells to the patient's own neo-antigens. This approach not only targets the primary injectable tumor, but has also demonstrated efficacy against existing distant secondary tumors. Furthermore, the mechanism of action suggests the potential of long-term protection against future metastases.</w:t>
      </w:r>
    </w:p>
    <w:p>
      <w:pPr>
        <w:spacing w:after="0" w:line="168" w:lineRule="exact"/>
        <w:rPr>
          <w:sz w:val="20"/>
          <w:szCs w:val="20"/>
          <w:color w:val="auto"/>
        </w:rPr>
      </w:pPr>
    </w:p>
    <w:p>
      <w:pPr>
        <w:ind w:right="140" w:firstLine="584"/>
        <w:spacing w:after="0" w:line="268" w:lineRule="auto"/>
        <w:rPr>
          <w:sz w:val="20"/>
          <w:szCs w:val="20"/>
          <w:color w:val="auto"/>
        </w:rPr>
      </w:pPr>
      <w:r>
        <w:rPr>
          <w:rFonts w:ascii="Arial" w:cs="Arial" w:eastAsia="Arial" w:hAnsi="Arial"/>
          <w:sz w:val="16"/>
          <w:szCs w:val="16"/>
          <w:color w:val="auto"/>
        </w:rPr>
        <w:t>AGI-134 has completed numerous pre-clinical studies, demonstrating robust protection against the development of secondary tumors in a model of melanoma with a single dose only. Synergy has also been demonstrated in additional pre-clinical studies when combined with a PD-1 immune checkpoint inhibitor, offering the potential to broaden the utility of such immunotherapies and improve the rate and duration of responses in multiple cancer types.</w:t>
      </w:r>
    </w:p>
    <w:p>
      <w:pPr>
        <w:spacing w:after="0" w:line="212" w:lineRule="exact"/>
        <w:rPr>
          <w:sz w:val="20"/>
          <w:szCs w:val="20"/>
          <w:color w:val="auto"/>
        </w:rPr>
      </w:pPr>
    </w:p>
    <w:p>
      <w:pPr>
        <w:ind w:right="100" w:firstLine="616"/>
        <w:spacing w:after="0" w:line="283" w:lineRule="auto"/>
        <w:rPr>
          <w:sz w:val="20"/>
          <w:szCs w:val="20"/>
          <w:color w:val="auto"/>
        </w:rPr>
      </w:pPr>
      <w:r>
        <w:rPr>
          <w:rFonts w:ascii="Arial" w:cs="Arial" w:eastAsia="Arial" w:hAnsi="Arial"/>
          <w:sz w:val="16"/>
          <w:szCs w:val="16"/>
          <w:color w:val="auto"/>
        </w:rPr>
        <w:t>AGI-134 is now in near-clinical development and is expected to commence a first-in-man study in patients with solid tumors in the first half of 2018. Discussions on this have already been held with both the FDA and the UK Medicines and Healthcare Products Regulatory Agency.</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BL-5010</w:t>
      </w:r>
    </w:p>
    <w:p>
      <w:pPr>
        <w:spacing w:after="0" w:line="254" w:lineRule="exact"/>
        <w:rPr>
          <w:sz w:val="20"/>
          <w:szCs w:val="20"/>
          <w:color w:val="auto"/>
        </w:rPr>
      </w:pPr>
    </w:p>
    <w:p>
      <w:pPr>
        <w:ind w:right="20" w:firstLine="584"/>
        <w:spacing w:after="0" w:line="258" w:lineRule="auto"/>
        <w:rPr>
          <w:sz w:val="20"/>
          <w:szCs w:val="20"/>
          <w:color w:val="auto"/>
        </w:rPr>
      </w:pPr>
      <w:r>
        <w:rPr>
          <w:rFonts w:ascii="Arial" w:cs="Arial" w:eastAsia="Arial" w:hAnsi="Arial"/>
          <w:sz w:val="16"/>
          <w:szCs w:val="16"/>
          <w:color w:val="auto"/>
        </w:rPr>
        <w:t>BL-5010 is a novel medical device containing a novel, acidic, aqueous solution and applicator for the non-surgical removal of benign skin lesions. It offers an alternative to painful, invasive and expensive removal treatments including cryotherapy, laser treatment and surgery. Since the treatment is non-invasive, it poses minimal infection risk and eliminates the need for anesthesia, antiseptic precautions and bandaging. The pre-filled device controls and standardizes the volume of solution applied to a lesion, ensuring accurate administration directly on the lesion and preventing both accidental exposure of the healthy surrounding tissue and unintentional dripping. It has an ergonomic design, making it easy to handle, and has been designed with a childproof cap. BL-5010 is applied topically on a skin lesion in a treatment lasting a few minutes with the pen-like applicator and causes the lesion to gradually dry out and fall off within one to four weeks. We have received European confirmation from British Standards Institute of the regulatory pathway classification of BL-5010 as a Class IIa medical device. We in-licensed the exclusive, worldwide rights to develop, market and sell BL-5010 from IPC in November 2007.</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ind w:right="40" w:firstLine="584"/>
        <w:spacing w:after="0" w:line="258" w:lineRule="auto"/>
        <w:rPr>
          <w:sz w:val="20"/>
          <w:szCs w:val="20"/>
          <w:color w:val="auto"/>
        </w:rPr>
      </w:pPr>
      <w:r>
        <w:rPr>
          <w:rFonts w:ascii="Arial" w:cs="Arial" w:eastAsia="Arial" w:hAnsi="Arial"/>
          <w:sz w:val="16"/>
          <w:szCs w:val="16"/>
          <w:i w:val="1"/>
          <w:iCs w:val="1"/>
          <w:color w:val="auto"/>
        </w:rPr>
        <w:t>Development and Clinical History</w:t>
      </w:r>
      <w:r>
        <w:rPr>
          <w:rFonts w:ascii="Arial" w:cs="Arial" w:eastAsia="Arial" w:hAnsi="Arial"/>
          <w:sz w:val="16"/>
          <w:szCs w:val="16"/>
          <w:color w:val="auto"/>
        </w:rPr>
        <w:t>. We originally developed BL-5010 for the treatment of skin lesions such as seborrheic keratosis, or SK, and actinic keratosis.</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Clinically diagnosed skin lesions, or a growth or patch of skin that does not resemble the area surrounding it, are very common and often constitute a cosmetic and functional annoyance. Moles and warts are other examples of skin lesions. In 2009 and 2010 we conducted a successful Phase 1/2 clinical trial in 60 patients with SK in Germany and the Netherlands to assess the safety and efficacy of BL-5010 in completely removing the lesion and to assess the cosmetic outcome of the novel treatment. A pivotal, CE Mark registration trial for BL-5010 had been planned for 2014. However, during discussions in recent years with potential partners for the development and commercialization of BL-5010, we learned that they had more interest in the possibilities of BL-5010 for OTC indications than in its use by physicians for SK and other lesions. In December 2014, we entered into the out-licensing arrangement with Omega Pharma described below and the development activities for BL-5010 will be restricted for the time being to OTC indications.</w:t>
      </w:r>
    </w:p>
    <w:p>
      <w:pPr>
        <w:spacing w:after="0" w:line="220" w:lineRule="exact"/>
        <w:rPr>
          <w:sz w:val="20"/>
          <w:szCs w:val="20"/>
          <w:color w:val="auto"/>
        </w:rPr>
      </w:pPr>
    </w:p>
    <w:p>
      <w:pPr>
        <w:ind w:right="20" w:firstLine="584"/>
        <w:spacing w:after="0" w:line="277" w:lineRule="auto"/>
        <w:rPr>
          <w:sz w:val="20"/>
          <w:szCs w:val="20"/>
          <w:color w:val="auto"/>
        </w:rPr>
      </w:pPr>
      <w:r>
        <w:rPr>
          <w:rFonts w:ascii="Arial" w:cs="Arial" w:eastAsia="Arial" w:hAnsi="Arial"/>
          <w:sz w:val="15"/>
          <w:szCs w:val="15"/>
          <w:i w:val="1"/>
          <w:iCs w:val="1"/>
          <w:color w:val="auto"/>
        </w:rPr>
        <w:t xml:space="preserve">Development and Commercialization Arrangement. </w:t>
      </w:r>
      <w:r>
        <w:rPr>
          <w:rFonts w:ascii="Arial" w:cs="Arial" w:eastAsia="Arial" w:hAnsi="Arial"/>
          <w:sz w:val="15"/>
          <w:szCs w:val="15"/>
          <w:color w:val="auto"/>
        </w:rPr>
        <w:t>In December 2014, we entered into an exclusive out-licensing arrangement with Omega Pharma for the rights to</w:t>
      </w:r>
      <w:r>
        <w:rPr>
          <w:rFonts w:ascii="Arial" w:cs="Arial" w:eastAsia="Arial" w:hAnsi="Arial"/>
          <w:sz w:val="15"/>
          <w:szCs w:val="15"/>
          <w:i w:val="1"/>
          <w:iCs w:val="1"/>
          <w:color w:val="auto"/>
        </w:rPr>
        <w:t xml:space="preserve"> </w:t>
      </w:r>
      <w:r>
        <w:rPr>
          <w:rFonts w:ascii="Arial" w:cs="Arial" w:eastAsia="Arial" w:hAnsi="Arial"/>
          <w:sz w:val="15"/>
          <w:szCs w:val="15"/>
          <w:color w:val="auto"/>
        </w:rPr>
        <w:t>BL-5010 for over-the-counter, or OTC, indications in the territory of Europe, Australia and additional selected countries. We will retain the OTC rights to BL-5010 in the United States and the rest of the world, as well as the non-OTC rights on a global basis. Under our out-licensing arrangement with Omega Pharma, Omega Pharma is obligated to use commercially reasonable best efforts to obtain regulatory approval in the licensed territory for at least two OTC indications and to commercialize BL-5010 for those two OTC indications. In addition, Omega Pharma will sponsor and manufacture BL-5010 in the relevant regions. Omega Pharma will pay us an agreed amount for each unit sold, and we will be entitled to certain commercial milestone payments. In addition, we will have full access to all clinical and research and development data generated during the performance of the development plan and may use these data in order to develop or license the product in other territories and fields of use where we retain the rights. In March 2016, Omega Pharma received CE Mark approval for BL-5010 as a novel OTC treatment for the non-surgical removal of warts. The commercial product launch of this first OTC indication (warts/verrucas) commenced in Europe in the second quarter of 2016.</w:t>
      </w:r>
    </w:p>
    <w:p>
      <w:pPr>
        <w:spacing w:after="0" w:line="205" w:lineRule="exact"/>
        <w:rPr>
          <w:sz w:val="20"/>
          <w:szCs w:val="20"/>
          <w:color w:val="auto"/>
        </w:rPr>
      </w:pPr>
    </w:p>
    <w:p>
      <w:pPr>
        <w:ind w:right="80" w:firstLine="584"/>
        <w:spacing w:after="0" w:line="268" w:lineRule="auto"/>
        <w:rPr>
          <w:sz w:val="20"/>
          <w:szCs w:val="20"/>
          <w:color w:val="auto"/>
        </w:rPr>
      </w:pPr>
      <w:r>
        <w:rPr>
          <w:rFonts w:ascii="Arial" w:cs="Arial" w:eastAsia="Arial" w:hAnsi="Arial"/>
          <w:sz w:val="16"/>
          <w:szCs w:val="16"/>
          <w:color w:val="auto"/>
        </w:rPr>
        <w:t>As a result of our out-licensing arrangement, as well as the previous discussions with other potential partners for this product, the development activities for BL-5010 are currently focused on OTC indications. However, we may decide to continue development of BL-5010 for non-OTC indications, including, but not limited to, SK, or for OTC indications in territories not out-licensed to Omega Pharma, primarily the U.S.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Therapeutic Candidates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BL-1040</w:t>
      </w:r>
    </w:p>
    <w:p>
      <w:pPr>
        <w:spacing w:after="0" w:line="254" w:lineRule="exact"/>
        <w:rPr>
          <w:sz w:val="20"/>
          <w:szCs w:val="20"/>
          <w:color w:val="auto"/>
        </w:rPr>
      </w:pPr>
    </w:p>
    <w:p>
      <w:pPr>
        <w:ind w:firstLine="584"/>
        <w:spacing w:after="0" w:line="280" w:lineRule="auto"/>
        <w:rPr>
          <w:sz w:val="20"/>
          <w:szCs w:val="20"/>
          <w:color w:val="auto"/>
        </w:rPr>
      </w:pPr>
      <w:r>
        <w:rPr>
          <w:rFonts w:ascii="Arial" w:cs="Arial" w:eastAsia="Arial" w:hAnsi="Arial"/>
          <w:sz w:val="15"/>
          <w:szCs w:val="15"/>
          <w:color w:val="auto"/>
        </w:rPr>
        <w:t>BL-1040 (now called "Bioabsorbable Cardiac Matrix," or BCM), is a novel, resorbable polymer solution for use in the prevention of ventricular remodeling that may occur in patients who have suffered an acute myocardial infarction, or AMI. BL-1040 was being developed as a medical device. We entered into an out-licensing arrangement for BL-1040 with the predecessor of Bellerophon Therapeutics, Inc., or Bellerophon, in 2009. Under this arrangement, Bellerophon is obligated to use commercially reasonable efforts to complete clinical development of, and to commercialize, BL-1040 or a product related thereto. In July 2015, Bellerophon reported top-line results from PRESERVATION I, a CE mark registration clinical trial for BCM, showing no statistically significant difference between patients treated with BCM versus placebo for both the primary and the secondary endpoints of the study. Bellerophon is considering further exploratory work for the compound.</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BL-9020</w:t>
      </w:r>
    </w:p>
    <w:p>
      <w:pPr>
        <w:spacing w:after="0" w:line="254" w:lineRule="exact"/>
        <w:rPr>
          <w:sz w:val="20"/>
          <w:szCs w:val="20"/>
          <w:color w:val="auto"/>
        </w:rPr>
      </w:pPr>
    </w:p>
    <w:p>
      <w:pPr>
        <w:ind w:right="100" w:firstLine="584"/>
        <w:spacing w:after="0" w:line="277" w:lineRule="auto"/>
        <w:rPr>
          <w:sz w:val="20"/>
          <w:szCs w:val="20"/>
          <w:color w:val="auto"/>
        </w:rPr>
      </w:pPr>
      <w:r>
        <w:rPr>
          <w:rFonts w:ascii="Arial" w:cs="Arial" w:eastAsia="Arial" w:hAnsi="Arial"/>
          <w:sz w:val="15"/>
          <w:szCs w:val="15"/>
          <w:color w:val="auto"/>
        </w:rPr>
        <w:t>BL-9020 is a novel monoclonal antibody treatment designed to prevent immune-mediated destruction of insulin-producing beta cells in the pancreas. The treatment was developed to treat Type 1 diabetes in early stage patients, during what is known as the "honeymoon period," where the pancreatic beta cells have not been completely destroyed and continue to secrete insulin. BL-9020 targets NKp46, a unique target that is involved in the innate response against the pancreas. Pre-clinical studies in mouse models of Type 1 diabetes suggest that BL-9020 can inhibit beta cell death, thus preventing full maturation of the disease. This effect could significantly delay, and potentially prevent, the need for chronic insulin use by Type 1 diabetes patients, as well as provide a potential benefit in minimizing diabetes-related complications. Based on its mechanism of action, additional therapeutic indications may be relevant to BL-9020 as well, and we are currently evaluating these additional indications. We in-licensed BL-9020 from the Yissum Research Development Company of the Hebrew University of Jerusalem Ltd., or Yissum; B.G. Negev; and Hadasit Medical Research Services and Development Ltd., or Hadasit (the technology transfer company of Hadassah Medical Organization).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ind w:left="580"/>
        <w:spacing w:after="0"/>
        <w:rPr>
          <w:sz w:val="20"/>
          <w:szCs w:val="20"/>
          <w:color w:val="auto"/>
        </w:rPr>
      </w:pPr>
      <w:r>
        <w:rPr>
          <w:rFonts w:ascii="Arial" w:cs="Arial" w:eastAsia="Arial" w:hAnsi="Arial"/>
          <w:sz w:val="16"/>
          <w:szCs w:val="16"/>
          <w:b w:val="1"/>
          <w:bCs w:val="1"/>
          <w:i w:val="1"/>
          <w:iCs w:val="1"/>
          <w:color w:val="auto"/>
        </w:rPr>
        <w:t>BL-1210</w:t>
      </w:r>
    </w:p>
    <w:p>
      <w:pPr>
        <w:spacing w:after="0" w:line="254" w:lineRule="exact"/>
        <w:rPr>
          <w:sz w:val="20"/>
          <w:szCs w:val="20"/>
          <w:color w:val="auto"/>
        </w:rPr>
      </w:pPr>
    </w:p>
    <w:p>
      <w:pPr>
        <w:ind w:right="300" w:firstLine="584"/>
        <w:spacing w:after="0" w:line="263" w:lineRule="auto"/>
        <w:rPr>
          <w:sz w:val="20"/>
          <w:szCs w:val="20"/>
          <w:color w:val="auto"/>
        </w:rPr>
      </w:pPr>
      <w:r>
        <w:rPr>
          <w:rFonts w:ascii="Arial" w:cs="Arial" w:eastAsia="Arial" w:hAnsi="Arial"/>
          <w:sz w:val="16"/>
          <w:szCs w:val="16"/>
          <w:color w:val="auto"/>
        </w:rPr>
        <w:t>BL-1210 is a drug candidate intended for the treatment of liver fibrosis, and in particular, non- alcoholic steatohepatitis (NASH). This project offers a novel mechanism for controlling liver fibrosis through modulation of the immune system. BioLineRx will address the novel drug target that will modulate the immune system to ultimately reduce the liver fibrogenesis and therefore reduce liver scarring. Limiting the fibrosis process this way will potentially control the disease progression. We in-licensed BL-1210 in 2016 from Hadasit.</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BL-1220</w:t>
      </w:r>
    </w:p>
    <w:p>
      <w:pPr>
        <w:spacing w:after="0" w:line="254" w:lineRule="exact"/>
        <w:rPr>
          <w:sz w:val="20"/>
          <w:szCs w:val="20"/>
          <w:color w:val="auto"/>
        </w:rPr>
      </w:pPr>
    </w:p>
    <w:p>
      <w:pPr>
        <w:ind w:right="120" w:firstLine="584"/>
        <w:spacing w:after="0" w:line="286" w:lineRule="auto"/>
        <w:rPr>
          <w:sz w:val="20"/>
          <w:szCs w:val="20"/>
          <w:color w:val="auto"/>
        </w:rPr>
      </w:pPr>
      <w:r>
        <w:rPr>
          <w:rFonts w:ascii="Arial" w:cs="Arial" w:eastAsia="Arial" w:hAnsi="Arial"/>
          <w:sz w:val="15"/>
          <w:szCs w:val="15"/>
          <w:color w:val="auto"/>
        </w:rPr>
        <w:t>BL-1220 is an orally administered, novel composition of sodium alginate intended as a novel treatment for various liver failure conditions such as end-stage liver disease (ESLD) and for conditions potentially leading to liver failure such as NASH. Pre-clinical results obtained in animal models of liver impairment suggest that BL-1220 has strong hepato-protective effects. Collectively, the data demonstrate that BL-1220 is able to restore liver function. This technology could be directed toward rapid regeneration of normal liver in both acute and chronic conditions of liver injury. We in-licensed BL-1220 in 2016 from B.G. Negev and Hadasit.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BL-1230</w:t>
      </w:r>
    </w:p>
    <w:p>
      <w:pPr>
        <w:spacing w:after="0" w:line="254" w:lineRule="exact"/>
        <w:rPr>
          <w:sz w:val="20"/>
          <w:szCs w:val="20"/>
          <w:color w:val="auto"/>
        </w:rPr>
      </w:pPr>
    </w:p>
    <w:p>
      <w:pPr>
        <w:ind w:right="20" w:firstLine="584"/>
        <w:spacing w:after="0" w:line="261" w:lineRule="auto"/>
        <w:rPr>
          <w:sz w:val="20"/>
          <w:szCs w:val="20"/>
          <w:color w:val="auto"/>
        </w:rPr>
      </w:pPr>
      <w:r>
        <w:rPr>
          <w:rFonts w:ascii="Arial" w:cs="Arial" w:eastAsia="Arial" w:hAnsi="Arial"/>
          <w:sz w:val="16"/>
          <w:szCs w:val="16"/>
          <w:color w:val="auto"/>
        </w:rPr>
        <w:t>BL-1230 is a cannabinoid receptor type 2 (CB2R) intended as a novel anti-inflammatory treatment for Dry Eye Syndrome (DES). DES is one of the most prevalent ophthalmic medical conditions, but currently, treatment options are very limited, and include constant rehydration with artificial tears and local immunosuppressants. The involvement of CB2R in immune modulation is well established, and pre-clinical studies in three ocular inflammatory models have demonstrated that BL-1230 eye drops have significant anti-inflammatory activity, which attenuates the pathology and improves histological outcomes. In addition to DES, we intend to explore the potential use of this compound in systemic inflammatory conditions. We in-licensed BL-1230 in 2016 from Yissum.</w:t>
      </w:r>
    </w:p>
    <w:p>
      <w:pPr>
        <w:spacing w:after="0" w:line="217"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color w:val="auto"/>
        </w:rPr>
        <w:t>BL-1210, BL-1220 and BL-1230 were all in-licensed under the framework of our strategic collaboration with Novartis for the screening and development of novel drug candidates.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Termination of Therapeutic Candidates</w:t>
      </w:r>
    </w:p>
    <w:p>
      <w:pPr>
        <w:spacing w:after="0" w:line="258" w:lineRule="exact"/>
        <w:rPr>
          <w:sz w:val="20"/>
          <w:szCs w:val="20"/>
          <w:color w:val="auto"/>
        </w:rPr>
      </w:pPr>
    </w:p>
    <w:p>
      <w:pPr>
        <w:ind w:right="220" w:firstLine="584"/>
        <w:spacing w:after="0" w:line="318" w:lineRule="auto"/>
        <w:rPr>
          <w:sz w:val="20"/>
          <w:szCs w:val="20"/>
          <w:color w:val="auto"/>
        </w:rPr>
      </w:pPr>
      <w:r>
        <w:rPr>
          <w:rFonts w:ascii="Arial" w:cs="Arial" w:eastAsia="Arial" w:hAnsi="Arial"/>
          <w:sz w:val="15"/>
          <w:szCs w:val="15"/>
          <w:color w:val="auto"/>
        </w:rPr>
        <w:t>As part of our business strategy, we continue to actively source, rigorously evaluate and in-license selected therapeutic candidates. In line with this strategy, during 2016 and the period subsequent thereto through the date of this report, we terminated two clinical and two pre-clinical stage therapeutic candidates.</w:t>
      </w:r>
    </w:p>
    <w:p>
      <w:pPr>
        <w:spacing w:after="0" w:line="176"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BL-7040 was an orally available synthetic oligonucleotide which was in clinical development for the treatment of inflammatory bowel disease, or IBD. Over the last two years, we invested significant efforts in attempting to locate a potential co-development, collaboration or licensing partner for this asset, and conducted numerous discussions with both mid-sized and large pharma companies in this direction. Ultimately, due to a combination of factors, we were unsuccessful in our efforts and terminated the project in March 2016.</w:t>
      </w:r>
    </w:p>
    <w:p>
      <w:pPr>
        <w:spacing w:after="0" w:line="216" w:lineRule="exact"/>
        <w:rPr>
          <w:sz w:val="20"/>
          <w:szCs w:val="20"/>
          <w:color w:val="auto"/>
        </w:rPr>
      </w:pPr>
    </w:p>
    <w:p>
      <w:pPr>
        <w:ind w:firstLine="584"/>
        <w:spacing w:after="0" w:line="278" w:lineRule="auto"/>
        <w:rPr>
          <w:sz w:val="20"/>
          <w:szCs w:val="20"/>
          <w:color w:val="auto"/>
        </w:rPr>
      </w:pPr>
      <w:r>
        <w:rPr>
          <w:rFonts w:ascii="Arial" w:cs="Arial" w:eastAsia="Arial" w:hAnsi="Arial"/>
          <w:sz w:val="15"/>
          <w:szCs w:val="15"/>
          <w:color w:val="auto"/>
        </w:rPr>
        <w:t>BL-7010 was a novel, non-absorbable, orally available, high-molecular-weight co-polymer intended for the treatment of celiac disease and gluten sensitivity. Over the last two years, we invested significant efforts in examining alternative development and commercialization pathways for BL-7010 in addition to the celiac disease pathway, including as a food supplement, in order to potentially address the multi-billion-dollar market for gluten sensitivity. At the same time, we continued to evaluate the pathway for celiac disease in Europe. However, it became apparent that in light of the scientific and regulatory challenges attending the development of a drug for gluten sensitivity in general and celiac disease in particular, the probability of success for BL-7010 in any pathway was low. In view of our decision to focus on immuno-oncology, we concluded that it would be preferable not continue to invest in research and development efforts related to BL-7010 and to allocate resources and management attention to projects that have a higher probability of succeeding. Therefore, we have notified the licensor of our decision to terminate the project.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9" w:name="page40"/>
    <w:bookmarkEnd w:id="39"/>
    <w:p>
      <w:pPr>
        <w:ind w:firstLine="584"/>
        <w:spacing w:after="0" w:line="263" w:lineRule="auto"/>
        <w:rPr>
          <w:sz w:val="20"/>
          <w:szCs w:val="20"/>
          <w:color w:val="auto"/>
        </w:rPr>
      </w:pPr>
      <w:r>
        <w:rPr>
          <w:rFonts w:ascii="Arial" w:cs="Arial" w:eastAsia="Arial" w:hAnsi="Arial"/>
          <w:sz w:val="16"/>
          <w:szCs w:val="16"/>
          <w:color w:val="auto"/>
        </w:rPr>
        <w:t>BL-8030 was a small molecule which we were developing for the treatment of hepatitis C. The compound was in pre-clinical development in collaboration with Jiangsu Chia-tai Tianqing Pharmaceutical Co., Ltd., or CTTQ, for China and Hong Kong. For addition details regarding CTTQ, see "— Other Out-licensing/Collaboration Agreements." BL-1110 was a small molecule in pre-clinical development which we were developing for the treatment of neuropathic pain. These two pre-clinical projects were terminated due to lack of efficacy and other scientific considerations as well as market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Development Approach</w:t>
      </w:r>
    </w:p>
    <w:p>
      <w:pPr>
        <w:spacing w:after="0" w:line="258" w:lineRule="exact"/>
        <w:rPr>
          <w:sz w:val="20"/>
          <w:szCs w:val="20"/>
          <w:color w:val="auto"/>
        </w:rPr>
      </w:pPr>
    </w:p>
    <w:p>
      <w:pPr>
        <w:jc w:val="both"/>
        <w:ind w:right="60" w:firstLine="584"/>
        <w:spacing w:after="0" w:line="268" w:lineRule="auto"/>
        <w:rPr>
          <w:sz w:val="20"/>
          <w:szCs w:val="20"/>
          <w:color w:val="auto"/>
        </w:rPr>
      </w:pPr>
      <w:r>
        <w:rPr>
          <w:rFonts w:ascii="Arial" w:cs="Arial" w:eastAsia="Arial" w:hAnsi="Arial"/>
          <w:sz w:val="16"/>
          <w:szCs w:val="16"/>
          <w:color w:val="auto"/>
        </w:rPr>
        <w:t>We seek to develop a pipeline of promising therapeutic candidates that exhibit distinct advantages over currently available therapies or address unmet medical needs. Our resources are focused on advancing our therapeutic candidates through development and toward commercialization. Our current drug development pipeline consists of six therapeutic candidates.</w:t>
      </w:r>
    </w:p>
    <w:p>
      <w:pPr>
        <w:spacing w:after="0" w:line="212" w:lineRule="exact"/>
        <w:rPr>
          <w:sz w:val="20"/>
          <w:szCs w:val="20"/>
          <w:color w:val="auto"/>
        </w:rPr>
      </w:pPr>
    </w:p>
    <w:p>
      <w:pPr>
        <w:ind w:right="380" w:firstLine="584"/>
        <w:spacing w:after="0" w:line="283" w:lineRule="auto"/>
        <w:rPr>
          <w:sz w:val="20"/>
          <w:szCs w:val="20"/>
          <w:color w:val="auto"/>
        </w:rPr>
      </w:pPr>
      <w:r>
        <w:rPr>
          <w:rFonts w:ascii="Arial" w:cs="Arial" w:eastAsia="Arial" w:hAnsi="Arial"/>
          <w:sz w:val="16"/>
          <w:szCs w:val="16"/>
          <w:color w:val="auto"/>
        </w:rPr>
        <w:t>Our focus is principally on the therapeutic areas of oncology and immunology. However, we may also in-license therapeutic compounds outside of these areas in connection with our strategic collaboration with Novartis, as well as to a limited extent for our independent pipeline as the opportunities arise.</w:t>
      </w:r>
    </w:p>
    <w:p>
      <w:pPr>
        <w:spacing w:after="0" w:line="199" w:lineRule="exact"/>
        <w:rPr>
          <w:sz w:val="20"/>
          <w:szCs w:val="20"/>
          <w:color w:val="auto"/>
        </w:rPr>
      </w:pPr>
    </w:p>
    <w:p>
      <w:pPr>
        <w:ind w:right="120" w:firstLine="584"/>
        <w:spacing w:after="0" w:line="280" w:lineRule="auto"/>
        <w:rPr>
          <w:sz w:val="20"/>
          <w:szCs w:val="20"/>
          <w:color w:val="auto"/>
        </w:rPr>
      </w:pPr>
      <w:r>
        <w:rPr>
          <w:rFonts w:ascii="Arial" w:cs="Arial" w:eastAsia="Arial" w:hAnsi="Arial"/>
          <w:sz w:val="15"/>
          <w:szCs w:val="15"/>
          <w:color w:val="auto"/>
        </w:rPr>
        <w:t>We have established relationships with various universities, academic and research institutions and biotechnology companies that permit us to identify and select compounds at various stages of clinical and pre-clinical development. Initially, we focused on Israeli institutions as the primary source of our therapeutic candidates. In Israel, we established close relationships with the Technion – Israel Institute of Technology, or Technion, Ben-Gurion University of the Negev, Hebrew University of Jerusalem, Tel Aviv University, Bar Ilan University and the Weizmann Institute. More recently, we have begun to source therapeutic candidate opportunities worldwide. Although our focus since inception has been on identifying early development stage therapeutic candidates, over the last few years we have begun evaluating clinical and later-stage pre-clinical candidates in order to introduce therapeutic candidates with a greater potential for clinical success to our pipeline.</w:t>
      </w:r>
    </w:p>
    <w:p>
      <w:pPr>
        <w:spacing w:after="0" w:line="205" w:lineRule="exact"/>
        <w:rPr>
          <w:sz w:val="20"/>
          <w:szCs w:val="20"/>
          <w:color w:val="auto"/>
        </w:rPr>
      </w:pPr>
    </w:p>
    <w:p>
      <w:pPr>
        <w:ind w:right="20" w:firstLine="584"/>
        <w:spacing w:after="0" w:line="260" w:lineRule="auto"/>
        <w:rPr>
          <w:sz w:val="20"/>
          <w:szCs w:val="20"/>
          <w:color w:val="auto"/>
        </w:rPr>
      </w:pPr>
      <w:r>
        <w:rPr>
          <w:rFonts w:ascii="Arial" w:cs="Arial" w:eastAsia="Arial" w:hAnsi="Arial"/>
          <w:sz w:val="16"/>
          <w:szCs w:val="16"/>
          <w:color w:val="auto"/>
        </w:rPr>
        <w:t>Once we identify a candidate, it enters our internal evaluation system and undergoes our rigorous selection process. We employ internal research efforts to evaluate candidates. We evaluate each compound's potential for success by looking at the candidate's efficacy, safety, total estimated development costs, technological novelty, patent status, market potential and approvability. Following evaluation and diligence, as necessary, a therapeutic candidate may also be evaluated by our Scientific Advisory Board and by disease-specific advisors for external scientific review. At each step of the process, a therapeutic candidate is subjected to critical evaluation and potential termination. Our approach is consistent with our objective of proceeding only with therapeutic candidates that we believe exhibit a relatively high probability of therapeutic and commercial success.</w:t>
      </w:r>
    </w:p>
    <w:p>
      <w:pPr>
        <w:spacing w:after="0" w:line="217" w:lineRule="exact"/>
        <w:rPr>
          <w:sz w:val="20"/>
          <w:szCs w:val="20"/>
          <w:color w:val="auto"/>
        </w:rPr>
      </w:pPr>
    </w:p>
    <w:p>
      <w:pPr>
        <w:jc w:val="both"/>
        <w:ind w:right="340" w:firstLine="584"/>
        <w:spacing w:after="0" w:line="263" w:lineRule="auto"/>
        <w:rPr>
          <w:sz w:val="20"/>
          <w:szCs w:val="20"/>
          <w:color w:val="auto"/>
        </w:rPr>
      </w:pPr>
      <w:r>
        <w:rPr>
          <w:rFonts w:ascii="Arial" w:cs="Arial" w:eastAsia="Arial" w:hAnsi="Arial"/>
          <w:sz w:val="16"/>
          <w:szCs w:val="16"/>
          <w:color w:val="auto"/>
        </w:rPr>
        <w:t>Once we approve a compound, we in-license the candidate and any related technology and our drug development team and project managers identify, define and oversee the necessary steps to development and commercialization. The design of an appropriate development plan is critical to our approach. We design experiments and studies that challenge the identified weaknesses of a compound, and often verify initial data by testing the compound in additional animal models, as well as in early-stage clinical studies.</w:t>
      </w:r>
    </w:p>
    <w:p>
      <w:pPr>
        <w:spacing w:after="0" w:line="216" w:lineRule="exact"/>
        <w:rPr>
          <w:sz w:val="20"/>
          <w:szCs w:val="20"/>
          <w:color w:val="auto"/>
        </w:rPr>
      </w:pPr>
    </w:p>
    <w:p>
      <w:pPr>
        <w:ind w:right="80" w:firstLine="584"/>
        <w:spacing w:after="0" w:line="258" w:lineRule="auto"/>
        <w:rPr>
          <w:sz w:val="20"/>
          <w:szCs w:val="20"/>
          <w:color w:val="auto"/>
        </w:rPr>
      </w:pPr>
      <w:r>
        <w:rPr>
          <w:rFonts w:ascii="Arial" w:cs="Arial" w:eastAsia="Arial" w:hAnsi="Arial"/>
          <w:sz w:val="16"/>
          <w:szCs w:val="16"/>
          <w:color w:val="auto"/>
        </w:rPr>
        <w:t>Our development approach focuses on identifying and following what we believe will be successful pathways to commercialization. Our team has the expertise to move our candidates through all Phases of preclinical and clinical development. Our staff includes professionals with extensive experience in drug development, chemistry, manufacturing and controls, or CMC, preclinical experimentation, clinical development, regulatory affairs, intellectual property protection and business development. We perform our development activities in our laboratory or outsource these activities to contract research organizations, or CROs, that meet applicable regulatory standards. Following the generation of sufficient preclinical data, applications to regulatory authorities for the initiation of clinical trials are submitted. Phase 1 and 2 clinical trials are then conducted to demonstrate clinical proof of safety and efficacy. Following this stage of development we seek either to sublicense the therapeutic candidate to a pharmaceutical partner or, in certain circumstances, we may elect to complete development by ourselves. To the extent we in-license later stage compounds, we may eliminate certain of these development efforts.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Collaboration and Out-Licensing Agreements</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Investment and Collaboration Agreement with Novartis</w:t>
      </w:r>
    </w:p>
    <w:p>
      <w:pPr>
        <w:spacing w:after="0" w:line="258"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In December 2014, we entered into a multi-year strategic collaboration agreement with Novartis designed to facilitate development and commercialization of Israeli-sourced drug candidates. Novartis will evaluate projects identified and presented by us for co-development and potential future licensing under the collaboration. We intend to co-develop a number of pre-clinical and early clinical therapeutic projects through clinical proof-of-concept. During 2016, we in-licensed three pre-clinical projects – BL-1210, BL-1220 and BL-1230 – in the framework of this collaboration. As part of the collaboration agreement, Novartis made an initial equity investment in BioLineRx of $10 million, and currently holds 8.1% of our outstanding share capital.</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Collaboration Agreement with MSD (Merck)</w:t>
      </w:r>
    </w:p>
    <w:p>
      <w:pPr>
        <w:spacing w:after="0" w:line="248" w:lineRule="exact"/>
        <w:rPr>
          <w:sz w:val="20"/>
          <w:szCs w:val="20"/>
          <w:color w:val="auto"/>
        </w:rPr>
      </w:pPr>
    </w:p>
    <w:p>
      <w:pPr>
        <w:ind w:right="20" w:firstLine="584"/>
        <w:spacing w:after="0" w:line="245" w:lineRule="auto"/>
        <w:rPr>
          <w:sz w:val="20"/>
          <w:szCs w:val="20"/>
          <w:color w:val="auto"/>
        </w:rPr>
      </w:pPr>
      <w:r>
        <w:rPr>
          <w:rFonts w:ascii="Arial" w:cs="Arial" w:eastAsia="Arial" w:hAnsi="Arial"/>
          <w:sz w:val="15"/>
          <w:szCs w:val="15"/>
          <w:color w:val="auto"/>
        </w:rPr>
        <w:t>In January 2016, we announced a collaboration with MSD to support a Phase 2 study investigating BL-8040 in combination with KEYTRUDA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(pembrolizumab), MSD's anti-PD-1 therapy, in patients with metastatic pancreatic cancer. The Phase 2 study will evaluate the clinical response, safety and tolerability of the combination of these therapies as well as multiple pharmacodynamic parameters, including the ability to improve infiltration of T-cells into the tumor and their reactivity. According to the terms of the agreement, we are sponsoring and performing the study, which was initiated in September 2016, and Merck is supplying its compound for purposes of the study. Upon completion of the study, or at any earlier point, both parties will have the option to expand the collaboration to include a pivotal registration study.</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Collaboration with Genentech</w:t>
      </w:r>
    </w:p>
    <w:p>
      <w:pPr>
        <w:spacing w:after="0" w:line="258" w:lineRule="exact"/>
        <w:rPr>
          <w:sz w:val="20"/>
          <w:szCs w:val="20"/>
          <w:color w:val="auto"/>
        </w:rPr>
      </w:pPr>
    </w:p>
    <w:p>
      <w:pPr>
        <w:ind w:right="120" w:firstLine="584"/>
        <w:spacing w:after="0" w:line="286" w:lineRule="auto"/>
        <w:rPr>
          <w:sz w:val="20"/>
          <w:szCs w:val="20"/>
          <w:color w:val="auto"/>
        </w:rPr>
      </w:pPr>
      <w:r>
        <w:rPr>
          <w:rFonts w:ascii="Arial" w:cs="Arial" w:eastAsia="Arial" w:hAnsi="Arial"/>
          <w:sz w:val="15"/>
          <w:szCs w:val="15"/>
          <w:color w:val="auto"/>
        </w:rPr>
        <w:t>In September 2016, we entered into a collaboration with Genentech to support several Phase 1b studies investigating BL-8040 in combination with Atezolizumab, Genentech's anti-PDL1 cancer immunotherapy, in multiple cancer indications. The Phase 1b studies, which are all expected to commence in 2017, will evaluate the clinical response, safety and tolerability of the combination of these therapies, as well as multiple pharmacodynamic parameters, in hematologic malignancies and solid tumors. Upon completion of the studies, both parties will have the option to expand the collaboration to include a pivotal registration study.</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Out-Licensing Agreement with Omega Pharma</w:t>
      </w:r>
    </w:p>
    <w:p>
      <w:pPr>
        <w:spacing w:after="0" w:line="258" w:lineRule="exact"/>
        <w:rPr>
          <w:sz w:val="20"/>
          <w:szCs w:val="20"/>
          <w:color w:val="auto"/>
        </w:rPr>
      </w:pPr>
    </w:p>
    <w:p>
      <w:pPr>
        <w:ind w:right="180" w:firstLine="584"/>
        <w:spacing w:after="0" w:line="282" w:lineRule="auto"/>
        <w:rPr>
          <w:sz w:val="20"/>
          <w:szCs w:val="20"/>
          <w:color w:val="auto"/>
        </w:rPr>
      </w:pPr>
      <w:r>
        <w:rPr>
          <w:rFonts w:ascii="Arial" w:cs="Arial" w:eastAsia="Arial" w:hAnsi="Arial"/>
          <w:sz w:val="15"/>
          <w:szCs w:val="15"/>
          <w:color w:val="auto"/>
        </w:rPr>
        <w:t>In December 2014, we entered into an exclusive out-licensing arrangement with Omega Pharma for the rights to BL-5010 for OTC indications in the territory of Europe, Australia and additional selected countries (collectively, the "Territory"). We will retain all OTC rights to BL-5010 in the United States and the rest of the world, as well as all non-OTC rights on a global basis. Omega Pharma is obligated to make all necessary efforts to launch a licensed product commercially in the Territory in 2016, including having secured sufficient licensed product supply to support such commercial launch. In addition, Omega Pharma is obligated to use commercially reasonable best efforts to obtain regulatory approval in the Territory for at least two OTC indications and to commercialize BL-5010 for those two OTC indications.</w:t>
      </w:r>
    </w:p>
    <w:p>
      <w:pPr>
        <w:spacing w:after="0" w:line="156" w:lineRule="exact"/>
        <w:rPr>
          <w:sz w:val="20"/>
          <w:szCs w:val="20"/>
          <w:color w:val="auto"/>
        </w:rPr>
      </w:pPr>
    </w:p>
    <w:p>
      <w:pPr>
        <w:jc w:val="both"/>
        <w:ind w:right="20" w:firstLine="584"/>
        <w:spacing w:after="0" w:line="324" w:lineRule="auto"/>
        <w:rPr>
          <w:sz w:val="20"/>
          <w:szCs w:val="20"/>
          <w:color w:val="auto"/>
        </w:rPr>
      </w:pPr>
      <w:r>
        <w:rPr>
          <w:rFonts w:ascii="Arial" w:cs="Arial" w:eastAsia="Arial" w:hAnsi="Arial"/>
          <w:sz w:val="14"/>
          <w:szCs w:val="14"/>
          <w:color w:val="auto"/>
        </w:rPr>
        <w:t>Omega has the right to sublicense BL-5010 in arm's-length transactions consistent with the terms and conditions of its license agreement with us. In certain agreed-on countries in the Territory, Omega Pharma is obligated to commercialize licensed products itself, through its affiliates or through sublicensees approved by us; in other countries in the Territory, Omega Pharma does not need our prior written approval for sublicensing but must provide us with a copy of the executed sublicense agreement.</w:t>
      </w:r>
    </w:p>
    <w:p>
      <w:pPr>
        <w:spacing w:after="0" w:line="176"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Omega Pharma is obligated to pay us an agreed amount for each unit sold, and we will be entitled to certain commercial milestone payments. We must pay a portion of all net consideration we receive from Omega Pharma, within our standard range of sublicense receipt consideration, to IPC, the company from which we initially in-licensed the development rights to BL-5010. See "— In-Licensing Agreements — BL-5010."</w:t>
      </w:r>
    </w:p>
    <w:p>
      <w:pPr>
        <w:spacing w:after="0" w:line="212" w:lineRule="exact"/>
        <w:rPr>
          <w:sz w:val="20"/>
          <w:szCs w:val="20"/>
          <w:color w:val="auto"/>
        </w:rPr>
      </w:pPr>
    </w:p>
    <w:p>
      <w:pPr>
        <w:ind w:right="140" w:firstLine="584"/>
        <w:spacing w:after="0" w:line="283" w:lineRule="auto"/>
        <w:rPr>
          <w:sz w:val="20"/>
          <w:szCs w:val="20"/>
          <w:color w:val="auto"/>
        </w:rPr>
      </w:pPr>
      <w:r>
        <w:rPr>
          <w:rFonts w:ascii="Arial" w:cs="Arial" w:eastAsia="Arial" w:hAnsi="Arial"/>
          <w:sz w:val="16"/>
          <w:szCs w:val="16"/>
          <w:color w:val="auto"/>
        </w:rPr>
        <w:t>We have the right to prosecute and maintain the patents for BL-5010 in the Territory, and Omega Pharma will bear the cost of all renewal fees fee for patents and the other costs of prosecution and maintenance up to an agreed limit.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1" w:name="page42"/>
    <w:bookmarkEnd w:id="41"/>
    <w:p>
      <w:pPr>
        <w:ind w:right="120" w:firstLine="584"/>
        <w:spacing w:after="0" w:line="283" w:lineRule="auto"/>
        <w:rPr>
          <w:sz w:val="20"/>
          <w:szCs w:val="20"/>
          <w:color w:val="auto"/>
        </w:rPr>
      </w:pPr>
      <w:r>
        <w:rPr>
          <w:rFonts w:ascii="Arial" w:cs="Arial" w:eastAsia="Arial" w:hAnsi="Arial"/>
          <w:sz w:val="16"/>
          <w:szCs w:val="16"/>
          <w:color w:val="auto"/>
        </w:rPr>
        <w:t>We will have full access to all clinical and research and development data generated during the performance of the development plan and may use these data in order to develop or license the product in other territories and fields of use where we retain the rights.</w:t>
      </w:r>
    </w:p>
    <w:p>
      <w:pPr>
        <w:spacing w:after="0" w:line="199" w:lineRule="exact"/>
        <w:rPr>
          <w:sz w:val="20"/>
          <w:szCs w:val="20"/>
          <w:color w:val="auto"/>
        </w:rPr>
      </w:pPr>
    </w:p>
    <w:p>
      <w:pPr>
        <w:ind w:right="40" w:firstLine="584"/>
        <w:spacing w:after="0" w:line="259" w:lineRule="auto"/>
        <w:rPr>
          <w:sz w:val="20"/>
          <w:szCs w:val="20"/>
          <w:color w:val="auto"/>
        </w:rPr>
      </w:pPr>
      <w:r>
        <w:rPr>
          <w:rFonts w:ascii="Arial" w:cs="Arial" w:eastAsia="Arial" w:hAnsi="Arial"/>
          <w:sz w:val="16"/>
          <w:szCs w:val="16"/>
          <w:color w:val="auto"/>
        </w:rPr>
        <w:t>Our agreement with Omega Pharma will continue in effect until the cessation of all commercialization in the Territory. After the fifth anniversary of the first commercial sale of a licensed product, either party may terminate the agreement by giving at least 18 months' prior written notice to the other party. Either party may terminate the agreement (a) by providing 60 days' written notice of a material breach of the agreement by the other party if the breaching party does not cure the breach during that time or (b) with immediate effect on written notice to the other party if there is a change of control of the other party. The parties have agreed that the announced acquisition of Omega Pharma by Perrigo Company Plc is a change of control event that will not give rise to a right on our part to terminate the license agreement. In addition, we have the right to terminate the agreement if Omega Pharma does not fulfill any of its obligations of diligence with respect to launching a licensed product or obtaining regulatory approval for, and commercializing, licensed products as described above.</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Other Out-licensing/Collaboration Agreements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MaRS Innovation</w:t>
      </w:r>
    </w:p>
    <w:p>
      <w:pPr>
        <w:spacing w:after="0" w:line="254"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In May 2016, we entered into a collaboration with MaRS Innovation, the commercialization agent for 15 of Toronto's top academic institutions. Under the terms of the agreement, we intend to review innovative projects and assets of startup companies originating from MaRS Innovation's members, to identify in-licensing, co-development or other partnering opportunities.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iPharma</w:t>
      </w:r>
    </w:p>
    <w:p>
      <w:pPr>
        <w:spacing w:after="0" w:line="254" w:lineRule="exact"/>
        <w:rPr>
          <w:sz w:val="20"/>
          <w:szCs w:val="20"/>
          <w:color w:val="auto"/>
        </w:rPr>
      </w:pPr>
    </w:p>
    <w:p>
      <w:pPr>
        <w:ind w:right="140" w:firstLine="584"/>
        <w:spacing w:after="0" w:line="280" w:lineRule="auto"/>
        <w:rPr>
          <w:sz w:val="20"/>
          <w:szCs w:val="20"/>
          <w:color w:val="auto"/>
        </w:rPr>
      </w:pPr>
      <w:r>
        <w:rPr>
          <w:rFonts w:ascii="Arial" w:cs="Arial" w:eastAsia="Arial" w:hAnsi="Arial"/>
          <w:sz w:val="15"/>
          <w:szCs w:val="15"/>
          <w:color w:val="auto"/>
        </w:rPr>
        <w:t>In August 2016, we announced the establishment of a joint venture with I-Bridge Capital, a Chinese venture capital fund focused on developing innovative therapies in China. The joint venture, named iPharma, will develop innovative clinical and pre-clinical therapeutic candidates originating primarily in Israel to serve the Chinese and global healthcare markets. Under the terms of the joint venture agreement, each partner will provide seed capital of one million dollars to the venture. We will screen and identify promising early-stage drug candidates originating primarily in Israel with emphasis on therapeutic indications that are of special interest for the Chinese population. These therapeutic candidates will then be in-licensed by iPharma for further development and commercialization in China and possibly in other countries as well. The project screening process has begun and several candidates have already been identified.</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JHL</w:t>
      </w:r>
    </w:p>
    <w:p>
      <w:pPr>
        <w:spacing w:after="0" w:line="254" w:lineRule="exact"/>
        <w:rPr>
          <w:sz w:val="20"/>
          <w:szCs w:val="20"/>
          <w:color w:val="auto"/>
        </w:rPr>
      </w:pPr>
    </w:p>
    <w:p>
      <w:pPr>
        <w:ind w:right="100" w:firstLine="584"/>
        <w:spacing w:after="0" w:line="258" w:lineRule="auto"/>
        <w:rPr>
          <w:sz w:val="20"/>
          <w:szCs w:val="20"/>
          <w:color w:val="auto"/>
        </w:rPr>
      </w:pPr>
      <w:r>
        <w:rPr>
          <w:rFonts w:ascii="Arial" w:cs="Arial" w:eastAsia="Arial" w:hAnsi="Arial"/>
          <w:sz w:val="16"/>
          <w:szCs w:val="16"/>
          <w:color w:val="auto"/>
        </w:rPr>
        <w:t>In January 2014, we signed a collaboration agreement with JHL Biotech, or JHL, a biopharmaceutical company that develops, manufactures, and commercializes biologic medicines, pursuant to which we will collaborate with JHL in the development and commercialization of BL-9020, a novel monoclonal antibody for the treatment of Type 1 diabetes. JHL will be responsible for all process development and manufacturing of BL-9020 during its pre-clinical and clinical development stages, and we will be responsible for all pre-clinical development of BL-9020. Responsibility for clinical development of BL-9020 will be shared by the parties on a regional basis. Under the terms of the agreement, JHL will have global manufacturing rights to BL-9020, along with development and commercialization rights in China and Southeast Asia, or the JHL Territory, and we will have development and commercialization rights in the rest of the world. In all development and manufacturing of BL-9020, JHL will adhere to FDA guidelines and regulations. Each party will have rights to all development and regulatory data generated under the agreement in order to commercialize BL-9020 in its respective territory.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ind w:firstLine="584"/>
        <w:spacing w:after="0" w:line="263" w:lineRule="auto"/>
        <w:rPr>
          <w:sz w:val="20"/>
          <w:szCs w:val="20"/>
          <w:color w:val="auto"/>
        </w:rPr>
      </w:pPr>
      <w:r>
        <w:rPr>
          <w:rFonts w:ascii="Arial" w:cs="Arial" w:eastAsia="Arial" w:hAnsi="Arial"/>
          <w:sz w:val="16"/>
          <w:szCs w:val="16"/>
          <w:color w:val="auto"/>
        </w:rPr>
        <w:t>Each party will be entitled to single-digit royalties on the sale of BL-9020 in the other party's respective territory. We must pay 16% of all net consideration we receive from JHL to Yissum, B.G. Negev and Hadasit, the companies from which we initially in-licensed the development rights to BL-9020. In addition, we are required to pay 12% of all net consideration we receive as a result of the out-licensing of BL-9020, including without limitation the net consideration we receive from JHL, to a party that is assisting us in the initial development of BL-9020.</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JHL has the right to sublicense BL-9020 in the JHL Territory in arm's-length transactions consistent with the terms and conditions of the license agreement.</w:t>
      </w:r>
    </w:p>
    <w:p>
      <w:pPr>
        <w:spacing w:after="0" w:line="266"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Our agreement with JHL expires upon the later of the date on which JHL reasonably expects no additional sales of product in the JHL Territory or the date on which on which we reasonably expect that we will no longer receive additional sublicensing consideration or net sales. Either party may terminate the agreement by providing either 30 or 60 days' written notice (depending on which provision of the agreement has been breached) of a material breach of the agreement by the other party if the breaching party does not cure the breach during that time.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In-Licensing Agreements</w:t>
      </w:r>
    </w:p>
    <w:p>
      <w:pPr>
        <w:spacing w:after="0" w:line="258" w:lineRule="exact"/>
        <w:rPr>
          <w:sz w:val="20"/>
          <w:szCs w:val="20"/>
          <w:color w:val="auto"/>
        </w:rPr>
      </w:pPr>
    </w:p>
    <w:p>
      <w:pPr>
        <w:ind w:right="160" w:firstLine="584"/>
        <w:spacing w:after="0" w:line="260" w:lineRule="auto"/>
        <w:rPr>
          <w:sz w:val="20"/>
          <w:szCs w:val="20"/>
          <w:color w:val="auto"/>
        </w:rPr>
      </w:pPr>
      <w:r>
        <w:rPr>
          <w:rFonts w:ascii="Arial" w:cs="Arial" w:eastAsia="Arial" w:hAnsi="Arial"/>
          <w:sz w:val="16"/>
          <w:szCs w:val="16"/>
          <w:color w:val="auto"/>
        </w:rPr>
        <w:t>We have in-licensed and intend to continue to in-license development, production and marketing rights from selected research and academic institutions in order to capitalize on the capabilities and technology developed by these entities. We also seek to obtain technologies that complement and expand our existing technology base by entering into license agreements with pharmaceutical and biotechnology companies. When entering into in-license agreements, we generally seek to obtain unrestricted sublicense rights consistent with our primarily partner-driven strategy. We are generally obligated under these agreements to diligently pursue product development, make development milestone payments, pay royalties on any product sales and make payments upon the grant of sublicense rights. We generally insist on the right to terminate any in-license for convenience upon prior written notice to the licensor.</w:t>
      </w:r>
    </w:p>
    <w:p>
      <w:pPr>
        <w:spacing w:after="0" w:line="217" w:lineRule="exact"/>
        <w:rPr>
          <w:sz w:val="20"/>
          <w:szCs w:val="20"/>
          <w:color w:val="auto"/>
        </w:rPr>
      </w:pPr>
    </w:p>
    <w:p>
      <w:pPr>
        <w:ind w:right="700" w:firstLine="584"/>
        <w:spacing w:after="0" w:line="283" w:lineRule="auto"/>
        <w:rPr>
          <w:sz w:val="20"/>
          <w:szCs w:val="20"/>
          <w:color w:val="auto"/>
        </w:rPr>
      </w:pPr>
      <w:r>
        <w:rPr>
          <w:rFonts w:ascii="Arial" w:cs="Arial" w:eastAsia="Arial" w:hAnsi="Arial"/>
          <w:sz w:val="16"/>
          <w:szCs w:val="16"/>
          <w:color w:val="auto"/>
        </w:rPr>
        <w:t>The scope of payments we are required to make under our in-licensing agreements is comprised of various components that are paid commensurate with the progressive development and commercialization of our drug products.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in-licensing agreements generally provide for the following types of payments:</w:t>
      </w:r>
    </w:p>
    <w:p>
      <w:pPr>
        <w:spacing w:after="0" w:line="250" w:lineRule="exact"/>
        <w:rPr>
          <w:sz w:val="20"/>
          <w:szCs w:val="20"/>
          <w:color w:val="auto"/>
        </w:rPr>
      </w:pPr>
    </w:p>
    <w:p>
      <w:pPr>
        <w:ind w:left="1160" w:right="240" w:hanging="578"/>
        <w:spacing w:after="0" w:line="271"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Revenue sharing payments</w:t>
      </w:r>
      <w:r>
        <w:rPr>
          <w:rFonts w:ascii="Arial" w:cs="Arial" w:eastAsia="Arial" w:hAnsi="Arial"/>
          <w:sz w:val="16"/>
          <w:szCs w:val="16"/>
          <w:color w:val="auto"/>
        </w:rPr>
        <w:t>. These are payments to be made to licensors with respect to revenue we receive from sub-licensing to third parties for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commercialization of our drug products. These payments are generally fixed at a percentage of the total revenues we earn from these sublicenses.</w:t>
      </w:r>
    </w:p>
    <w:p>
      <w:pPr>
        <w:spacing w:after="0" w:line="204" w:lineRule="exact"/>
        <w:rPr>
          <w:rFonts w:ascii="Arial" w:cs="Arial" w:eastAsia="Arial" w:hAnsi="Arial"/>
          <w:sz w:val="16"/>
          <w:szCs w:val="16"/>
          <w:color w:val="auto"/>
        </w:rPr>
      </w:pPr>
    </w:p>
    <w:p>
      <w:pPr>
        <w:ind w:left="1160" w:right="400" w:hanging="578"/>
        <w:spacing w:after="0" w:line="288"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Milestone payments</w:t>
      </w:r>
      <w:r>
        <w:rPr>
          <w:rFonts w:ascii="Arial" w:cs="Arial" w:eastAsia="Arial" w:hAnsi="Arial"/>
          <w:sz w:val="16"/>
          <w:szCs w:val="16"/>
          <w:color w:val="auto"/>
        </w:rPr>
        <w:t>. These payments are generally linked to the successful achievement of milestones in the development and approval of drugs, such</w:t>
      </w:r>
      <w:r>
        <w:rPr>
          <w:rFonts w:ascii="Arial" w:cs="Arial" w:eastAsia="Arial" w:hAnsi="Arial"/>
          <w:sz w:val="16"/>
          <w:szCs w:val="16"/>
          <w:b w:val="1"/>
          <w:bCs w:val="1"/>
          <w:color w:val="auto"/>
        </w:rPr>
        <w:t xml:space="preserve"> </w:t>
      </w:r>
      <w:r>
        <w:rPr>
          <w:rFonts w:ascii="Arial" w:cs="Arial" w:eastAsia="Arial" w:hAnsi="Arial"/>
          <w:sz w:val="16"/>
          <w:szCs w:val="16"/>
          <w:color w:val="auto"/>
        </w:rPr>
        <w:t>Phases 1, 2 and 3 of clinical trials and approvals of new drug applications, or NDAs.</w:t>
      </w:r>
    </w:p>
    <w:p>
      <w:pPr>
        <w:spacing w:after="0" w:line="191" w:lineRule="exact"/>
        <w:rPr>
          <w:rFonts w:ascii="Arial" w:cs="Arial" w:eastAsia="Arial" w:hAnsi="Arial"/>
          <w:sz w:val="16"/>
          <w:szCs w:val="16"/>
          <w:color w:val="auto"/>
        </w:rPr>
      </w:pPr>
    </w:p>
    <w:p>
      <w:pPr>
        <w:ind w:left="1160" w:right="60" w:hanging="578"/>
        <w:spacing w:after="0" w:line="262" w:lineRule="auto"/>
        <w:tabs>
          <w:tab w:leader="none" w:pos="11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Royalty payments</w:t>
      </w:r>
      <w:r>
        <w:rPr>
          <w:rFonts w:ascii="Arial" w:cs="Arial" w:eastAsia="Arial" w:hAnsi="Arial"/>
          <w:sz w:val="16"/>
          <w:szCs w:val="16"/>
          <w:color w:val="auto"/>
        </w:rPr>
        <w:t>. To the extent we elect to complete the development, licensing and marketing of a therapeutic candidate, we are generally required to pay</w:t>
      </w:r>
      <w:r>
        <w:rPr>
          <w:rFonts w:ascii="Arial" w:cs="Arial" w:eastAsia="Arial" w:hAnsi="Arial"/>
          <w:sz w:val="16"/>
          <w:szCs w:val="16"/>
          <w:b w:val="1"/>
          <w:bCs w:val="1"/>
          <w:color w:val="auto"/>
        </w:rPr>
        <w:t xml:space="preserve"> </w:t>
      </w:r>
      <w:r>
        <w:rPr>
          <w:rFonts w:ascii="Arial" w:cs="Arial" w:eastAsia="Arial" w:hAnsi="Arial"/>
          <w:sz w:val="16"/>
          <w:szCs w:val="16"/>
          <w:color w:val="auto"/>
        </w:rPr>
        <w:t>our licensors royalties on the sales of the end drug product. These royalty payments are generally based on the net revenue from these sales. In certain instances, the rate of the royalty payments decrease upon the expiration of the drug's underlying patent and its transition into a generic drug. Certain of our agreements provide that if a licensed drug product is developed and sold through a different corporate entity, the licensors may elect to receive shares in such company instead of a portion of the royalties.</w:t>
      </w:r>
    </w:p>
    <w:p>
      <w:pPr>
        <w:spacing w:after="0" w:line="213" w:lineRule="exact"/>
        <w:rPr>
          <w:rFonts w:ascii="Arial" w:cs="Arial" w:eastAsia="Arial" w:hAnsi="Arial"/>
          <w:sz w:val="16"/>
          <w:szCs w:val="16"/>
          <w:color w:val="auto"/>
        </w:rPr>
      </w:pPr>
    </w:p>
    <w:p>
      <w:pPr>
        <w:ind w:left="1160" w:right="140" w:hanging="578"/>
        <w:spacing w:after="0" w:line="297" w:lineRule="auto"/>
        <w:tabs>
          <w:tab w:leader="none" w:pos="116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Additional payments</w:t>
      </w:r>
      <w:r>
        <w:rPr>
          <w:rFonts w:ascii="Arial" w:cs="Arial" w:eastAsia="Arial" w:hAnsi="Arial"/>
          <w:sz w:val="15"/>
          <w:szCs w:val="15"/>
          <w:color w:val="auto"/>
        </w:rPr>
        <w:t>. In addition to the above payments, certain of our in-license agreements provide for a one-time or periodic payment that is not linked</w:t>
      </w:r>
      <w:r>
        <w:rPr>
          <w:rFonts w:ascii="Arial" w:cs="Arial" w:eastAsia="Arial" w:hAnsi="Arial"/>
          <w:sz w:val="15"/>
          <w:szCs w:val="15"/>
          <w:b w:val="1"/>
          <w:bCs w:val="1"/>
          <w:color w:val="auto"/>
        </w:rPr>
        <w:t xml:space="preserve"> </w:t>
      </w:r>
      <w:r>
        <w:rPr>
          <w:rFonts w:ascii="Arial" w:cs="Arial" w:eastAsia="Arial" w:hAnsi="Arial"/>
          <w:sz w:val="15"/>
          <w:szCs w:val="15"/>
          <w:color w:val="auto"/>
        </w:rPr>
        <w:t>to milestones. Periodic payments may be paid until the commercialization of the product, either by direct sales or sublicenses to third parties. Other agreements provide for the continuation of these payments even following the commercialization of the licensed drug product.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3" w:name="page44"/>
    <w:bookmarkEnd w:id="43"/>
    <w:p>
      <w:pPr>
        <w:ind w:firstLine="584"/>
        <w:spacing w:after="0" w:line="260" w:lineRule="auto"/>
        <w:rPr>
          <w:sz w:val="20"/>
          <w:szCs w:val="20"/>
          <w:color w:val="auto"/>
        </w:rPr>
      </w:pPr>
      <w:r>
        <w:rPr>
          <w:rFonts w:ascii="Arial" w:cs="Arial" w:eastAsia="Arial" w:hAnsi="Arial"/>
          <w:sz w:val="16"/>
          <w:szCs w:val="16"/>
          <w:color w:val="auto"/>
        </w:rPr>
        <w:t>The royalty and revenue sharing rates we agree to pay in our in-licensing agreements vary from case to case but in most cases range from 20% to 29.5% of the consideration we receive from sublicensing the applicable therapeutic candidate. We are required to pay a substantially lower percentage, generally less than 5%, if we elect to commercialize the subject therapeutic candidate independently. Due to the relatively advanced stage of development of the compound licensed from Biokine, our license agreement with Biokine provides for royalty payments of 40% of the consideration we receive from sublicensing and 10% of net sales, subject to certain limitations, should we independently sell products. In addition, milestone payments are not generally payable if revenue-sharing from an out-licensing transaction is greater than any relevant payments due under our in-licensing agreements.</w:t>
      </w:r>
    </w:p>
    <w:p>
      <w:pPr>
        <w:spacing w:after="0" w:line="168" w:lineRule="exact"/>
        <w:rPr>
          <w:sz w:val="20"/>
          <w:szCs w:val="20"/>
          <w:color w:val="auto"/>
        </w:rPr>
      </w:pPr>
    </w:p>
    <w:p>
      <w:pPr>
        <w:ind w:right="220" w:firstLine="584"/>
        <w:spacing w:after="0" w:line="358" w:lineRule="auto"/>
        <w:rPr>
          <w:sz w:val="20"/>
          <w:szCs w:val="20"/>
          <w:color w:val="auto"/>
        </w:rPr>
      </w:pPr>
      <w:r>
        <w:rPr>
          <w:rFonts w:ascii="Arial" w:cs="Arial" w:eastAsia="Arial" w:hAnsi="Arial"/>
          <w:sz w:val="14"/>
          <w:szCs w:val="14"/>
          <w:color w:val="auto"/>
        </w:rPr>
        <w:t>The following are descriptions of our in-licensing agreements associated with our main therapeutic candidates. In addition to the in-licensing agreements discussed herein, we have entered into other in-licensing arrangements in connection with our therapeutic candidates in clinical, advanced preclinical and feasibility stages.</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BL-8040</w:t>
      </w:r>
    </w:p>
    <w:p>
      <w:pPr>
        <w:spacing w:after="0" w:line="254" w:lineRule="exact"/>
        <w:rPr>
          <w:sz w:val="20"/>
          <w:szCs w:val="20"/>
          <w:color w:val="auto"/>
        </w:rPr>
      </w:pPr>
    </w:p>
    <w:p>
      <w:pPr>
        <w:ind w:right="80" w:firstLine="584"/>
        <w:spacing w:after="0" w:line="268" w:lineRule="auto"/>
        <w:rPr>
          <w:sz w:val="20"/>
          <w:szCs w:val="20"/>
          <w:color w:val="auto"/>
        </w:rPr>
      </w:pPr>
      <w:r>
        <w:rPr>
          <w:rFonts w:ascii="Arial" w:cs="Arial" w:eastAsia="Arial" w:hAnsi="Arial"/>
          <w:sz w:val="16"/>
          <w:szCs w:val="16"/>
          <w:color w:val="auto"/>
        </w:rPr>
        <w:t>In September 2012, we in-licensed the rights to BL-8040 under a license agreement with Biokine. Pursuant to the agreement, Biokine granted us an exclusive, worldwide, sublicensable license to develop, manufacture, market and sell certain technology relating to a short peptide that functions as a high affinity antagonist for CXCR4 and the uses thereof.</w:t>
      </w:r>
    </w:p>
    <w:p>
      <w:pPr>
        <w:spacing w:after="0" w:line="212" w:lineRule="exact"/>
        <w:rPr>
          <w:sz w:val="20"/>
          <w:szCs w:val="20"/>
          <w:color w:val="auto"/>
        </w:rPr>
      </w:pPr>
    </w:p>
    <w:p>
      <w:pPr>
        <w:ind w:right="160" w:firstLine="584"/>
        <w:spacing w:after="0" w:line="268" w:lineRule="auto"/>
        <w:rPr>
          <w:sz w:val="20"/>
          <w:szCs w:val="20"/>
          <w:color w:val="auto"/>
        </w:rPr>
      </w:pPr>
      <w:r>
        <w:rPr>
          <w:rFonts w:ascii="Arial" w:cs="Arial" w:eastAsia="Arial" w:hAnsi="Arial"/>
          <w:sz w:val="16"/>
          <w:szCs w:val="16"/>
          <w:color w:val="auto"/>
        </w:rPr>
        <w:t>There were no upfront payments due under the agreement. We are obligated to pay a monthly development fee of $27,500 for certain development services that Biokine has committed to provide to us under the agreement. The payment of this monthly fee will continue until the completion of the last clinical trial in which BL-8040 is planned to be tested, or is being tested with, at least 20 subjects.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responsible for paying all development costs incurred by the parties in carrying out the development plan.</w:t>
      </w:r>
    </w:p>
    <w:p>
      <w:pPr>
        <w:spacing w:after="0" w:line="254" w:lineRule="exact"/>
        <w:rPr>
          <w:sz w:val="20"/>
          <w:szCs w:val="20"/>
          <w:color w:val="auto"/>
        </w:rPr>
      </w:pPr>
    </w:p>
    <w:p>
      <w:pPr>
        <w:ind w:right="480" w:firstLine="584"/>
        <w:spacing w:after="0" w:line="283" w:lineRule="auto"/>
        <w:rPr>
          <w:sz w:val="20"/>
          <w:szCs w:val="20"/>
          <w:color w:val="auto"/>
        </w:rPr>
      </w:pPr>
      <w:r>
        <w:rPr>
          <w:rFonts w:ascii="Arial" w:cs="Arial" w:eastAsia="Arial" w:hAnsi="Arial"/>
          <w:sz w:val="16"/>
          <w:szCs w:val="16"/>
          <w:color w:val="auto"/>
        </w:rPr>
        <w:t>Should we independently develop manufacture and sell products (excluding sublicensing) containing the licensed technology, we are obligated to make royalty payments of 10% of net sales, subject to certain limitations.</w:t>
      </w:r>
    </w:p>
    <w:p>
      <w:pPr>
        <w:spacing w:after="0" w:line="199" w:lineRule="exact"/>
        <w:rPr>
          <w:sz w:val="20"/>
          <w:szCs w:val="20"/>
          <w:color w:val="auto"/>
        </w:rPr>
      </w:pPr>
    </w:p>
    <w:p>
      <w:pPr>
        <w:ind w:right="60" w:firstLine="584"/>
        <w:spacing w:after="0" w:line="318" w:lineRule="auto"/>
        <w:rPr>
          <w:sz w:val="20"/>
          <w:szCs w:val="20"/>
          <w:color w:val="auto"/>
        </w:rPr>
      </w:pPr>
      <w:r>
        <w:rPr>
          <w:rFonts w:ascii="Arial" w:cs="Arial" w:eastAsia="Arial" w:hAnsi="Arial"/>
          <w:sz w:val="15"/>
          <w:szCs w:val="15"/>
          <w:color w:val="auto"/>
        </w:rPr>
        <w:t>The agreement also grants us the right to grant sublicenses for the licensed technology. In such event, we are required to pay Biokine a royalty payment of 40% of the amounts we receive as consideration in connection with any sublicensing, development, manufacture, marketing, distribution or sale of the licensed technology.</w:t>
      </w:r>
    </w:p>
    <w:p>
      <w:pPr>
        <w:spacing w:after="0" w:line="176" w:lineRule="exact"/>
        <w:rPr>
          <w:sz w:val="20"/>
          <w:szCs w:val="20"/>
          <w:color w:val="auto"/>
        </w:rPr>
      </w:pPr>
    </w:p>
    <w:p>
      <w:pPr>
        <w:jc w:val="both"/>
        <w:ind w:right="160" w:firstLine="584"/>
        <w:spacing w:after="0" w:line="324" w:lineRule="auto"/>
        <w:rPr>
          <w:sz w:val="20"/>
          <w:szCs w:val="20"/>
          <w:color w:val="auto"/>
        </w:rPr>
      </w:pPr>
      <w:r>
        <w:rPr>
          <w:rFonts w:ascii="Arial" w:cs="Arial" w:eastAsia="Arial" w:hAnsi="Arial"/>
          <w:sz w:val="14"/>
          <w:szCs w:val="14"/>
          <w:color w:val="auto"/>
        </w:rPr>
        <w:t>Before we in-licensed BL-8040, Biokine had received funding for the project from the OCS, and as a condition to OCS giving its consent to our in-licensing of BL-8040, we were required to agree to abide by any obligations resulting from such funding. However, if we become legally required to make payments to the OCS in respect of grants made to Biokine, we have the right to offset the full amount of such grants from any payments otherwise due to Biokine as sublicensing royalties as described above.</w:t>
      </w:r>
    </w:p>
    <w:p>
      <w:pPr>
        <w:spacing w:after="0" w:line="176" w:lineRule="exact"/>
        <w:rPr>
          <w:sz w:val="20"/>
          <w:szCs w:val="20"/>
          <w:color w:val="auto"/>
        </w:rPr>
      </w:pPr>
    </w:p>
    <w:p>
      <w:pPr>
        <w:ind w:right="200" w:firstLine="584"/>
        <w:spacing w:after="0" w:line="263" w:lineRule="auto"/>
        <w:rPr>
          <w:sz w:val="20"/>
          <w:szCs w:val="20"/>
          <w:color w:val="auto"/>
        </w:rPr>
      </w:pPr>
      <w:r>
        <w:rPr>
          <w:rFonts w:ascii="Arial" w:cs="Arial" w:eastAsia="Arial" w:hAnsi="Arial"/>
          <w:sz w:val="16"/>
          <w:szCs w:val="16"/>
          <w:color w:val="auto"/>
        </w:rPr>
        <w:t>We are obligated under the agreement with Biokine to make commercially reasonable good faith efforts to sublicense or commercialize BL-8040 for fair consideration. If we do not fulfill this obligation within 24 months after completion of the development plan, all of the rights and responsibilities with respect to commercialization of the licensed technology will revert to Biokine, and our obligation to pay royalties for sales of any licensed products or sublicensing as described above will revert to Biokine.</w:t>
      </w:r>
    </w:p>
    <w:p>
      <w:pPr>
        <w:spacing w:after="0" w:line="216" w:lineRule="exact"/>
        <w:rPr>
          <w:sz w:val="20"/>
          <w:szCs w:val="20"/>
          <w:color w:val="auto"/>
        </w:rPr>
      </w:pPr>
    </w:p>
    <w:p>
      <w:pPr>
        <w:ind w:right="200" w:firstLine="584"/>
        <w:spacing w:after="0" w:line="282" w:lineRule="auto"/>
        <w:rPr>
          <w:sz w:val="20"/>
          <w:szCs w:val="20"/>
          <w:color w:val="auto"/>
        </w:rPr>
      </w:pPr>
      <w:r>
        <w:rPr>
          <w:rFonts w:ascii="Arial" w:cs="Arial" w:eastAsia="Arial" w:hAnsi="Arial"/>
          <w:sz w:val="15"/>
          <w:szCs w:val="15"/>
          <w:color w:val="auto"/>
        </w:rPr>
        <w:t>We have the first right to prepare, file, prosecute and maintain any patent applications and patents, in respect of the licensed technology and any part thereof, at our expense, provided that we are required to consult with Biokine regarding patent prosecution and patent maintenance. In addition, we have the right to take action in the prosecution, prevention, or termination of any patent infringement of the licensed technology. We are responsible for all the expenses of any patent infringement suit that we bring, including any expenses incurred by Biokine in connection with such suits, with such expenses reimbursable from any sums recovered in such suit or in the settlement thereof for. After such reimbursement, if any funds remain, both we and Biokine are each entitled to a certain percentage of any remaining sums.</w:t>
      </w:r>
    </w:p>
    <w:p>
      <w:pPr>
        <w:spacing w:after="0" w:line="156" w:lineRule="exact"/>
        <w:rPr>
          <w:sz w:val="20"/>
          <w:szCs w:val="20"/>
          <w:color w:val="auto"/>
        </w:rPr>
      </w:pPr>
    </w:p>
    <w:p>
      <w:pPr>
        <w:ind w:right="60" w:firstLine="584"/>
        <w:spacing w:after="0" w:line="260" w:lineRule="auto"/>
        <w:rPr>
          <w:sz w:val="20"/>
          <w:szCs w:val="20"/>
          <w:color w:val="auto"/>
        </w:rPr>
      </w:pPr>
      <w:r>
        <w:rPr>
          <w:rFonts w:ascii="Arial" w:cs="Arial" w:eastAsia="Arial" w:hAnsi="Arial"/>
          <w:sz w:val="16"/>
          <w:szCs w:val="16"/>
          <w:color w:val="auto"/>
        </w:rPr>
        <w:t>The agreement will remain in full effect until the expiration of all of our royalty and sublicense revenue obligations to Biokine, determined on a product-by-product and country-by-country basis. We may terminate the agreement for any reason on 90 days prior written notice to Biokine. Either party may terminate the agreement for a material breach by the other party if the breaching party is unable to cure the breach within 30 days after receiving written notice of the breach from the non-breaching party. With respect to any termination for a material breach, if the breach is not susceptible to cure within the stated period and the breaching party uses diligent, good faith efforts to cure such breach, the stated period will be extended by an additional 30 days. In addition, either party may terminate the agreement upon the occurrence of certain bankruptcy events.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4" w:name="page45"/>
    <w:bookmarkEnd w:id="44"/>
    <w:p>
      <w:pPr>
        <w:ind w:right="120" w:firstLine="584"/>
        <w:spacing w:after="0" w:line="268" w:lineRule="auto"/>
        <w:rPr>
          <w:sz w:val="20"/>
          <w:szCs w:val="20"/>
          <w:color w:val="auto"/>
        </w:rPr>
      </w:pPr>
      <w:r>
        <w:rPr>
          <w:rFonts w:ascii="Arial" w:cs="Arial" w:eastAsia="Arial" w:hAnsi="Arial"/>
          <w:sz w:val="16"/>
          <w:szCs w:val="16"/>
          <w:color w:val="auto"/>
        </w:rPr>
        <w:t>Termination of the agreement will result in a loss of all of our rights to the drug and the licensed technology, which will revert to Biokine. In addition, any sublicense of ours will terminate provided that, upon such termination and at the request of the sublicensee, Biokine will be required to enter into a separate license agreement with the sublicensee on substantially the same terms as those contained in the applicable sublicense agreement.</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AGI-134</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Acquisition Agreements with Agalimmune</w:t>
      </w:r>
    </w:p>
    <w:p>
      <w:pPr>
        <w:spacing w:after="0" w:line="254" w:lineRule="exact"/>
        <w:rPr>
          <w:sz w:val="20"/>
          <w:szCs w:val="20"/>
          <w:color w:val="auto"/>
        </w:rPr>
      </w:pPr>
    </w:p>
    <w:p>
      <w:pPr>
        <w:ind w:left="60" w:right="440" w:firstLine="546"/>
        <w:spacing w:after="0" w:line="268" w:lineRule="auto"/>
        <w:rPr>
          <w:sz w:val="20"/>
          <w:szCs w:val="20"/>
          <w:color w:val="auto"/>
        </w:rPr>
      </w:pPr>
      <w:r>
        <w:rPr>
          <w:rFonts w:ascii="Arial" w:cs="Arial" w:eastAsia="Arial" w:hAnsi="Arial"/>
          <w:sz w:val="16"/>
          <w:szCs w:val="16"/>
          <w:color w:val="auto"/>
        </w:rPr>
        <w:t>In March 2017, we acquired substantially all of the outstanding shares of Agalimmune and entered into the Agalimmune Development Agreement with the selling shareholders. We control the Agalimmune board of directors, and subject to the protections in favor of the selling shareholders, we will direct and be responsible for the planning, execution and day-to-day management of Agalimmune and its pipeline, including AGI-134.</w:t>
      </w:r>
    </w:p>
    <w:p>
      <w:pPr>
        <w:spacing w:after="0" w:line="163" w:lineRule="exact"/>
        <w:rPr>
          <w:sz w:val="20"/>
          <w:szCs w:val="20"/>
          <w:color w:val="auto"/>
        </w:rPr>
      </w:pPr>
    </w:p>
    <w:p>
      <w:pPr>
        <w:ind w:left="60" w:right="380" w:firstLine="546"/>
        <w:spacing w:after="0" w:line="263" w:lineRule="auto"/>
        <w:rPr>
          <w:sz w:val="20"/>
          <w:szCs w:val="20"/>
          <w:color w:val="auto"/>
        </w:rPr>
      </w:pPr>
      <w:r>
        <w:rPr>
          <w:rFonts w:ascii="Arial" w:cs="Arial" w:eastAsia="Arial" w:hAnsi="Arial"/>
          <w:sz w:val="16"/>
          <w:szCs w:val="16"/>
          <w:color w:val="auto"/>
        </w:rPr>
        <w:t>The Agalimmune Development Agreement provides the selling shareholders with a reversionary option, in the event of a breach of the Agreement and certain other limited triggering events, that permit the selling shareholders to re-acquire our equity interests in Agalimmune for nominal consideration. See "Risk Factors — Risks Related to Our Business Regulatory Matters — If we do not meet the requirements under our agreement with the Agalimmune selling shareholders, we could lose the rights to the therapeutic candidates in Agalimmune's pipeline, including but not limited to AGI-134."</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License from the University of Massachusetts</w:t>
      </w:r>
    </w:p>
    <w:p>
      <w:pPr>
        <w:spacing w:after="0" w:line="254"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In 2013, Agalimmune entered into an exclusive license agreement with the University of Massachusetts, or the University, which was amended and restated in February 2017, for rights to intellectual property related to AGI-134. Pursuant to the agreement, Agalimmune has an exclusive, worldwide, royalty-bearing, sublicensable license to develop, manufacture, use, import and sell licensed products. Agalimmune is obligated to use diligent efforts to develop the licensed products and to introduce them into the commercial market. The agreement sets forth specific development milestones that Agalimmune is required to fulfill. In consideration of the grant of the license, Agalimmune is obligated to pay upfront license fees, annual maintenance fees, milestone payments, and low, single digit royalty payments on the net sales of licensed products. In addition, the agreement provides that following a change of control event, Agalimmune shall allot to the University 6% of its shares on a fully diluted basis. The agreement will remain in full effect until the later of expiration or abandonment of all valid claims in the licensed patents or 10 years from the date of first sale of a licensed product. Agalimmune may terminate the agreement for any reason on 90 days prior written notice to the University.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ind w:left="580"/>
        <w:spacing w:after="0"/>
        <w:rPr>
          <w:sz w:val="20"/>
          <w:szCs w:val="20"/>
          <w:color w:val="auto"/>
        </w:rPr>
      </w:pPr>
      <w:r>
        <w:rPr>
          <w:rFonts w:ascii="Arial" w:cs="Arial" w:eastAsia="Arial" w:hAnsi="Arial"/>
          <w:sz w:val="16"/>
          <w:szCs w:val="16"/>
          <w:i w:val="1"/>
          <w:iCs w:val="1"/>
          <w:color w:val="auto"/>
        </w:rPr>
        <w:t>Evaluation License and Option from Kode Biotech</w:t>
      </w:r>
    </w:p>
    <w:p>
      <w:pPr>
        <w:spacing w:after="0" w:line="206" w:lineRule="exact"/>
        <w:rPr>
          <w:sz w:val="20"/>
          <w:szCs w:val="20"/>
          <w:color w:val="auto"/>
        </w:rPr>
      </w:pPr>
    </w:p>
    <w:p>
      <w:pPr>
        <w:ind w:firstLine="584"/>
        <w:spacing w:after="0" w:line="209" w:lineRule="auto"/>
        <w:rPr>
          <w:sz w:val="20"/>
          <w:szCs w:val="20"/>
          <w:color w:val="auto"/>
        </w:rPr>
      </w:pPr>
      <w:r>
        <w:rPr>
          <w:rFonts w:ascii="Arial" w:cs="Arial" w:eastAsia="Arial" w:hAnsi="Arial"/>
          <w:sz w:val="15"/>
          <w:szCs w:val="15"/>
          <w:color w:val="auto"/>
        </w:rPr>
        <w:t>In March 2015, Agalimmune entered into the Evaluation License with Kode Biotech for the rights to intellectual property related to certain water dispersible glycan-lipid conjugates (the "KODE</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Constructs"), including AGI-134. Pursuant to the agreement, Agalimmune has an exclusive license to pursue preclinical assessment of the use of the KODE</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Constructs in Agalimmune's method of promoting tumor anticancer therapy, and the exclusive right to require Kode Biotech to grant Agalimmune an exploitation license to pursue clinical development and commercialization of the use of the KODE</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Constructs in its method. If Agalimmune exercises the option, the terms of an agreed license agreement between the parties will automatically come into effect. If the option lapses, and Kode Biotech wishes to enter into a license agreement within one year after the end of the term of the Evaluation License and on terms that are the same or better than those agreed with Agalimmune, it must offer those terms to Agalimmune, which then has a defined period of time to notify Kode Biotech of its decision whether to accept such terms. Under the Evaluation License, Kode Biotech is obligated to license a third party to manufacture and supply KODE</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Constructs to Agalimmune, in consideration of which Kode Biotech will be entitled to a defined percentage of the third party's cost of goods supplied to Agalimmune. Agalimmune may terminate the Evaluation License at any time on 90 days notice to Kode Biotech, or on 14 days notice if (a) there is a change of control of Kode Biotech, or (b) Kode Biotech sells all or substantially all of its technology assets related to the KODE</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Constructs to an entity that is a competitor of Agalimmune.</w:t>
      </w:r>
    </w:p>
    <w:p>
      <w:pPr>
        <w:spacing w:after="0" w:line="185" w:lineRule="exact"/>
        <w:rPr>
          <w:sz w:val="20"/>
          <w:szCs w:val="20"/>
          <w:color w:val="auto"/>
        </w:rPr>
      </w:pPr>
    </w:p>
    <w:p>
      <w:pPr>
        <w:ind w:right="180" w:firstLine="584"/>
        <w:spacing w:after="0" w:line="304" w:lineRule="auto"/>
        <w:rPr>
          <w:sz w:val="20"/>
          <w:szCs w:val="20"/>
          <w:color w:val="auto"/>
        </w:rPr>
      </w:pPr>
      <w:r>
        <w:rPr>
          <w:rFonts w:ascii="Arial" w:cs="Arial" w:eastAsia="Arial" w:hAnsi="Arial"/>
          <w:sz w:val="14"/>
          <w:szCs w:val="14"/>
          <w:color w:val="auto"/>
        </w:rPr>
        <w:t>If Agalimmune exercises the option to receive an exploitation license, it will be granted a worldwide, exclusive, royalty-bearing transferable license to develop, manufacture, use, import and sell licensed products, including AGI-134. Agalimmune will be obligated to use reasonable diligent efforts to develop licensed products and to introduce licensed products into the commercial market. In consideration of the grant of the exploitation license, Agalimmune will be obligated to pay a license issue fee, annual maintenance fees, milestone payments, low, single digit royalty payments on the net sales of the licensed products. Agalimmune will also have the right to grant sublicenses for the licensed technology and is required to pay Kode Biotech a payment based on the revenues from sublicense net sales. The agreement will remain in effect, unless terminated earlier in accordance with the agreement, until the later of expiration or abandonment of all enforceable patent claims within the licensed patents.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25995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6" w:name="page47"/>
    <w:bookmarkEnd w:id="46"/>
    <w:p>
      <w:pPr>
        <w:ind w:left="580"/>
        <w:spacing w:after="0"/>
        <w:rPr>
          <w:sz w:val="20"/>
          <w:szCs w:val="20"/>
          <w:color w:val="auto"/>
        </w:rPr>
      </w:pPr>
      <w:r>
        <w:rPr>
          <w:rFonts w:ascii="Arial" w:cs="Arial" w:eastAsia="Arial" w:hAnsi="Arial"/>
          <w:sz w:val="16"/>
          <w:szCs w:val="16"/>
          <w:b w:val="1"/>
          <w:bCs w:val="1"/>
          <w:i w:val="1"/>
          <w:iCs w:val="1"/>
          <w:color w:val="auto"/>
        </w:rPr>
        <w:t>BL-5010</w:t>
      </w:r>
    </w:p>
    <w:p>
      <w:pPr>
        <w:spacing w:after="0" w:line="206" w:lineRule="exact"/>
        <w:rPr>
          <w:sz w:val="20"/>
          <w:szCs w:val="20"/>
          <w:color w:val="auto"/>
        </w:rPr>
      </w:pPr>
    </w:p>
    <w:p>
      <w:pPr>
        <w:ind w:right="20" w:firstLine="584"/>
        <w:spacing w:after="0" w:line="300" w:lineRule="auto"/>
        <w:rPr>
          <w:sz w:val="20"/>
          <w:szCs w:val="20"/>
          <w:color w:val="auto"/>
        </w:rPr>
      </w:pPr>
      <w:r>
        <w:rPr>
          <w:rFonts w:ascii="Arial" w:cs="Arial" w:eastAsia="Arial" w:hAnsi="Arial"/>
          <w:sz w:val="14"/>
          <w:szCs w:val="14"/>
          <w:color w:val="auto"/>
        </w:rPr>
        <w:t>In November 2007, we in-licensed the rights to develop and commercialize BL-5010 under a license agreement with IPC. Under the agreement, IPC granted us an exclusive, worldwide, sublicensable license to develop, manufacture, market and sell certain technology relating to an acid-based formulation for the non-surgical removal of skin lesions and the uses thereof. We are obligated to use commercially reasonable efforts to develop the licensed technology in accordance with a specified development plan, including meeting certain specified diligence goals. We were required to pay to IPC a license fee amounting to $400,000, which we have paid in full. We are also required to make low, single digit royalty payments on the net sales of the licensed technology if we manufacture and sell it on our own, subject to certain limitations. Our royalty payment obligations are payable on a product-by-product and country-by-country basis, until the last to expire of any patent included within the licensed technology in such country. We also have the right to grant sublicenses for the licensed technology and are required to pay IPC a payment, within our standard range of sublicense receipt consideration, based on the revenues we receive as consideration in connection with any sublicensing, development, manufacture, marketing, distribution or sale of the licensed technology.</w:t>
      </w:r>
    </w:p>
    <w:p>
      <w:pPr>
        <w:spacing w:after="0" w:line="192" w:lineRule="exact"/>
        <w:rPr>
          <w:sz w:val="20"/>
          <w:szCs w:val="20"/>
          <w:color w:val="auto"/>
        </w:rPr>
      </w:pPr>
    </w:p>
    <w:p>
      <w:pPr>
        <w:ind w:right="40" w:firstLine="584"/>
        <w:spacing w:after="0" w:line="259" w:lineRule="auto"/>
        <w:rPr>
          <w:sz w:val="20"/>
          <w:szCs w:val="20"/>
          <w:color w:val="auto"/>
        </w:rPr>
      </w:pPr>
      <w:r>
        <w:rPr>
          <w:rFonts w:ascii="Arial" w:cs="Arial" w:eastAsia="Arial" w:hAnsi="Arial"/>
          <w:sz w:val="16"/>
          <w:szCs w:val="16"/>
          <w:color w:val="auto"/>
        </w:rPr>
        <w:t>The license agreement remains in effect until the expiration of all of our license, royalty and sublicense revenue obligations to IPC, determined on a product-by-product and country-by-country basis, unless we terminate the license agreement earlier. We may terminate the license agreement for any reason on 30 days' prior written notice. We may also terminate the license agreement upon 60 days' prior written notice to IPC for scientific, regulatory or medical reasons that would prevent us from continuing the development of the licensed technology pursuant to the development plan. Either party may terminate the agreement for material breach if the breach is not cured within 30 days after written notice from the non-breaching party. If the breach is not susceptible to cure within the stated period and the breaching party uses diligent, good faith efforts to cure such breach, the stated period will be extended by an additional 30 days. In addition, either party may terminate the agreement upon the occurrence of certain bankruptcy events.</w:t>
      </w:r>
    </w:p>
    <w:p>
      <w:pPr>
        <w:spacing w:after="0" w:line="217" w:lineRule="exact"/>
        <w:rPr>
          <w:sz w:val="20"/>
          <w:szCs w:val="20"/>
          <w:color w:val="auto"/>
        </w:rPr>
      </w:pPr>
    </w:p>
    <w:p>
      <w:pPr>
        <w:ind w:right="240" w:firstLine="584"/>
        <w:spacing w:after="0" w:line="268" w:lineRule="auto"/>
        <w:rPr>
          <w:sz w:val="20"/>
          <w:szCs w:val="20"/>
          <w:color w:val="auto"/>
        </w:rPr>
      </w:pPr>
      <w:r>
        <w:rPr>
          <w:rFonts w:ascii="Arial" w:cs="Arial" w:eastAsia="Arial" w:hAnsi="Arial"/>
          <w:sz w:val="16"/>
          <w:szCs w:val="16"/>
          <w:color w:val="auto"/>
        </w:rPr>
        <w:t>Termination of the agreement will result in a loss of all of our rights to the licensed technology, which will revert to IPC. In addition, any sublicense of the licensed technology will terminate provided that, upon termination, at the request of the sublicensee, IPC is required to enter into a license agreement with the sublicensee on substantially the same terms as those contained in the sublicense agreement.</w:t>
      </w:r>
    </w:p>
    <w:p>
      <w:pPr>
        <w:spacing w:after="0" w:line="212" w:lineRule="exact"/>
        <w:rPr>
          <w:sz w:val="20"/>
          <w:szCs w:val="20"/>
          <w:color w:val="auto"/>
        </w:rPr>
      </w:pPr>
    </w:p>
    <w:p>
      <w:pPr>
        <w:ind w:firstLine="584"/>
        <w:spacing w:after="0" w:line="278" w:lineRule="auto"/>
        <w:rPr>
          <w:sz w:val="20"/>
          <w:szCs w:val="20"/>
          <w:color w:val="auto"/>
        </w:rPr>
      </w:pPr>
      <w:r>
        <w:rPr>
          <w:rFonts w:ascii="Arial" w:cs="Arial" w:eastAsia="Arial" w:hAnsi="Arial"/>
          <w:sz w:val="15"/>
          <w:szCs w:val="15"/>
          <w:color w:val="auto"/>
        </w:rPr>
        <w:t>We have the first right to prepare, file, prosecute and maintain any patent applications and patents, in respect of the licensed technology and any part thereof, at our expense, provided that such patent applications and patents are registered in the name of IPC. We are required to make all future payments necessary to prosecute and maintain all patent applications and/or patents in respect of the licensed technology. We are required to consult with IPC regarding the preparation, filing and prosecution of all patent applications, and the maintenance of all patents included within the licensed patents. In addition, we have the right to take action in the prosecution, prevention, or termination of any patent infringement of the licensed patents. We are responsible for the expenses of any patent infringement suit that we bring, including the expenses incurred by IPC in connection with such suits. We are entitled to reimbursement from any sums recovered in such suit for all costs and expenses involved in the prosecution of any such suit. After such reimbursement, we and IPC are each entitled to a certain percentage of any remaining sums.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BL-1040</w:t>
      </w:r>
    </w:p>
    <w:p>
      <w:pPr>
        <w:spacing w:after="0" w:line="254" w:lineRule="exact"/>
        <w:rPr>
          <w:sz w:val="20"/>
          <w:szCs w:val="20"/>
          <w:color w:val="auto"/>
        </w:rPr>
      </w:pPr>
    </w:p>
    <w:p>
      <w:pPr>
        <w:ind w:right="140" w:firstLine="584"/>
        <w:spacing w:after="0" w:line="280" w:lineRule="auto"/>
        <w:rPr>
          <w:sz w:val="20"/>
          <w:szCs w:val="20"/>
          <w:color w:val="auto"/>
        </w:rPr>
      </w:pPr>
      <w:r>
        <w:rPr>
          <w:rFonts w:ascii="Arial" w:cs="Arial" w:eastAsia="Arial" w:hAnsi="Arial"/>
          <w:sz w:val="15"/>
          <w:szCs w:val="15"/>
          <w:color w:val="auto"/>
        </w:rPr>
        <w:t>In January 2005, we in-licensed the rights to BL-1040 under a license agreement with B.G. Negev Technologies. Under the agreement, B.G. Negev Technologies granted us an exclusive, worldwide, sublicensable license to develop, manufacture, market and sell certain technology relating to injectable alginate biomaterials and the uses thereof. We are obligated to make a low, single digit royalty payment on net sales, subject to certain limitations if we manufacture and sell products developed under the agreement on our own. We also have the right to grant sublicenses for the licensed technology and are required to pay B.G. Negev Technologies a payment of 28% of the net revenues (after giving effect to withholding taxes and other deductions) we receive as consideration in connection with any sublicensing, co-marketing or co-promotion, or a permitted assignment, of BL-1040, which includes those under our licensing agreement with Bellerophon.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7" w:name="page48"/>
    <w:bookmarkEnd w:id="47"/>
    <w:p>
      <w:pPr>
        <w:ind w:right="20" w:firstLine="584"/>
        <w:spacing w:after="0" w:line="282" w:lineRule="auto"/>
        <w:rPr>
          <w:sz w:val="20"/>
          <w:szCs w:val="20"/>
          <w:color w:val="auto"/>
        </w:rPr>
      </w:pPr>
      <w:r>
        <w:rPr>
          <w:rFonts w:ascii="Arial" w:cs="Arial" w:eastAsia="Arial" w:hAnsi="Arial"/>
          <w:sz w:val="15"/>
          <w:szCs w:val="15"/>
          <w:color w:val="auto"/>
        </w:rPr>
        <w:t>Under the license agreement, we are required to pay an annual license fee, subject to certain exceptions. In addition, we are required to make a one-time milestone payment upon the achievement of specified milestones. We are required to make certain royalty payments on the net sales of the licensed technology, subject to certain limitations. Our royalty payment obligations are payable on a product-by-product and country-by-country basis, for the period that a valid patent on the licensed technology remains in force in such country, subject to certain exceptions for abandonment. The license agreement remains in effect until the expiration of all of our royalty and sublicense revenue obligations to B.G. Negev Technologies, determined on a product-by-product and country-by-country basis.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58" w:lineRule="exact"/>
        <w:rPr>
          <w:sz w:val="20"/>
          <w:szCs w:val="20"/>
          <w:color w:val="auto"/>
        </w:rPr>
      </w:pPr>
    </w:p>
    <w:p>
      <w:pPr>
        <w:jc w:val="both"/>
        <w:ind w:right="100" w:firstLine="584"/>
        <w:spacing w:after="0" w:line="296" w:lineRule="auto"/>
        <w:rPr>
          <w:sz w:val="20"/>
          <w:szCs w:val="20"/>
          <w:color w:val="auto"/>
        </w:rPr>
      </w:pPr>
      <w:r>
        <w:rPr>
          <w:rFonts w:ascii="Arial" w:cs="Arial" w:eastAsia="Arial" w:hAnsi="Arial"/>
          <w:sz w:val="14"/>
          <w:szCs w:val="14"/>
          <w:color w:val="auto"/>
        </w:rPr>
        <w:t>Our success depends in part on our ability to obtain and maintain proprietary protection for our therapeutic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also rely on trade secrets, know-how and continuing technological innovation, as well as on regulatory exclusivity, such as Orphan Drug designation or new chemical entity (NCE) protection, to develop and maintain our proprietary position.</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Patents</w:t>
      </w:r>
    </w:p>
    <w:p>
      <w:pPr>
        <w:spacing w:after="0" w:line="254" w:lineRule="exact"/>
        <w:rPr>
          <w:sz w:val="20"/>
          <w:szCs w:val="20"/>
          <w:color w:val="auto"/>
        </w:rPr>
      </w:pPr>
    </w:p>
    <w:p>
      <w:pPr>
        <w:ind w:right="120" w:firstLine="584"/>
        <w:spacing w:after="0" w:line="260" w:lineRule="auto"/>
        <w:rPr>
          <w:sz w:val="20"/>
          <w:szCs w:val="20"/>
          <w:color w:val="auto"/>
        </w:rPr>
      </w:pPr>
      <w:r>
        <w:rPr>
          <w:rFonts w:ascii="Arial" w:cs="Arial" w:eastAsia="Arial" w:hAnsi="Arial"/>
          <w:sz w:val="16"/>
          <w:szCs w:val="16"/>
          <w:color w:val="auto"/>
        </w:rPr>
        <w:t>As of March 20, 2017, we owned or exclusively licensed for uses within our field of business 26 patent families that collectively contain over 54 issued patents, one allowed patent application and over 61 pending patent applications relating to the three candidates listed below. We are also pursuing patent protection for other drug candidates in our pipeline. Patents related to our therapeutic candidates may provide future competitive advantages by providing exclusivity related to the composition of matter, formulation, and method of administration of the applicable compounds and could materially improve the value of our therapeutic candidates. The patent positions for our two main therapeutic candidates are described below and include both issued patents and pending patent applications we exclusively license. We vigorously defend our intellectual property to preserve our rights and gain the benefit of our investment.</w:t>
      </w:r>
    </w:p>
    <w:p>
      <w:pPr>
        <w:spacing w:after="0" w:line="217" w:lineRule="exact"/>
        <w:rPr>
          <w:sz w:val="20"/>
          <w:szCs w:val="20"/>
          <w:color w:val="auto"/>
        </w:rPr>
      </w:pPr>
    </w:p>
    <w:p>
      <w:pPr>
        <w:ind w:left="880" w:hanging="298"/>
        <w:spacing w:after="0" w:line="280" w:lineRule="auto"/>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With respect to BL-8040, we have an exclusive license to two patent families that cover the molecule that is the active ingredient of our proprietary drug. Patents and patent applications of these families have been granted or are pending in the United States, Europe, Japan and Canada. The patents and any patents to issue in the future based on pending patent applications in these families will expire in 2023 (in the United States) and 2021 (in other countries), plus any applicable patent term extension, which may add an additional term of up to 5 years on the patent. In addition, we have an exclusive license to seven other patent families pending worldwide directed to the use of BL-8040 for the treatment of certain types of cancer and other indications. Furthermore, we have Orphan Drug status for both AML and stem cell mobilization, as well as data exclusivity protection afforded to BL-8040 as a new chemical entity, or NCE.</w:t>
      </w:r>
    </w:p>
    <w:p>
      <w:pPr>
        <w:spacing w:after="0" w:line="205" w:lineRule="exact"/>
        <w:rPr>
          <w:rFonts w:ascii="Arial" w:cs="Arial" w:eastAsia="Arial" w:hAnsi="Arial"/>
          <w:sz w:val="15"/>
          <w:szCs w:val="15"/>
          <w:color w:val="auto"/>
        </w:rPr>
      </w:pPr>
    </w:p>
    <w:p>
      <w:pPr>
        <w:jc w:val="both"/>
        <w:ind w:left="880" w:right="60" w:hanging="298"/>
        <w:spacing w:after="0" w:line="296" w:lineRule="auto"/>
        <w:tabs>
          <w:tab w:leader="none" w:pos="8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respect to AGI-134, Agalimmune owns or has an exclusive license to three patent families that cover a genus of compounds including AGI-134, methods of using compounds, including AGI-134, and for a pharmaceutical composition that contains AGI-134. Patents have been granted in the families that cover a genus of compounds including AGI-134 and methods of using compounds including AGI-134, in the United States and Japan and will expire in 2025 and 2026.</w:t>
      </w:r>
    </w:p>
    <w:p>
      <w:pPr>
        <w:ind w:left="880" w:right="100"/>
        <w:spacing w:after="0" w:line="258" w:lineRule="auto"/>
        <w:rPr>
          <w:rFonts w:ascii="Arial" w:cs="Arial" w:eastAsia="Arial" w:hAnsi="Arial"/>
          <w:sz w:val="14"/>
          <w:szCs w:val="14"/>
          <w:color w:val="auto"/>
        </w:rPr>
      </w:pPr>
      <w:r>
        <w:rPr>
          <w:rFonts w:ascii="Arial" w:cs="Arial" w:eastAsia="Arial" w:hAnsi="Arial"/>
          <w:sz w:val="16"/>
          <w:szCs w:val="16"/>
          <w:color w:val="auto"/>
        </w:rPr>
        <w:t>Applications in these families are pending in China, Europe, and other countries that would have the same expiration, if granted. Patent applications are pending in the third family in the US, China, Europe, Japan, and other countries that, if granted, would cover a pharmaceutical composition that contains AGI-134 and expire in 2035. In addition, the future drug product could be eligible for obtaining regulatory NCE exclusivity (five years data exclusivity in the USA, 10-11 years marketing exclusivity in Europe, eight years marketing exclusivity in Japan).</w:t>
      </w:r>
    </w:p>
    <w:p>
      <w:pPr>
        <w:spacing w:after="0" w:line="219" w:lineRule="exact"/>
        <w:rPr>
          <w:rFonts w:ascii="Arial" w:cs="Arial" w:eastAsia="Arial" w:hAnsi="Arial"/>
          <w:sz w:val="14"/>
          <w:szCs w:val="14"/>
          <w:color w:val="auto"/>
        </w:rPr>
      </w:pPr>
    </w:p>
    <w:p>
      <w:pPr>
        <w:ind w:left="880" w:right="420" w:hanging="298"/>
        <w:spacing w:after="0" w:line="268"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BL-5010, we have an exclusive license to a patent family directed to a novel applicator uniquely configured for applying the BL-5010 composition to targeted skin tissue safely and effectively. Patents applications of this family are pending in the United States, Israel, Europe, Japan, Canada, China, Russia and Australia. Patents to issue will expire in 2034.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8" w:name="page49"/>
    <w:bookmarkEnd w:id="48"/>
    <w:p>
      <w:pPr>
        <w:ind w:right="60" w:firstLine="584"/>
        <w:spacing w:after="0" w:line="277" w:lineRule="auto"/>
        <w:rPr>
          <w:sz w:val="20"/>
          <w:szCs w:val="20"/>
          <w:color w:val="auto"/>
        </w:rPr>
      </w:pPr>
      <w:r>
        <w:rPr>
          <w:rFonts w:ascii="Arial" w:cs="Arial" w:eastAsia="Arial" w:hAnsi="Arial"/>
          <w:sz w:val="15"/>
          <w:szCs w:val="15"/>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narrowed, circumvented or found to be invalid or unenforceable, which could limit our ability to stop competitors from marketing related products or the length of term of patent protection that we may have for our products. Neither we nor our licensors can be certain that we were the first to invent the inventions claimed in our owned or licensed patents or patent applications. In addition, our competitors may independently develop similar technologies or duplicate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Trade Secrets</w:t>
      </w:r>
    </w:p>
    <w:p>
      <w:pPr>
        <w:spacing w:after="0" w:line="254" w:lineRule="exact"/>
        <w:rPr>
          <w:sz w:val="20"/>
          <w:szCs w:val="20"/>
          <w:color w:val="auto"/>
        </w:rPr>
      </w:pPr>
    </w:p>
    <w:p>
      <w:pPr>
        <w:jc w:val="both"/>
        <w:ind w:right="120" w:firstLine="584"/>
        <w:spacing w:after="0" w:line="307" w:lineRule="auto"/>
        <w:rPr>
          <w:sz w:val="20"/>
          <w:szCs w:val="20"/>
          <w:color w:val="auto"/>
        </w:rPr>
      </w:pPr>
      <w:r>
        <w:rPr>
          <w:rFonts w:ascii="Arial" w:cs="Arial" w:eastAsia="Arial" w:hAnsi="Arial"/>
          <w:sz w:val="14"/>
          <w:szCs w:val="14"/>
          <w:color w:val="auto"/>
        </w:rPr>
        <w:t>We may rely, in some circumstances, on trade secrets to protect our technology. However, trade secrets can be difficult to protect. We seek to protect our proprietary technology and processes, in part, by confidentiality agreements and assignment of invention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Advisory Boards</w:t>
      </w:r>
    </w:p>
    <w:p>
      <w:pPr>
        <w:spacing w:after="0" w:line="258" w:lineRule="exact"/>
        <w:rPr>
          <w:sz w:val="20"/>
          <w:szCs w:val="20"/>
          <w:color w:val="auto"/>
        </w:rPr>
      </w:pPr>
    </w:p>
    <w:p>
      <w:pPr>
        <w:ind w:firstLine="584"/>
        <w:spacing w:after="0" w:line="307" w:lineRule="auto"/>
        <w:rPr>
          <w:sz w:val="20"/>
          <w:szCs w:val="20"/>
          <w:color w:val="auto"/>
        </w:rPr>
      </w:pPr>
      <w:r>
        <w:rPr>
          <w:rFonts w:ascii="Arial" w:cs="Arial" w:eastAsia="Arial" w:hAnsi="Arial"/>
          <w:sz w:val="14"/>
          <w:szCs w:val="14"/>
          <w:color w:val="auto"/>
        </w:rPr>
        <w:t>Until 2015, our Scientific Advisory Board consisted of a number of leading scientists and physicians who played an active role in the evaluation of many of our in-licensing opportunities and the development of our pipeline. In addition, we sought advice from our Scientific Advisory Board on scientific and medical matters generally. As a result of our strategic decision over the last few years to focus on the therapeutic fields of oncology and immunology, in 2015 we decided to disband the previous Scientific Advisory Board and establish two separate new Boards to focus on providing insight and guidance for our activities in the fields of oncology and immunology. In December 2015, we announced the establishment of our oncology Scientific Advisory Board. We are currently in the process of setting up our immunology Scientific Advisory Board.</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With respect to each of the two therapeutic fields, the new Scientific Advisory Boards will, as deemed necessary:</w:t>
      </w:r>
    </w:p>
    <w:p>
      <w:pPr>
        <w:spacing w:after="0" w:line="254" w:lineRule="exact"/>
        <w:rPr>
          <w:sz w:val="20"/>
          <w:szCs w:val="20"/>
          <w:color w:val="auto"/>
        </w:rPr>
      </w:pPr>
    </w:p>
    <w:p>
      <w:pPr>
        <w:ind w:left="1160" w:hanging="578"/>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screen certain potential relevant in-licensing and current therapeutic candidates;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oversee our research and development programs;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address specific scientific and technical issues relevant to the field;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certain strategic decisions we may consider related to the field.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9" w:name="page50"/>
    <w:bookmarkEnd w:id="49"/>
    <w:p>
      <w:pPr>
        <w:ind w:left="580"/>
        <w:spacing w:after="0"/>
        <w:rPr>
          <w:sz w:val="20"/>
          <w:szCs w:val="20"/>
          <w:color w:val="auto"/>
        </w:rPr>
      </w:pPr>
      <w:r>
        <w:rPr>
          <w:rFonts w:ascii="Arial" w:cs="Arial" w:eastAsia="Arial" w:hAnsi="Arial"/>
          <w:sz w:val="16"/>
          <w:szCs w:val="16"/>
          <w:color w:val="auto"/>
        </w:rPr>
        <w:t>The following table sets forth information for our oncology Scientific Advisory Board members.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Position/Institutional Affiliation</w:t>
            </w:r>
          </w:p>
        </w:tc>
      </w:tr>
      <w:tr>
        <w:trPr>
          <w:trHeight w:val="377"/>
        </w:trPr>
        <w:tc>
          <w:tcPr>
            <w:tcW w:w="3680" w:type="dxa"/>
            <w:vAlign w:val="bottom"/>
          </w:tcPr>
          <w:p>
            <w:pPr>
              <w:spacing w:after="0"/>
              <w:rPr>
                <w:sz w:val="20"/>
                <w:szCs w:val="20"/>
                <w:color w:val="auto"/>
              </w:rPr>
            </w:pPr>
            <w:r>
              <w:rPr>
                <w:rFonts w:ascii="Arial" w:cs="Arial" w:eastAsia="Arial" w:hAnsi="Arial"/>
                <w:sz w:val="16"/>
                <w:szCs w:val="16"/>
                <w:color w:val="auto"/>
              </w:rPr>
              <w:t>J. Aaron Ciechanover, M.D., Ph.D.</w:t>
            </w:r>
          </w:p>
        </w:tc>
        <w:tc>
          <w:tcPr>
            <w:tcW w:w="28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9"/>
              </w:rPr>
              <w:t>Professor Ciechanover is a Distinguished University Professor at the Rappaport Faculty of Medicine of the</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8"/>
              </w:rPr>
              <w:t>Technion and the co-director of the Technion Integrated Cancer Center. He shared the 2004 Nobel Prize in</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Chemistry with Professors Avram Hershko and Irwin Rose for the discovery of ubiquitin-mediated protein</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2"/>
              </w:rPr>
              <w:t>degradation. Among his many other prizes are the Israel Prize in Biological Research (2003) and the Albert Lasker</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Award for Basic Medical research (2000). He is a member of numerous learned societies, among them the Israeli</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8"/>
              </w:rPr>
              <w:t>Academy of Sciences and Humanities and the National Academies of Sciences and of Medicine of the USA</w:t>
            </w:r>
          </w:p>
        </w:tc>
      </w:tr>
      <w:tr>
        <w:trPr>
          <w:trHeight w:val="207"/>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(Foreign Associate). Professor Ciechanover was also a member of our original Scientific Advisory Board.</w:t>
            </w:r>
          </w:p>
        </w:tc>
      </w:tr>
      <w:tr>
        <w:trPr>
          <w:trHeight w:val="378"/>
        </w:trPr>
        <w:tc>
          <w:tcPr>
            <w:tcW w:w="3680" w:type="dxa"/>
            <w:vAlign w:val="bottom"/>
          </w:tcPr>
          <w:p>
            <w:pPr>
              <w:spacing w:after="0"/>
              <w:rPr>
                <w:sz w:val="20"/>
                <w:szCs w:val="20"/>
                <w:color w:val="auto"/>
              </w:rPr>
            </w:pPr>
            <w:r>
              <w:rPr>
                <w:rFonts w:ascii="Arial" w:cs="Arial" w:eastAsia="Arial" w:hAnsi="Arial"/>
                <w:sz w:val="16"/>
                <w:szCs w:val="16"/>
                <w:color w:val="auto"/>
              </w:rPr>
              <w:t>Jorge Eduardo Cortes, M.D.</w:t>
            </w:r>
          </w:p>
        </w:tc>
        <w:tc>
          <w:tcPr>
            <w:tcW w:w="28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Dr. Cortes is Professor of Medicine, Deputy Chair, and Chief of the CML and AML Sections of the Department of</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Leukemia at The University of Texas, MD Anderson Cancer Center (MDACC). Dr. Cortes has authored hundreds</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2"/>
              </w:rPr>
              <w:t>of peer-reviewed manuscripts, abstracts, book chapters, and other medical publications. He is an associate editor</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5"/>
              </w:rPr>
              <w:t xml:space="preserve">for the medical journal, </w:t>
            </w:r>
            <w:r>
              <w:rPr>
                <w:rFonts w:ascii="Arial" w:cs="Arial" w:eastAsia="Arial" w:hAnsi="Arial"/>
                <w:sz w:val="16"/>
                <w:szCs w:val="16"/>
                <w:i w:val="1"/>
                <w:iCs w:val="1"/>
                <w:color w:val="auto"/>
                <w:w w:val="95"/>
              </w:rPr>
              <w:t>Blood</w:t>
            </w:r>
            <w:r>
              <w:rPr>
                <w:rFonts w:ascii="Arial" w:cs="Arial" w:eastAsia="Arial" w:hAnsi="Arial"/>
                <w:sz w:val="16"/>
                <w:szCs w:val="16"/>
                <w:color w:val="auto"/>
                <w:w w:val="95"/>
              </w:rPr>
              <w:t xml:space="preserve"> and serves on the editorial board of other journals such as the </w:t>
            </w:r>
            <w:r>
              <w:rPr>
                <w:rFonts w:ascii="Arial" w:cs="Arial" w:eastAsia="Arial" w:hAnsi="Arial"/>
                <w:sz w:val="16"/>
                <w:szCs w:val="16"/>
                <w:i w:val="1"/>
                <w:iCs w:val="1"/>
                <w:color w:val="auto"/>
                <w:w w:val="95"/>
              </w:rPr>
              <w:t>Journal of Clinical</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i w:val="1"/>
                <w:iCs w:val="1"/>
                <w:color w:val="auto"/>
                <w:w w:val="94"/>
              </w:rPr>
              <w:t>Oncology</w:t>
            </w:r>
            <w:r>
              <w:rPr>
                <w:rFonts w:ascii="Arial" w:cs="Arial" w:eastAsia="Arial" w:hAnsi="Arial"/>
                <w:sz w:val="16"/>
                <w:szCs w:val="16"/>
                <w:color w:val="auto"/>
                <w:w w:val="94"/>
              </w:rPr>
              <w:t>, the</w:t>
            </w:r>
            <w:r>
              <w:rPr>
                <w:rFonts w:ascii="Arial" w:cs="Arial" w:eastAsia="Arial" w:hAnsi="Arial"/>
                <w:sz w:val="16"/>
                <w:szCs w:val="16"/>
                <w:i w:val="1"/>
                <w:iCs w:val="1"/>
                <w:color w:val="auto"/>
                <w:w w:val="94"/>
              </w:rPr>
              <w:t xml:space="preserve"> American Journal of Hematology </w:t>
            </w:r>
            <w:r>
              <w:rPr>
                <w:rFonts w:ascii="Arial" w:cs="Arial" w:eastAsia="Arial" w:hAnsi="Arial"/>
                <w:sz w:val="16"/>
                <w:szCs w:val="16"/>
                <w:color w:val="auto"/>
                <w:w w:val="94"/>
              </w:rPr>
              <w:t>and</w:t>
            </w:r>
            <w:r>
              <w:rPr>
                <w:rFonts w:ascii="Arial" w:cs="Arial" w:eastAsia="Arial" w:hAnsi="Arial"/>
                <w:sz w:val="16"/>
                <w:szCs w:val="16"/>
                <w:i w:val="1"/>
                <w:iCs w:val="1"/>
                <w:color w:val="auto"/>
                <w:w w:val="94"/>
              </w:rPr>
              <w:t xml:space="preserve"> Clinical Cancer Research</w:t>
            </w:r>
            <w:r>
              <w:rPr>
                <w:rFonts w:ascii="Arial" w:cs="Arial" w:eastAsia="Arial" w:hAnsi="Arial"/>
                <w:sz w:val="16"/>
                <w:szCs w:val="16"/>
                <w:color w:val="auto"/>
                <w:w w:val="94"/>
              </w:rPr>
              <w:t>. In addition, Dr. Cortes serves on</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the Board of the International CML Foundation. Dr. Cortes has received numerous awards including The Service</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5"/>
              </w:rPr>
              <w:t>to Mankind Award from the Leukemia and Lymphoma Society and the Faculty Scholar Award from the MDACC</w:t>
            </w:r>
          </w:p>
        </w:tc>
      </w:tr>
      <w:tr>
        <w:trPr>
          <w:trHeight w:val="207"/>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for clinical research and for education.</w:t>
            </w:r>
          </w:p>
        </w:tc>
      </w:tr>
      <w:tr>
        <w:trPr>
          <w:trHeight w:val="378"/>
        </w:trPr>
        <w:tc>
          <w:tcPr>
            <w:tcW w:w="3680" w:type="dxa"/>
            <w:vAlign w:val="bottom"/>
          </w:tcPr>
          <w:p>
            <w:pPr>
              <w:spacing w:after="0"/>
              <w:rPr>
                <w:sz w:val="20"/>
                <w:szCs w:val="20"/>
                <w:color w:val="auto"/>
              </w:rPr>
            </w:pPr>
            <w:r>
              <w:rPr>
                <w:rFonts w:ascii="Arial" w:cs="Arial" w:eastAsia="Arial" w:hAnsi="Arial"/>
                <w:sz w:val="16"/>
                <w:szCs w:val="16"/>
                <w:color w:val="auto"/>
              </w:rPr>
              <w:t>Debasish Roychowdhury, M.D.</w:t>
            </w:r>
          </w:p>
        </w:tc>
        <w:tc>
          <w:tcPr>
            <w:tcW w:w="28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4"/>
              </w:rPr>
              <w:t>Dr. Roychowdhury is a leader in the pharmaceutical industry with a strong background in oncology research and</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development, and regulatory and commercial operations, having previously served in key senior leadership roles</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at Sanofi, GlaxoSmithKline and Eli Lilly. Dr. Roychowdhury has a distinguished track record in the field of</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7"/>
              </w:rPr>
              <w:t>oncology having been involved in the approval of nine oncology drugs, including Almita, Tykerb and Jevtana.</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5"/>
              </w:rPr>
              <w:t>Currently, he is President of Nirvan Consultants, LLC and in this capacity he serves in senior advisory roles for</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biotechnology companies to help advance their pipeline of therapeutic medicines. Dr. Roychowdhury also serves</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4"/>
              </w:rPr>
              <w:t>as a member of the Board of Directors for Lytix Biopharma AS, Celyad SA, Fund+ and Radius Health, Inc. In his</w:t>
            </w:r>
          </w:p>
        </w:tc>
      </w:tr>
      <w:tr>
        <w:trPr>
          <w:trHeight w:val="207"/>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academic career, Dr. Roychowdhury served as a faculty member at the University of Cincinnati.</w:t>
            </w:r>
          </w:p>
        </w:tc>
      </w:tr>
      <w:tr>
        <w:trPr>
          <w:trHeight w:val="378"/>
        </w:trPr>
        <w:tc>
          <w:tcPr>
            <w:tcW w:w="3680" w:type="dxa"/>
            <w:vAlign w:val="bottom"/>
          </w:tcPr>
          <w:p>
            <w:pPr>
              <w:spacing w:after="0"/>
              <w:rPr>
                <w:sz w:val="20"/>
                <w:szCs w:val="20"/>
                <w:color w:val="auto"/>
              </w:rPr>
            </w:pPr>
            <w:r>
              <w:rPr>
                <w:rFonts w:ascii="Arial" w:cs="Arial" w:eastAsia="Arial" w:hAnsi="Arial"/>
                <w:sz w:val="16"/>
                <w:szCs w:val="16"/>
                <w:color w:val="auto"/>
              </w:rPr>
              <w:t>Yosef Yarden, Ph.D.</w:t>
            </w:r>
          </w:p>
        </w:tc>
        <w:tc>
          <w:tcPr>
            <w:tcW w:w="28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Professor Yarden is The Harold and Zelda Goldenberg Chair of Molecular Cell Biology of the Weizmann Institute</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of Science. He is a member of the Israel Academy of Sciences and Humanities and Past President of the</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2"/>
              </w:rPr>
              <w:t>Federation of the Israel Societies of Experimental Biology. Among his many awards, he has received the Susan G.</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6"/>
              </w:rPr>
              <w:t>Komen for the Cure® Brinker Award for Scientific Distinction in Basic Research, the Leopold Griffuel Award of</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3"/>
              </w:rPr>
              <w:t>Fondation ARC pour la Recherche sur le Cancer, and the Ernst W. Bertner Memorial Award of the MD Anderson</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1"/>
              </w:rPr>
              <w:t>Cancer Center. Professor Yarden is expected to be awarded the Israel Prize in Life Science Research in May 2017.</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8"/>
              </w:rPr>
              <w:t>Professor Yarden is also a member of the European Molecular Biology Organization, the European Cancer</w:t>
            </w:r>
          </w:p>
        </w:tc>
      </w:tr>
      <w:tr>
        <w:trPr>
          <w:trHeight w:val="195"/>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20"/>
                <w:szCs w:val="20"/>
                <w:color w:val="auto"/>
              </w:rPr>
            </w:pPr>
            <w:r>
              <w:rPr>
                <w:rFonts w:ascii="Arial" w:cs="Arial" w:eastAsia="Arial" w:hAnsi="Arial"/>
                <w:sz w:val="16"/>
                <w:szCs w:val="16"/>
                <w:color w:val="auto"/>
                <w:w w:val="94"/>
              </w:rPr>
              <w:t>Academy and the Asia-Pacific International Molecular Biology Network. Professor Yarden was also a member of</w:t>
            </w:r>
          </w:p>
        </w:tc>
      </w:tr>
      <w:tr>
        <w:trPr>
          <w:trHeight w:val="207"/>
        </w:trPr>
        <w:tc>
          <w:tcPr>
            <w:tcW w:w="3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6"/>
                <w:szCs w:val="16"/>
                <w:color w:val="auto"/>
              </w:rPr>
              <w:t>our original Scientific Advisory Board.</w:t>
            </w:r>
          </w:p>
        </w:tc>
      </w:tr>
      <w:tr>
        <w:trPr>
          <w:trHeight w:val="438"/>
        </w:trPr>
        <w:tc>
          <w:tcPr>
            <w:tcW w:w="3680" w:type="dxa"/>
            <w:vAlign w:val="bottom"/>
          </w:tcPr>
          <w:p>
            <w:pPr>
              <w:spacing w:after="0"/>
              <w:rPr>
                <w:sz w:val="20"/>
                <w:szCs w:val="20"/>
                <w:color w:val="auto"/>
              </w:rPr>
            </w:pPr>
            <w:r>
              <w:rPr>
                <w:rFonts w:ascii="Arial" w:cs="Arial" w:eastAsia="Arial" w:hAnsi="Arial"/>
                <w:sz w:val="16"/>
                <w:szCs w:val="16"/>
                <w:b w:val="1"/>
                <w:bCs w:val="1"/>
                <w:color w:val="auto"/>
              </w:rPr>
              <w:t>Manufacturing</w:t>
            </w:r>
          </w:p>
        </w:tc>
        <w:tc>
          <w:tcPr>
            <w:tcW w:w="280" w:type="dxa"/>
            <w:vAlign w:val="bottom"/>
          </w:tcPr>
          <w:p>
            <w:pPr>
              <w:spacing w:after="0"/>
              <w:rPr>
                <w:sz w:val="24"/>
                <w:szCs w:val="24"/>
                <w:color w:val="auto"/>
              </w:rPr>
            </w:pPr>
          </w:p>
        </w:tc>
        <w:tc>
          <w:tcPr>
            <w:tcW w:w="7480" w:type="dxa"/>
            <w:vAlign w:val="bottom"/>
          </w:tcPr>
          <w:p>
            <w:pPr>
              <w:spacing w:after="0"/>
              <w:rPr>
                <w:sz w:val="24"/>
                <w:szCs w:val="24"/>
                <w:color w:val="auto"/>
              </w:rPr>
            </w:pPr>
          </w:p>
        </w:tc>
      </w:tr>
    </w:tbl>
    <w:p>
      <w:pPr>
        <w:spacing w:after="0" w:line="232" w:lineRule="exact"/>
        <w:rPr>
          <w:sz w:val="20"/>
          <w:szCs w:val="20"/>
          <w:color w:val="auto"/>
        </w:rPr>
      </w:pPr>
    </w:p>
    <w:p>
      <w:pPr>
        <w:ind w:right="40" w:firstLine="584"/>
        <w:spacing w:after="0" w:line="261" w:lineRule="auto"/>
        <w:rPr>
          <w:sz w:val="20"/>
          <w:szCs w:val="20"/>
          <w:color w:val="auto"/>
        </w:rPr>
      </w:pPr>
      <w:r>
        <w:rPr>
          <w:rFonts w:ascii="Arial" w:cs="Arial" w:eastAsia="Arial" w:hAnsi="Arial"/>
          <w:sz w:val="16"/>
          <w:szCs w:val="16"/>
          <w:color w:val="auto"/>
        </w:rPr>
        <w:t>Our laboratories, which are located in our headquarters in Modi'in, Israel are in part compliant with FDA regulations setting forth current good laboratory practices, or GLP. However, they are not compliant with cGMP and therefore we cannot independently manufacture drug products for our current clinical trials or, if we choose to do so, commercialize therapeutic candidates ourselves. The suppliers of the drug substances used for our current clinical trials do have these necessary approvals. We have limited personnel with experience in drug or medical device manufacturing and we lack the resources and capabilities to manufacture any of our therapeutic candidates on a commercial scale.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50" w:name="page51"/>
    <w:bookmarkEnd w:id="50"/>
    <w:p>
      <w:pPr>
        <w:ind w:right="160" w:firstLine="584"/>
        <w:spacing w:after="0" w:line="313" w:lineRule="auto"/>
        <w:rPr>
          <w:sz w:val="20"/>
          <w:szCs w:val="20"/>
          <w:color w:val="auto"/>
        </w:rPr>
      </w:pPr>
      <w:r>
        <w:rPr>
          <w:rFonts w:ascii="Arial" w:cs="Arial" w:eastAsia="Arial" w:hAnsi="Arial"/>
          <w:sz w:val="14"/>
          <w:szCs w:val="14"/>
          <w:color w:val="auto"/>
        </w:rPr>
        <w:t>There can be no assurance that our therapeutic candidates, if approved, can be manufactured in sufficient commercial quantities, in compliance with regulatory requirements and at an acceptable cost. Our contract manufacturers are, and will be, subject to extensive governmental regulation in connection with the manufacture of any pharmaceutical products or medical devices. Our contract manufacturers must ensure that all of the processes, methods and equipment are compliant with cGMP, for drugs or QSR for devices on an ongoing basis, mandated by the FDA and other regulatory authorities, and conduct extensive audits of vendors, contract laboratories and suppliers.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Research Organizations</w:t>
      </w:r>
    </w:p>
    <w:p>
      <w:pPr>
        <w:spacing w:after="0" w:line="258" w:lineRule="exact"/>
        <w:rPr>
          <w:sz w:val="20"/>
          <w:szCs w:val="20"/>
          <w:color w:val="auto"/>
        </w:rPr>
      </w:pPr>
    </w:p>
    <w:p>
      <w:pPr>
        <w:ind w:right="200" w:firstLine="584"/>
        <w:spacing w:after="0" w:line="268" w:lineRule="auto"/>
        <w:rPr>
          <w:sz w:val="20"/>
          <w:szCs w:val="20"/>
          <w:color w:val="auto"/>
        </w:rPr>
      </w:pPr>
      <w:r>
        <w:rPr>
          <w:rFonts w:ascii="Arial" w:cs="Arial" w:eastAsia="Arial" w:hAnsi="Arial"/>
          <w:sz w:val="16"/>
          <w:szCs w:val="16"/>
          <w:color w:val="auto"/>
        </w:rPr>
        <w:t>We outsource certain preclinical and clinical development activities to CROs, which meet FDA or European Medicines Agency regulatory standards. We create and implement the drug development plans and, during the preclinical and clinical Phases of development, manage the CROs according to the specific requirements of the therapeutic candidate under development.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58" w:lineRule="exact"/>
        <w:rPr>
          <w:sz w:val="20"/>
          <w:szCs w:val="20"/>
          <w:color w:val="auto"/>
        </w:rPr>
      </w:pPr>
    </w:p>
    <w:p>
      <w:pPr>
        <w:ind w:right="80" w:firstLine="584"/>
        <w:spacing w:after="0" w:line="280" w:lineRule="auto"/>
        <w:rPr>
          <w:sz w:val="20"/>
          <w:szCs w:val="20"/>
          <w:color w:val="auto"/>
        </w:rPr>
      </w:pPr>
      <w:r>
        <w:rPr>
          <w:rFonts w:ascii="Arial" w:cs="Arial" w:eastAsia="Arial" w:hAnsi="Arial"/>
          <w:sz w:val="15"/>
          <w:szCs w:val="15"/>
          <w:color w:val="auto"/>
        </w:rPr>
        <w:t>The pharmaceutical, medical device and biotechnology industries are intensely competitive. Several of our therapeutic candidates, if commercialized, would compete with existing drugs and therapies. In addition, there are many pharmaceutical companies, biotechnology companies, medical device companies public and private universities, government agencies and research organizations actively engaged in research and development of products targeting the same markets as our therapeutic candidates. Many of these organizations have substantially greater financial, technical, manufacturing and marketing resources than we have. Our competitors may also be able to use alternative technologies that do not infringe upon our patents to formulate the active materials in our therapeutic candidates. They may, therefore, bring to market products that are able to compete with our candidates, or other products that we may develop in the future.</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BL-8040</w:t>
      </w:r>
    </w:p>
    <w:p>
      <w:pPr>
        <w:spacing w:after="0" w:line="254" w:lineRule="exact"/>
        <w:rPr>
          <w:sz w:val="20"/>
          <w:szCs w:val="20"/>
          <w:color w:val="auto"/>
        </w:rPr>
      </w:pPr>
    </w:p>
    <w:p>
      <w:pPr>
        <w:ind w:right="80" w:firstLine="584"/>
        <w:spacing w:after="0" w:line="268" w:lineRule="auto"/>
        <w:rPr>
          <w:sz w:val="20"/>
          <w:szCs w:val="20"/>
          <w:color w:val="auto"/>
        </w:rPr>
      </w:pPr>
      <w:r>
        <w:rPr>
          <w:rFonts w:ascii="Arial" w:cs="Arial" w:eastAsia="Arial" w:hAnsi="Arial"/>
          <w:sz w:val="16"/>
          <w:szCs w:val="16"/>
          <w:color w:val="auto"/>
        </w:rPr>
        <w:t>If approved, BL-8040 will compete with currently approved treatments for AML that include chemotherapy (Doxorubicin, Cytarabine, Vincristine), radiation therapy, stem cell transplantation and the hypomethylating agents Dacogen (decitabine), which has been developed by Eisai and Johnson &amp; Johnson, and Vidaza (azacitidine), which has been developed by Celgene.</w:t>
      </w:r>
    </w:p>
    <w:p>
      <w:pPr>
        <w:spacing w:after="0" w:line="212"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There are a number of potentially competitive compounds under development that act as CXCR4 inhibitors, including, among others, Mozobil (plerixafor), which is being marketed by Genzyme and Sanofi as a stem cell mobilizer for autologous stem cell transplantation; LY-2510924, which is being developed by Eli Lilly &amp; Co; BMS-936564 (MDX-1338; ulocuplumab) developed by Bristol-Myers Squibb; TG-0054 (burixafor) developed by TaiGen Biotechnology Co; POL-6326 developed by Polyphor Ltd and X4P-001 developed by X4 Pharmaceuticals Inc.</w:t>
      </w:r>
    </w:p>
    <w:p>
      <w:pPr>
        <w:spacing w:after="0" w:line="216"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Immuno-oncology is an area of great interest in the pharmaceutical market, specifically, immuno-oncology combination therapies. Currently there are hundreds of immuno-oncology combinations being tested in clinical trials. Recently, there has been growing attention to the combination of immuno-oncology agents with chemokines such as CXCR4 antagonist. One such combination therapy that is currently under development is BMS-936564 an Opdivo (ulocuplumab and nivolumab respectively, both of which are being developed by Bristol-Myers Squibb). These combination therapies, among others, could potentially compete with the combinations of BL-8040 and Keytruda</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(pembrolizumab, developed by Merck &amp; Co.) and Tecentriq</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(atezolizumab, developed by Genentech Inc.).</w:t>
      </w:r>
    </w:p>
    <w:p>
      <w:pPr>
        <w:spacing w:after="0" w:line="80" w:lineRule="exact"/>
        <w:rPr>
          <w:sz w:val="20"/>
          <w:szCs w:val="20"/>
          <w:color w:val="auto"/>
        </w:rPr>
      </w:pPr>
    </w:p>
    <w:p>
      <w:pPr>
        <w:ind w:right="60" w:firstLine="584"/>
        <w:spacing w:after="0" w:line="276" w:lineRule="auto"/>
        <w:rPr>
          <w:sz w:val="20"/>
          <w:szCs w:val="20"/>
          <w:color w:val="auto"/>
        </w:rPr>
      </w:pPr>
      <w:r>
        <w:rPr>
          <w:rFonts w:ascii="Arial" w:cs="Arial" w:eastAsia="Arial" w:hAnsi="Arial"/>
          <w:sz w:val="15"/>
          <w:szCs w:val="15"/>
          <w:color w:val="auto"/>
        </w:rPr>
        <w:t>In addition there are a number of potentially competitive compounds under development to treat AML including, among others, Qinprezo (vosaroxin), which is being developed by Sunesis Pharmaceuticals (pre-registration in Europe); Vyxeos (liposomal Cytarabine + Daunorubicin, pre-registration), developed by Celator Pharmaceuticals Inc; AG-221 (enasidenib, pre-registration) developed by Agios Pharmaceuticals Inc. and Celgene Corp; midostaurin developed by Novartis (pre-registration); GMI-1271 developed by GlycoMimetics; F-14512 developed by Pierre Fabre; pacritinib developed by CTI BioPharma Corp; Odomzo (sonidegib), Mekinist (trametinib) and uprosertib developed by Novartis; venetoclax developed by AbbVie Inc.; selinexor developed by Karyopharm Therapeutics; Velcade (bortezomib) developed by Janssen and Takeda; Revlimid (lenalidomide) developed by Celgene; Tarceva (erlotinib) developed by Roche Astellas and Chugai; Zolinza (vorinostat) developed by Merck and Co.; SGI-110 developed by Astex Pharmaceuticals and pracinostat developed by MEI Pharma; Some of these treatments are being developed for specific AML patient populations and lines of treatment (e.g., quizartinib developed by Ambit Biosciences as treatment for FLT3-ITD mutated AML patients; Nexavar (sorafenib), developed by Bayer; midostaurin, developed by Novartis; and ASP-2215 (gilteritinib), developed by Astellas Pharma Inc.) and not for the entire AML population. Some of these treatments can be developed for administration to AML patients in combination with BL-8040.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51" w:name="page52"/>
    <w:bookmarkEnd w:id="51"/>
    <w:p>
      <w:pPr>
        <w:ind w:left="580"/>
        <w:spacing w:after="0"/>
        <w:rPr>
          <w:sz w:val="20"/>
          <w:szCs w:val="20"/>
          <w:color w:val="auto"/>
        </w:rPr>
      </w:pPr>
      <w:r>
        <w:rPr>
          <w:rFonts w:ascii="Arial" w:cs="Arial" w:eastAsia="Arial" w:hAnsi="Arial"/>
          <w:sz w:val="16"/>
          <w:szCs w:val="16"/>
          <w:b w:val="1"/>
          <w:bCs w:val="1"/>
          <w:i w:val="1"/>
          <w:iCs w:val="1"/>
          <w:color w:val="auto"/>
        </w:rPr>
        <w:t>AGI-134</w:t>
      </w:r>
    </w:p>
    <w:p>
      <w:pPr>
        <w:spacing w:after="0" w:line="254"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6"/>
          <w:szCs w:val="16"/>
          <w:color w:val="auto"/>
        </w:rPr>
        <w:t>The field of cancer immunotherapy is still in the early stages of development, and only a few checkpoint inhibitors have been approved since 2011, targeting either CTLA-4, PD1 or PDL1 via antibody blockade. Most of these agents have been approved for melanoma and non-small cell lung cancer. However, in recent years approval has been granted for use of these agents in renal cell carcinoma and head and neck and bladder cancer. As noted above, there are currently hundreds of immuno-oncology combinations being tested in clinical trials. Many of these combinations could be competitive with AGI-134.</w:t>
      </w:r>
    </w:p>
    <w:p>
      <w:pPr>
        <w:spacing w:after="0" w:line="168"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In general, the competitive landscape is comprised of compounds that target tumor specific neoantigens and create adaptive, anti-tumor immune response. Examples of such therapeutic approaches include oncolytic viruses, dendritic cell vaccines, personalized neoantigen-based cancer vaccines and Pathogen-Associated Molecular Patterns (PAMPs) as cancer vaccines.</w:t>
      </w:r>
    </w:p>
    <w:p>
      <w:pPr>
        <w:spacing w:after="0" w:line="201" w:lineRule="exact"/>
        <w:rPr>
          <w:sz w:val="20"/>
          <w:szCs w:val="20"/>
          <w:color w:val="auto"/>
        </w:rPr>
      </w:pPr>
    </w:p>
    <w:p>
      <w:pPr>
        <w:ind w:right="20" w:firstLine="584"/>
        <w:spacing w:after="0" w:line="210" w:lineRule="auto"/>
        <w:rPr>
          <w:sz w:val="20"/>
          <w:szCs w:val="20"/>
          <w:color w:val="auto"/>
        </w:rPr>
      </w:pPr>
      <w:r>
        <w:rPr>
          <w:rFonts w:ascii="Arial" w:cs="Arial" w:eastAsia="Arial" w:hAnsi="Arial"/>
          <w:sz w:val="16"/>
          <w:szCs w:val="16"/>
          <w:color w:val="auto"/>
        </w:rPr>
        <w:t>If approved, AGI-134 will compete with currently approved treatments such as the oncolytic viruses (Imlygic</w:t>
      </w:r>
      <w:r>
        <w:rPr>
          <w:rFonts w:ascii="Arial" w:cs="Arial" w:eastAsia="Arial" w:hAnsi="Arial"/>
          <w:sz w:val="27"/>
          <w:szCs w:val="27"/>
          <w:color w:val="auto"/>
          <w:vertAlign w:val="superscript"/>
        </w:rPr>
        <w:t>®</w:t>
      </w:r>
      <w:r>
        <w:rPr>
          <w:rFonts w:ascii="Arial" w:cs="Arial" w:eastAsia="Arial" w:hAnsi="Arial"/>
          <w:sz w:val="16"/>
          <w:szCs w:val="16"/>
          <w:color w:val="auto"/>
        </w:rPr>
        <w:t>, T-VEC; Amgen) and dendritic cell cancer vaccine (Provenge</w:t>
      </w:r>
      <w:r>
        <w:rPr>
          <w:rFonts w:ascii="Arial" w:cs="Arial" w:eastAsia="Arial" w:hAnsi="Arial"/>
          <w:sz w:val="27"/>
          <w:szCs w:val="27"/>
          <w:color w:val="auto"/>
          <w:vertAlign w:val="superscript"/>
        </w:rPr>
        <w:t>®</w:t>
      </w:r>
      <w:r>
        <w:rPr>
          <w:rFonts w:ascii="Arial" w:cs="Arial" w:eastAsia="Arial" w:hAnsi="Arial"/>
          <w:sz w:val="16"/>
          <w:szCs w:val="16"/>
          <w:color w:val="auto"/>
        </w:rPr>
        <w:t>, sipuleucel-T; Valeant). In addition, there are several potentially-competitive compounds that are currently under development, including, among others, IVAC mutanome (BioNTech AG), NeoVax (Neon Therapeutics), the TLR9 agonists, lefitolimod (MGN-1703, Mologen Ag), IMO-2125 (Idera Pharmaceuticals Inc), SD-101(Dynavax Technologies Corp), CMP-001 (Checkmate Pharmaceuticals), the stimulator of interferon genes (STING) agonist, ADU-S100 (Novartis), imprime PGG (Biothera Pharmaceuticals Inc), dorgenmeltucel-L (NewLink Genetics Corp), inCVAX (Immunophotonics Inc) and LTX-315 (Lytix Biopharma AS). Most of these competitors have ongoing combination trials with the approved checkpoint inhibitors.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BL-5010</w:t>
      </w:r>
    </w:p>
    <w:p>
      <w:pPr>
        <w:spacing w:after="0" w:line="254" w:lineRule="exact"/>
        <w:rPr>
          <w:sz w:val="20"/>
          <w:szCs w:val="20"/>
          <w:color w:val="auto"/>
        </w:rPr>
      </w:pPr>
    </w:p>
    <w:p>
      <w:pPr>
        <w:ind w:right="180" w:firstLine="584"/>
        <w:spacing w:after="0" w:line="235" w:lineRule="auto"/>
        <w:rPr>
          <w:sz w:val="20"/>
          <w:szCs w:val="20"/>
          <w:color w:val="auto"/>
        </w:rPr>
      </w:pPr>
      <w:r>
        <w:rPr>
          <w:rFonts w:ascii="Arial" w:cs="Arial" w:eastAsia="Arial" w:hAnsi="Arial"/>
          <w:sz w:val="15"/>
          <w:szCs w:val="15"/>
          <w:color w:val="auto"/>
        </w:rPr>
        <w:t>BL-5010 will compete with a variety of approved destructive and non-destructive treatments for skin lesions. Surgery is currently the most common approved non-destructive treatment for skin lesions but is invasive and painful, and generally results in cosmetically undesirable outcomes. Destructive treatments are associated with pain. Destructive treatments include cryotherapy, laser therapy, electrodessication, curettage and several cream-based treatments. Picato (Leo Pharma) and Metvixia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(Galderma Pharma) are cream-based treatments for skin lesions which have been approved in many countries.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258" w:lineRule="exact"/>
        <w:rPr>
          <w:sz w:val="20"/>
          <w:szCs w:val="20"/>
          <w:color w:val="auto"/>
        </w:rPr>
      </w:pPr>
    </w:p>
    <w:p>
      <w:pPr>
        <w:ind w:right="40" w:firstLine="584"/>
        <w:spacing w:after="0" w:line="258" w:lineRule="auto"/>
        <w:rPr>
          <w:sz w:val="20"/>
          <w:szCs w:val="20"/>
          <w:color w:val="auto"/>
        </w:rPr>
      </w:pPr>
      <w:r>
        <w:rPr>
          <w:rFonts w:ascii="Arial" w:cs="Arial" w:eastAsia="Arial" w:hAnsi="Arial"/>
          <w:sz w:val="16"/>
          <w:szCs w:val="16"/>
          <w:color w:val="auto"/>
        </w:rPr>
        <w:t>We maintain insurance for our offices and laboratory in Israel. This insurance covers approximately $5.3 million of equipment, consumables and lease improvements against risk of fire, lightning, natural perils and burglary (the latter coverage limited to $250,000), and $1.5 million of consequential damages (covering fixed damages and extra expenses). For our clinical activities, we carry life science liability insurance covering general liability with an annual coverage amount of $30.0 million per occurrence and product liability and clinical trials coverage with an annual coverage amount of $30.0 million each claim and in the aggregate. The maximum indemnity for a single occurrence, claim or circumstances under this insurance is $30.0 million. In addition, we maintain the following insurance: employer's liability with coverage of approximately $10.0 million for each occurrence and in the aggregate; third party liability with coverage of approximately $5.0 million for each occurrence and in the aggregate; all risk coverage of approximately $2.0 million for electronic and mechanical equipment; directors' and officers' liability with coverage of $20.0 million for each occurrence and in the aggregate; and a global travel insurance policy.</w:t>
      </w:r>
    </w:p>
    <w:p>
      <w:pPr>
        <w:spacing w:after="0" w:line="220" w:lineRule="exact"/>
        <w:rPr>
          <w:sz w:val="20"/>
          <w:szCs w:val="20"/>
          <w:color w:val="auto"/>
        </w:rPr>
      </w:pPr>
    </w:p>
    <w:p>
      <w:pPr>
        <w:ind w:right="100" w:firstLine="584"/>
        <w:spacing w:after="0" w:line="268" w:lineRule="auto"/>
        <w:rPr>
          <w:sz w:val="20"/>
          <w:szCs w:val="20"/>
          <w:color w:val="auto"/>
        </w:rPr>
      </w:pPr>
      <w:r>
        <w:rPr>
          <w:rFonts w:ascii="Arial" w:cs="Arial" w:eastAsia="Arial" w:hAnsi="Arial"/>
          <w:sz w:val="16"/>
          <w:szCs w:val="16"/>
          <w:color w:val="auto"/>
        </w:rPr>
        <w:t>We procure stock throughput insurance (cargo marine) coverage when we ship substances for our clinical studies. Such insurance is customized to the special requirements of the applicable shipment, such as temperature and/or climate sensitivity. If required, we insure the substances to the extent they are stored in central depots and at clinical sites.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2" w:name="page53"/>
    <w:bookmarkEnd w:id="52"/>
    <w:p>
      <w:pPr>
        <w:ind w:right="320" w:firstLine="584"/>
        <w:spacing w:after="0" w:line="358" w:lineRule="auto"/>
        <w:rPr>
          <w:sz w:val="20"/>
          <w:szCs w:val="20"/>
          <w:color w:val="auto"/>
        </w:rPr>
      </w:pPr>
      <w:r>
        <w:rPr>
          <w:rFonts w:ascii="Arial" w:cs="Arial" w:eastAsia="Arial" w:hAnsi="Arial"/>
          <w:sz w:val="14"/>
          <w:szCs w:val="14"/>
          <w:color w:val="auto"/>
        </w:rPr>
        <w:t>We believe that the amounts of our insurance policies are adequate and customary for a business of our kind. However, because of the nature of our business, we cannot assure you that we will be able to maintain insurance on a commercially reasonable basis or at all, or that any future claims will not exceed our insurance coverage.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258" w:lineRule="exact"/>
        <w:rPr>
          <w:sz w:val="20"/>
          <w:szCs w:val="20"/>
          <w:color w:val="auto"/>
        </w:rPr>
      </w:pPr>
    </w:p>
    <w:p>
      <w:pPr>
        <w:ind w:firstLine="584"/>
        <w:spacing w:after="0" w:line="304" w:lineRule="auto"/>
        <w:rPr>
          <w:sz w:val="20"/>
          <w:szCs w:val="20"/>
          <w:color w:val="auto"/>
        </w:rPr>
      </w:pPr>
      <w:r>
        <w:rPr>
          <w:rFonts w:ascii="Arial" w:cs="Arial" w:eastAsia="Arial" w:hAnsi="Arial"/>
          <w:sz w:val="14"/>
          <w:szCs w:val="14"/>
          <w:color w:val="auto"/>
        </w:rPr>
        <w:t>We are subject to various environmental, health and safety laws and regulations, including those governing air emissions, water and wastewater discharges, noise emissions, the use, management and disposal of hazardous, radioactive and biological materials and wastes and the cleanup of contaminated sites. We believe that our business, operations and facilities are being operated in compliance in all material respects with applicable environmental and health and safety laws and regulations. Based on information currently available to us, we do not expect environmental costs and contingencies to have a material adverse effect on us. The operation of our facilities, however, entails risks in these areas. Significant expenditures could be required in the future if we are required to comply with new or more stringent environmental or health and safety laws, regulations or requirements. See "Business — Government Regulation and Funding — Israel Ministry of Environment — Toxin Permit."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 and Funding</w:t>
      </w:r>
    </w:p>
    <w:p>
      <w:pPr>
        <w:spacing w:after="0" w:line="258" w:lineRule="exact"/>
        <w:rPr>
          <w:sz w:val="20"/>
          <w:szCs w:val="20"/>
          <w:color w:val="auto"/>
        </w:rPr>
      </w:pPr>
    </w:p>
    <w:p>
      <w:pPr>
        <w:ind w:right="20" w:firstLine="584"/>
        <w:spacing w:after="0" w:line="282" w:lineRule="auto"/>
        <w:rPr>
          <w:sz w:val="20"/>
          <w:szCs w:val="20"/>
          <w:color w:val="auto"/>
        </w:rPr>
      </w:pPr>
      <w:r>
        <w:rPr>
          <w:rFonts w:ascii="Arial" w:cs="Arial" w:eastAsia="Arial" w:hAnsi="Arial"/>
          <w:sz w:val="15"/>
          <w:szCs w:val="15"/>
          <w:color w:val="auto"/>
        </w:rPr>
        <w:t>We operate in a highly controlled regulatory environment. Stringent regulations establish requirements relating to analytical, toxicological and clinical standards and protocols in respect of the testing of pharmaceuticals and medical devices. Regulations also cover research, development, manufacturing and reporting procedures, both pre-and post-approval. In many markets, especially in Europe, marketing and pricing strategies are subject to national legislation or administrative practices that include requirements to demonstrate not only the quality, safety and efficacy of a new product, but also its cost-effectiveness relating to other treatment options. Failure to comply with regulations can result in stringent sanctions, including product recalls, withdrawal of approvals, seizure of products and criminal prosecution.</w:t>
      </w:r>
    </w:p>
    <w:p>
      <w:pPr>
        <w:spacing w:after="0" w:line="204" w:lineRule="exact"/>
        <w:rPr>
          <w:sz w:val="20"/>
          <w:szCs w:val="20"/>
          <w:color w:val="auto"/>
        </w:rPr>
      </w:pPr>
    </w:p>
    <w:p>
      <w:pPr>
        <w:ind w:right="120" w:firstLine="584"/>
        <w:spacing w:after="0" w:line="277" w:lineRule="auto"/>
        <w:rPr>
          <w:sz w:val="20"/>
          <w:szCs w:val="20"/>
          <w:color w:val="auto"/>
        </w:rPr>
      </w:pPr>
      <w:r>
        <w:rPr>
          <w:rFonts w:ascii="Arial" w:cs="Arial" w:eastAsia="Arial" w:hAnsi="Arial"/>
          <w:sz w:val="15"/>
          <w:szCs w:val="15"/>
          <w:color w:val="auto"/>
        </w:rPr>
        <w:t>Before obtaining regulatory approvals for the commercial sale of our therapeutic candidates, we or our licensees must demonstrate through preclinical studies and clinical trials that our therapeutic candidates are safe and effective. Historically, the results from preclinical studies and early clinical trials often have not accurately predicted results of later clinical trials. In addition, a number of pharmaceutical products have shown promising results in early clinical trials but subsequently failed to establish sufficient safety and efficacy results to obtain necessary regulatory approvals. We have incurred and will continue to incur substantial expense for, and devote a significant amount of time to, preclinical studies and clinical trials. Many factors can delay the commencement and rate of completion of clinical trials, including the inability to recruit patients at the expected rate, the inability to follow patients adequately after treatment, the failure to manufacture sufficient quantities of materials used for clinical trials, and the emergence of unforeseen safety issues and governmental and regulatory delays. If a therapeutic candidate fails to demonstrate safety and efficacy in clinical trials, this failure may delay development of other therapeutic candidates and hinder our ability to conduct related preclinical studies and clinical trials. Additionally, as a result of these failures, we may also be unable to find additional licensees or obtain additional financing.</w:t>
      </w:r>
    </w:p>
    <w:p>
      <w:pPr>
        <w:spacing w:after="0" w:line="205" w:lineRule="exact"/>
        <w:rPr>
          <w:sz w:val="20"/>
          <w:szCs w:val="20"/>
          <w:color w:val="auto"/>
        </w:rPr>
      </w:pPr>
    </w:p>
    <w:p>
      <w:pPr>
        <w:ind w:right="80" w:firstLine="584"/>
        <w:spacing w:after="0" w:line="260" w:lineRule="auto"/>
        <w:rPr>
          <w:sz w:val="20"/>
          <w:szCs w:val="20"/>
          <w:color w:val="auto"/>
        </w:rPr>
      </w:pPr>
      <w:r>
        <w:rPr>
          <w:rFonts w:ascii="Arial" w:cs="Arial" w:eastAsia="Arial" w:hAnsi="Arial"/>
          <w:sz w:val="16"/>
          <w:szCs w:val="16"/>
          <w:color w:val="auto"/>
        </w:rPr>
        <w:t>Governmental authorities in all major markets require that a new pharmaceutical product or medical device be approved or exempted from approval before it is marketed, and have established high standards for technical appraisal, which can result in an expensive and lengthy approval process. The time to obtain approval varies by country. In the past, it generally took from six months to four years from the application date, depending upon the quality of the results produced, the degree of control exercised by the regulatory authority, the efficiency of the review procedure and the nature of the product. Some products are never approved. In recent years, there has been a trend towards shorter regulatory review times in the United States as well as certain European countries, despite increased regulation and higher quality, safety and efficacy standards.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3" w:name="page54"/>
    <w:bookmarkEnd w:id="53"/>
    <w:p>
      <w:pPr>
        <w:ind w:firstLine="584"/>
        <w:spacing w:after="0" w:line="259" w:lineRule="auto"/>
        <w:rPr>
          <w:sz w:val="20"/>
          <w:szCs w:val="20"/>
          <w:color w:val="auto"/>
        </w:rPr>
      </w:pPr>
      <w:r>
        <w:rPr>
          <w:rFonts w:ascii="Arial" w:cs="Arial" w:eastAsia="Arial" w:hAnsi="Arial"/>
          <w:sz w:val="16"/>
          <w:szCs w:val="16"/>
          <w:color w:val="auto"/>
        </w:rPr>
        <w:t>Historically, different requirements by different countries' regulatory authorities have influenced the submission of applications. However, a trend toward harmonization of drug and medical device approval standards, starting in individual territories in Europe and then in the EU as a whole, in Japan, and in the United States under the aegis of what is now known as the International Council on Harmonisation, or ICH (created as the International Conference on Harmonisation in 1990), is gradually narrowing these differences. In many cases, compliance with ICH standards can help avoid duplication of non-clinical and clinical trials and enable companies to use the same basis for submissions to each of the respective regulatory authorities. The adoption of the Common Technical Document format by the ICH has greatly facilitated use of a single regulatory submission for seeking approval in the ICH regions and certain other countries including Canada, Hong Kong, Japan, Saudi Arabia, Singapore, South Africa, South Korea, Switzerland, Taiwan, Turkey and Australia.</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Summaries of the United States, EU and Israeli regulatory processes follow below.</w:t>
      </w:r>
    </w:p>
    <w:p>
      <w:pPr>
        <w:spacing w:after="0" w:line="25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United States</w:t>
      </w:r>
    </w:p>
    <w:p>
      <w:pPr>
        <w:spacing w:after="0" w:line="258" w:lineRule="exact"/>
        <w:rPr>
          <w:sz w:val="20"/>
          <w:szCs w:val="20"/>
          <w:color w:val="auto"/>
        </w:rPr>
      </w:pPr>
    </w:p>
    <w:p>
      <w:pPr>
        <w:ind w:right="60" w:firstLine="584"/>
        <w:spacing w:after="0" w:line="280" w:lineRule="auto"/>
        <w:rPr>
          <w:sz w:val="20"/>
          <w:szCs w:val="20"/>
          <w:color w:val="auto"/>
        </w:rPr>
      </w:pPr>
      <w:r>
        <w:rPr>
          <w:rFonts w:ascii="Arial" w:cs="Arial" w:eastAsia="Arial" w:hAnsi="Arial"/>
          <w:sz w:val="15"/>
          <w:szCs w:val="15"/>
          <w:color w:val="auto"/>
        </w:rPr>
        <w:t>In the United States, drugs are subject to rigorous regulation by the FDA. The U.S. Federal Food, Drug and Cosmetic Act, or FDCA, and other federal and state statutes and regulations govern, among other things, the research, development, testing, manufacture, storage, record-keeping, packaging, labeling, adverse event reporting, advertising, promotion, marketing, distribution and import and export of pharmaceutical products. Failure to comply with applicable regulatory requirements may subject us to a variety of administrative or judicially imposed sanctions and/or prevent us from obtaining or maintaining required approvals or to market drugs. Failure to comply with the applicable U.S. requirements may subject us to stringent administrative or judicial sanctions, such as agency refusal to approve pending applications, warning letters, product recalls, product seizures, total or partial suspension of production or distribution, injunctions or criminal prosecution.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Unless a drug is exempt from the NDA process, the steps required before a drug may be marketed in the United States include:</w:t>
      </w:r>
    </w:p>
    <w:p>
      <w:pPr>
        <w:spacing w:after="0" w:line="254" w:lineRule="exact"/>
        <w:rPr>
          <w:sz w:val="20"/>
          <w:szCs w:val="20"/>
          <w:color w:val="auto"/>
        </w:rPr>
      </w:pPr>
    </w:p>
    <w:p>
      <w:pPr>
        <w:ind w:left="1160" w:hanging="578"/>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preclinical laboratory tests, animal studies and formulation development;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submission to the FDA of a request for an IND to conduct human clinical testing;</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adequate and well controlled clinical trials to determine the safety and efficacy of the drug for each indication as well as to establish the exposure levels;</w:t>
      </w:r>
    </w:p>
    <w:p>
      <w:pPr>
        <w:spacing w:after="0" w:line="265" w:lineRule="exact"/>
        <w:rPr>
          <w:rFonts w:ascii="Arial" w:cs="Arial" w:eastAsia="Arial" w:hAnsi="Arial"/>
          <w:sz w:val="15"/>
          <w:szCs w:val="15"/>
          <w:color w:val="auto"/>
        </w:rPr>
      </w:pPr>
    </w:p>
    <w:p>
      <w:pPr>
        <w:ind w:left="1160" w:hanging="578"/>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submission to the FDA of an NDA;</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potential public hearing of an outside advisory committee to discuss the application;</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drug is manufactured;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FDA review and approval of the NDA.</w:t>
      </w:r>
    </w:p>
    <w:p>
      <w:pPr>
        <w:spacing w:after="0" w:line="254" w:lineRule="exact"/>
        <w:rPr>
          <w:sz w:val="20"/>
          <w:szCs w:val="20"/>
          <w:color w:val="auto"/>
        </w:rPr>
      </w:pPr>
    </w:p>
    <w:p>
      <w:pPr>
        <w:ind w:firstLine="584"/>
        <w:spacing w:after="0" w:line="259" w:lineRule="auto"/>
        <w:rPr>
          <w:sz w:val="20"/>
          <w:szCs w:val="20"/>
          <w:color w:val="auto"/>
        </w:rPr>
      </w:pPr>
      <w:r>
        <w:rPr>
          <w:rFonts w:ascii="Arial" w:cs="Arial" w:eastAsia="Arial" w:hAnsi="Arial"/>
          <w:sz w:val="16"/>
          <w:szCs w:val="16"/>
          <w:color w:val="auto"/>
        </w:rPr>
        <w:t>Preclinical studies include laboratory evaluation of product chemistry, toxicity, formulation and stability, as well as animal studies. For studies conducted in the United States, and certain studies carried out outside the United States, we submit the results of the preclinical studies, together with manufacturing information and analytical results, to the FDA as part of an IND, which must become effective before we may commence human clinical trials. An IND will automatically become effective 30 days after receipt by the FDA, unless before that time the FDA raises concerns or questions about issues such as the conduct of the trials as outlined in the IND. In such a case, the IND sponsor and the FDA must resolve any outstanding FDA concerns or questions before clinical trials can proceed. Submission of an IND does not always result in the FDA allowing clinical trials to commence and the FDA may halt a clinical trial if unexpected safety issues surface or the study is not being conducted in compliance with applicable requirements.</w:t>
      </w:r>
    </w:p>
    <w:p>
      <w:pPr>
        <w:spacing w:after="0" w:line="217"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The FDA may refuse to accept an IND for review if applicable regulatory requirements are not met. Moreover, the FDA may delay or prevent the start of clinical trials if the manufacturing of the study drug fails to meet cGMP requirements or the clinical trials are not adequately designed. Such government regulation may delay or prevent the study and marketing of potential products for a considerable time period and may impose costly procedures upon a manufacturer's activities. In addition, the FDA may, at any time, impose a clinical hold on ongoing clinical trials. If the FDA imposes a clinical hold, clinical trials cannot continue without FDA authorization and then only under terms authorized by the FDA.</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4" w:name="page55"/>
    <w:bookmarkEnd w:id="54"/>
    <w:p>
      <w:pPr>
        <w:ind w:right="40" w:firstLine="584"/>
        <w:spacing w:after="0" w:line="294" w:lineRule="auto"/>
        <w:rPr>
          <w:sz w:val="20"/>
          <w:szCs w:val="20"/>
          <w:color w:val="auto"/>
        </w:rPr>
      </w:pPr>
      <w:r>
        <w:rPr>
          <w:rFonts w:ascii="Arial" w:cs="Arial" w:eastAsia="Arial" w:hAnsi="Arial"/>
          <w:sz w:val="15"/>
          <w:szCs w:val="15"/>
          <w:color w:val="auto"/>
        </w:rPr>
        <w:t>Success in early-stage clinical trials does not assure success in later-stage clinical trials. Results obtained from clinical activities are not always conclusive and may be susceptible to varying interpretations that could delay, limit or prevent regulatory approval. Even if a therapeutic candidate receives regulatory approval, later discovery of previously unknown problems with a product may result in restrictions on the product or even withdrawal of marketing approval for the product.</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Clinical Trials</w:t>
      </w:r>
    </w:p>
    <w:p>
      <w:pPr>
        <w:spacing w:after="0" w:line="254"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6"/>
          <w:szCs w:val="16"/>
          <w:color w:val="auto"/>
        </w:rPr>
        <w:t>Clinical trials involve the administration of the investigational drug to people under the supervision of qualified investigators in accordance with the principles of good clinical practice, or GCP. We conduct clinical trials under protocols detailing the trial objectives, the parameters to be used in monitoring safety, and the effectiveness criteria to be evaluated. We must submit each U.S. study protocol to the FDA as part of the IND. Foreign clinical trials may or may not be conducted under an IND. However, their safety assessments are included in the IND annual reports.</w:t>
      </w:r>
    </w:p>
    <w:p>
      <w:pPr>
        <w:spacing w:after="0" w:line="216" w:lineRule="exact"/>
        <w:rPr>
          <w:sz w:val="20"/>
          <w:szCs w:val="20"/>
          <w:color w:val="auto"/>
        </w:rPr>
      </w:pPr>
    </w:p>
    <w:p>
      <w:pPr>
        <w:ind w:right="20" w:firstLine="584"/>
        <w:spacing w:after="0" w:line="275" w:lineRule="auto"/>
        <w:rPr>
          <w:sz w:val="20"/>
          <w:szCs w:val="20"/>
          <w:color w:val="auto"/>
        </w:rPr>
      </w:pPr>
      <w:r>
        <w:rPr>
          <w:rFonts w:ascii="Arial" w:cs="Arial" w:eastAsia="Arial" w:hAnsi="Arial"/>
          <w:sz w:val="15"/>
          <w:szCs w:val="15"/>
          <w:color w:val="auto"/>
        </w:rPr>
        <w:t>We conduct clinical trials typically in three sequential Phases, but the Phases may overlap or be combined. An institutional review board, or IRB, must review and approve each trial before it can begin. Phase 1 includes the initial administration of a tested drug to a small number of humans. These trials are closely monitored and may be conducted in patients, but are usually conducted in healthy volunteer subjects. These trials are designed to determine the metabolic and pharmacologic actions of the drug in humans and the side effects associated with increasing doses as well as, if possible, to gain early evidence on effectiveness. Phase 2 usually involves trials in a limited patient population to evaluate dosage tolerance and appropriate dosage, identify possible adverse effects and safety risks and preliminarily evaluate the efficacy of the drug for specific indications. Phase 3 trials are large trials used to further evaluate clinical efficacy and test further for safety by using the drug in its final form in an expanded patient population. There can be no assurance that we or our licensees will successfully complete Phase 1, Phase 2 or Phase 3 testing with respect to any therapeutic candidate within any specified period of time, if at all. Furthermore, clinical trials may be suspended at any time on various grounds, including a finding that the subjects or patients are being exposed to an unacceptable health risk. We and our licensees perform preclinical and clinical testing outside of the United States. The acceptability of the results of our preclinical and clinical testing by the FDA will be dependent upon adherence to applicable U.S. and foreign standards and requirements, including GLP, GCP and the Declaration of Helsinki for protection of human subjects. Additionally, the FDA may require at least one pivotal clinical study to be conducted in the United States, in order to take into account medical practice and ethnic diversity in the United States.</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NDAs and BLAs</w:t>
      </w:r>
    </w:p>
    <w:p>
      <w:pPr>
        <w:spacing w:after="0" w:line="254" w:lineRule="exact"/>
        <w:rPr>
          <w:sz w:val="20"/>
          <w:szCs w:val="20"/>
          <w:color w:val="auto"/>
        </w:rPr>
      </w:pPr>
    </w:p>
    <w:p>
      <w:pPr>
        <w:ind w:right="20" w:firstLine="584"/>
        <w:spacing w:after="0" w:line="273" w:lineRule="auto"/>
        <w:rPr>
          <w:sz w:val="20"/>
          <w:szCs w:val="20"/>
          <w:color w:val="auto"/>
        </w:rPr>
      </w:pPr>
      <w:r>
        <w:rPr>
          <w:rFonts w:ascii="Arial" w:cs="Arial" w:eastAsia="Arial" w:hAnsi="Arial"/>
          <w:sz w:val="15"/>
          <w:szCs w:val="15"/>
          <w:color w:val="auto"/>
        </w:rPr>
        <w:t>After successful completion of the required clinical testing, an NDA, or in the case of certain biological products a Biological Product Application, or BLA, is prepared and submitted to the FDA. FDA approval of the NDA or BLA is required before product marketing may begin in the United States. The NDA/BLA must include the preclinical and clinical testing results and a compilation of detailed information relating to the product's pharmacology, toxicology, chemistry, manufacture and manufacturing controls. In certain cases, an application for marketing approval may include information regarding the safety and efficacy of a proposed drug that comes from trials not conducted by, or for, the applicant and for which trials the applicant has not obtained a specific right of reference. Such an application, known as a 505(b)(2) NDA, is permitted for new drug products that incorporate previously approved active ingredients, even if the proposed new drug incorporates an approved active ingredient in a novel formulation or for a new indication. Although 505(b)(2) is a type of NDA, it has been used in the U.S. to obtain approval of follow-on biologics (also termed biosimilars) where limited clinical data is necessary to show that the follow-on is the same as the reference product. However, 505(b)(2) can be used to seek approval for a biologic only until March 23, 2020, and only for follow-on biologics of a class for which a product has already been approved under 505(b)(2). In this way, several natural source products and recombinant proteins have been approved as generic drugs under Section 505(b)(2) of the FDCA. An additional pathway for approval of follow-on biologics is discussed in the section "Generic Competition" below. As interpreted by the FDA, Section 505(b)(2) also permits the FDA to rely for such approvals on literature or on a finding by the FDA of safety and/or efficacy for a previously approved drug product. Under this interpretation, a 505(b)(2) NDA for changes to a previously approved drug product may rely on the FDA's finding of safety and efficacy of the previously approved product coupled with new clinical data and information needed by the FDA to support the change. NDAs submitted under 505(b)(2) are potentially subject to patent and non-patent exclusivity provisions which can block effective approval of the 505(b)(2) application until the applicable exclusivities have expired, which in the case of patents may be several years. The cost of preparing and submitting an NDA may be substantial. Under U.S. federal law, the submission of NDAs, including 505(b)(2) NDAs, is generally subject to substantial application user fees, and the manufacturer and/or sponsor under an NDA approved by the FDA is also subject to annual product and establishment user fees. These fees are typically increased annually. Separate fees are payable for an Abbreviated New Drug Application, or ANDA, and for Biosimilar Biological Product Development, or BPD.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ind w:right="40" w:firstLine="584"/>
        <w:spacing w:after="0" w:line="259" w:lineRule="auto"/>
        <w:rPr>
          <w:sz w:val="20"/>
          <w:szCs w:val="20"/>
          <w:color w:val="auto"/>
        </w:rPr>
      </w:pPr>
      <w:r>
        <w:rPr>
          <w:rFonts w:ascii="Arial" w:cs="Arial" w:eastAsia="Arial" w:hAnsi="Arial"/>
          <w:sz w:val="16"/>
          <w:szCs w:val="16"/>
          <w:color w:val="auto"/>
        </w:rPr>
        <w:t>The FDA has 60 days from its receipt of an NDA to determine whether the application will be accepted for filing based on the FDA threshold determination that the NDA is sufficiently complete to permit substantive review. Once the submission is accepted for filing, the FDA begins an in-depth review of the NDA. Under U.S. federal law, the FDA has agreed to certain performance goals in the review of NDAs. Most such applications for non-priority drug products are to be reviewed within 10 months. The review process may be significantly extended by FDA requests for additional information or clarification. The FDA may also refer applications to an advisory committee, typically a panel that includes clinicians and other experts, for review, evaluation and a recommendation as to whether the application should be approved. This often, but not exclusively, occurs for novel drug products or drug products that present difficult questions of safety or efficacy. The FDA is not bound by the recommendation of an advisory committee.</w:t>
      </w:r>
    </w:p>
    <w:p>
      <w:pPr>
        <w:spacing w:after="0" w:line="217" w:lineRule="exact"/>
        <w:rPr>
          <w:sz w:val="20"/>
          <w:szCs w:val="20"/>
          <w:color w:val="auto"/>
        </w:rPr>
      </w:pPr>
    </w:p>
    <w:p>
      <w:pPr>
        <w:ind w:firstLine="584"/>
        <w:spacing w:after="0" w:line="300" w:lineRule="auto"/>
        <w:rPr>
          <w:sz w:val="20"/>
          <w:szCs w:val="20"/>
          <w:color w:val="auto"/>
        </w:rPr>
      </w:pPr>
      <w:r>
        <w:rPr>
          <w:rFonts w:ascii="Arial" w:cs="Arial" w:eastAsia="Arial" w:hAnsi="Arial"/>
          <w:sz w:val="14"/>
          <w:szCs w:val="14"/>
          <w:color w:val="auto"/>
        </w:rPr>
        <w:t>Before approving an application, the FDA typically will inspect the facility or facilities where the product is manufactured. The FDA will not approve the application unless the FDA determines that the product is manufactured in substantial compliance with GMP. If the FDA determines that the NDA or BLA is supported by adequate data and information, the FDA may issue an approval letter. During review, the FDA may request additional information via an information request, or IR letter, or state deficiencies via a deficiency letter, or DR letter. Upon compliance with the conditions stated, the FDA will typically issue an approval letter. An approval letter authorizes commercial marketing of the drug with specific prescribing information for specific indications. As a condition of approval, the FDA may require additional trials or post-approval testing and surveillance to monitor the drug's safety or efficacy, the adoption of risk evaluation and mitigation strategies, and may impose other conditions, including labeling and marketing restrictions on the use of the drug, which can materially affect its potential market and profitability. Once granted, product approvals may be withdrawn if compliance with regulatory standards for manufacturing and quality control are not maintained or if additional safety problems are identified following initial marketing.</w:t>
      </w:r>
    </w:p>
    <w:p>
      <w:pPr>
        <w:spacing w:after="0" w:line="192" w:lineRule="exact"/>
        <w:rPr>
          <w:sz w:val="20"/>
          <w:szCs w:val="20"/>
          <w:color w:val="auto"/>
        </w:rPr>
      </w:pPr>
    </w:p>
    <w:p>
      <w:pPr>
        <w:ind w:firstLine="584"/>
        <w:spacing w:after="0" w:line="257" w:lineRule="auto"/>
        <w:rPr>
          <w:sz w:val="20"/>
          <w:szCs w:val="20"/>
          <w:color w:val="auto"/>
        </w:rPr>
      </w:pPr>
      <w:r>
        <w:rPr>
          <w:rFonts w:ascii="Arial" w:cs="Arial" w:eastAsia="Arial" w:hAnsi="Arial"/>
          <w:sz w:val="16"/>
          <w:szCs w:val="16"/>
          <w:color w:val="auto"/>
        </w:rPr>
        <w:t>If the FDA's evaluation of the NDA or BLA submission or manufacturing processes and facilities is not favorable, the FDA may refuse to approve the NDA or BLA and may issue a complete response letter. The complete response letter indicates that the review cycle for an application is complete and that the application is not ready for approval. The complete response letter will describe specific deficiencies and, when possible, will outline recommended actions the applicant might take in order to place the application in condition for approval. Following receipt of a complete response letter, the company may submit additional information and start a new review cycle, withdraw the application or request a hearing. Failure to take any of the above actions may result in the FDA considering the application withdrawn following 1 year from issuance of the complete response letter. In such cases, the FDA will notify the company and the company will have 30 days to respond and request an extension of time in which to resubmit the application. The FDA may grant reasonable requests for extension. If the company does not respond within 30 days of the FDA's notification, the application will be considered withdrawn. Even with submission of additional information for a new review cycle, the FDA ultimately may decide that the application does not satisfy the regulatory criteria for approval.</w:t>
      </w:r>
    </w:p>
    <w:p>
      <w:pPr>
        <w:spacing w:after="0" w:line="224" w:lineRule="exact"/>
        <w:rPr>
          <w:sz w:val="20"/>
          <w:szCs w:val="20"/>
          <w:color w:val="auto"/>
        </w:rPr>
      </w:pPr>
    </w:p>
    <w:p>
      <w:pPr>
        <w:ind w:right="80" w:firstLine="584"/>
        <w:spacing w:after="0" w:line="276" w:lineRule="auto"/>
        <w:rPr>
          <w:sz w:val="20"/>
          <w:szCs w:val="20"/>
          <w:color w:val="auto"/>
        </w:rPr>
      </w:pPr>
      <w:r>
        <w:rPr>
          <w:rFonts w:ascii="Arial" w:cs="Arial" w:eastAsia="Arial" w:hAnsi="Arial"/>
          <w:sz w:val="15"/>
          <w:szCs w:val="15"/>
          <w:color w:val="auto"/>
        </w:rPr>
        <w:t>The Pediatric Research Equity Act, or PREA, requires NDAs (or NDA supplements) for a new active ingredient, new indication, new dosage form, new dosing regimen or new route of administration to contain results assessing the safety and efficacy for the claimed indication in all relevant pediatric subpopulations. Data to support dosing and administration also must be provided for each pediatric subpopulation for which the drug is safe and effective. The FDA may grant deferrals for the submission of results or full or partial waivers from the PREA requirements (for example, if the product is ready for approval in adults before pediatric studies are complete, if additional safety data is needed, among others). In addition, under the Best Pharmaceuticals for Children Act, or BPCA, the FDA may issue a written request to the company to conduct clinical trials in the pediatric population that are related to the moiety and expand on the claimed indication. The studies are voluntary, but may award the company with 6 months of marketing exclusivity if conducted according to good scientific principles and address the written request. Finally, a sponsor can request that a product that must be studied under PREA to be studied also under the BPCA to allow the sponsor to be eligible for six-months of pediatric exclusivity. The pediatric studies requested under BPCA are usually more extensive and would generally also fulfill the PREA requirement; however, even if the sponsor does not complete the studies outlined in the BPCA written request, it is still required to complete any studies required under PREA.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6" w:name="page57"/>
    <w:bookmarkEnd w:id="56"/>
    <w:p>
      <w:pPr>
        <w:ind w:left="580"/>
        <w:spacing w:after="0"/>
        <w:rPr>
          <w:sz w:val="20"/>
          <w:szCs w:val="20"/>
          <w:color w:val="auto"/>
        </w:rPr>
      </w:pPr>
      <w:r>
        <w:rPr>
          <w:rFonts w:ascii="Arial" w:cs="Arial" w:eastAsia="Arial" w:hAnsi="Arial"/>
          <w:sz w:val="16"/>
          <w:szCs w:val="16"/>
          <w:b w:val="1"/>
          <w:bCs w:val="1"/>
          <w:i w:val="1"/>
          <w:iCs w:val="1"/>
          <w:color w:val="auto"/>
        </w:rPr>
        <w:t>Post-Marketing Requirements</w:t>
      </w:r>
    </w:p>
    <w:p>
      <w:pPr>
        <w:spacing w:after="0" w:line="254" w:lineRule="exact"/>
        <w:rPr>
          <w:sz w:val="20"/>
          <w:szCs w:val="20"/>
          <w:color w:val="auto"/>
        </w:rPr>
      </w:pPr>
    </w:p>
    <w:p>
      <w:pPr>
        <w:ind w:right="20" w:firstLine="584"/>
        <w:spacing w:after="0" w:line="275" w:lineRule="auto"/>
        <w:rPr>
          <w:sz w:val="20"/>
          <w:szCs w:val="20"/>
          <w:color w:val="auto"/>
        </w:rPr>
      </w:pPr>
      <w:r>
        <w:rPr>
          <w:rFonts w:ascii="Arial" w:cs="Arial" w:eastAsia="Arial" w:hAnsi="Arial"/>
          <w:sz w:val="15"/>
          <w:szCs w:val="15"/>
          <w:color w:val="auto"/>
        </w:rPr>
        <w:t>Once an NDA or BLA is approved, the drug sponsor will be subject to certain post-approval requirements, including requirements for adverse event reporting, submission of periodic reports, manufacturing, labeling, packaging, advertising, promotion, distribution, record-keeping and other requirements. For example, the approval may be subject to limitations on the uses for which the product may be marketed or conditions of approval, or contain requirements for costly post-marketing testing and surveillance to monitor the safety or efficacy of the product or require the adoption of risk evaluation and mitigation strategies. In addition, the FDA requires the reporting of any adverse effects observed after the approval or marketing of a therapeutic candidate and such events could result in limitations on the use of such approved product or its withdrawal from the marketplace. Also, some types of changes to the approved product, such as manufacturing changes and labeling claims, are subject to further FDA review and approval. Additionally, the FDA strictly regulates the promotional claims that may be made about prescription drug products. In particular, the FDA requires substantiation of any claims of superiority of one product over another including, in many cases, requirements that such claims be proven by adequate and well controlled head-to-head clinical trials. To the extent that market acceptance of our therapeutic candidates may depend on their superiority over existing products, any restriction on our ability to advertise or otherwise promote claims of superiority, or any requirements to conduct additional expensive clinical trials to provide proof of such claims, could negatively affect the sales of our therapeutic candidates and our costs.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Generic Competition</w:t>
      </w:r>
    </w:p>
    <w:p>
      <w:pPr>
        <w:spacing w:after="0" w:line="254"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Once an NDA, including a 505(b)(2) NDA, is approved, the product covered thereby becomes a "listed drug" which can, in turn, be cited by potential competitors in support of filing of an ANDA, under section 505(j), of the Federal Food, Drug and Cosmetic Act which relies on bioequivalence studies that compare the generic drug to a reference listed drug to support approval. Specifically, a generic drug that is the subject of an ANDA must be bioequivalent and have the same active ingredient(s), route of administration, dosage form, and strength, as well as the same labeling, with certain exceptions, as the listed drug. If the FDA deems that any of these requirements are not met, additional results may be necessary to seek approval.</w:t>
      </w:r>
    </w:p>
    <w:p>
      <w:pPr>
        <w:spacing w:after="0" w:line="168" w:lineRule="exact"/>
        <w:rPr>
          <w:sz w:val="20"/>
          <w:szCs w:val="20"/>
          <w:color w:val="auto"/>
        </w:rPr>
      </w:pPr>
    </w:p>
    <w:p>
      <w:pPr>
        <w:ind w:firstLine="584"/>
        <w:spacing w:after="0" w:line="282" w:lineRule="auto"/>
        <w:rPr>
          <w:sz w:val="20"/>
          <w:szCs w:val="20"/>
          <w:color w:val="auto"/>
        </w:rPr>
      </w:pPr>
      <w:r>
        <w:rPr>
          <w:rFonts w:ascii="Arial" w:cs="Arial" w:eastAsia="Arial" w:hAnsi="Arial"/>
          <w:sz w:val="15"/>
          <w:szCs w:val="15"/>
          <w:color w:val="auto"/>
        </w:rPr>
        <w:t>ANDA applicants do not have to conduct extensive clinical trials to prove the safety or efficacy of the drug product. Rather, they are required to show that their drug is pharmaceutically equivalent to the innovator's drug and also conduct "bioequivalence" testing to show that the rate and extent by which the ANDA applicant's drug is absorbed does not differ significantly from the innovator product. Bioequivalence tests are typically in vivo studies in humans but they are smaller and less costly than the types of Phase 3 trials required to obtain initial approval of a new drug. Drugs approved in this way are commonly referred to as "generic equivalents" to the listed drug, are listed as such by the FDA, and can often be substituted by pharmacists under prescriptions written for the original listed drug.</w:t>
      </w:r>
    </w:p>
    <w:p>
      <w:pPr>
        <w:spacing w:after="0" w:line="204"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With respect to NDAs, U.S. federal law provides for a period of three years of non-patent market exclusivity following the approval of a listed drug that contains previously approved active ingredients but is approved in a new dosage, dosage form, route of administration or combination, or for a new use, the approval of which was required to be supported by new clinical trials, other than bioavailability studies, conducted by or for the sponsor. During this three-year period the FDA cannot grant effective approval of an ANDA or a 505(b)(2) NDA for the same conditions of approval under which the NDA was approved.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7" w:name="page58"/>
    <w:bookmarkEnd w:id="57"/>
    <w:p>
      <w:pPr>
        <w:ind w:firstLine="584"/>
        <w:spacing w:after="0" w:line="275" w:lineRule="auto"/>
        <w:rPr>
          <w:sz w:val="20"/>
          <w:szCs w:val="20"/>
          <w:color w:val="auto"/>
        </w:rPr>
      </w:pPr>
      <w:r>
        <w:rPr>
          <w:rFonts w:ascii="Arial" w:cs="Arial" w:eastAsia="Arial" w:hAnsi="Arial"/>
          <w:sz w:val="15"/>
          <w:szCs w:val="15"/>
          <w:color w:val="auto"/>
        </w:rPr>
        <w:t>U.S. federal law also provides a period of five years following approval of a new chemical entity that is a drug containing no previously approved active ingredients, during which ANDAs for generic versions of such drugs, as well as 505(b)(2) NDAs, cannot be submitted unless the submission contains a certification that the listed patent is invalid or will not be infringed, in which case the submission may be made four years following the original product approval. If an ANDA or 505(b)(2) NDA applicant certifies that it believes one or more listed patents is invalid or not infringed, it is required to provide notice of its filing to the NDA sponsor and the patent holder. If the patent holder or exclusive patent licensee then initiates a suit for patent infringement against the ANDA or 505(b)(2) NDA sponsor within 45 days of receipt of the notice, the FDA cannot grant effective approval of the ANDA or 505(b)(2) NDA until either 30 months have passed or there has been a court decision holding that the patents in question are invalid or not infringed. If an infringement action is not brought within 45 days, the ANDA or 505(b)(2) NDA applicant may bring a declaratory judgment action to determine patent issues prior to marketing. If the ANDA or 505(b)(2) NDA applicant certifies as to the date on which the listed patents will expire, then the FDA cannot grant effective approval of the ANDA or 505(b)(2) NDA until those patents expire. The first ANDA(s) submitting substantially complete application(s) certifying that listed patents for a particular product are invalid or not infringed may qualify for a period of 180 days of marketing exclusivity, starting from the date of the first commercial marketing of the drug by the applicant, during which subsequently submitted ANDAs cannot be granted effective approval. The first ANDA applicant can forfeit its exclusivity under certain circumstances; for example, if it fails to market its product or meet other regulatory requirements within specified time periods.</w:t>
      </w:r>
    </w:p>
    <w:p>
      <w:pPr>
        <w:spacing w:after="0" w:line="210" w:lineRule="exact"/>
        <w:rPr>
          <w:sz w:val="20"/>
          <w:szCs w:val="20"/>
          <w:color w:val="auto"/>
        </w:rPr>
      </w:pPr>
    </w:p>
    <w:p>
      <w:pPr>
        <w:ind w:right="40" w:firstLine="584"/>
        <w:spacing w:after="0" w:line="261" w:lineRule="auto"/>
        <w:rPr>
          <w:sz w:val="20"/>
          <w:szCs w:val="20"/>
          <w:color w:val="auto"/>
        </w:rPr>
      </w:pPr>
      <w:r>
        <w:rPr>
          <w:rFonts w:ascii="Arial" w:cs="Arial" w:eastAsia="Arial" w:hAnsi="Arial"/>
          <w:sz w:val="16"/>
          <w:szCs w:val="16"/>
          <w:color w:val="auto"/>
        </w:rPr>
        <w:t>Section 7002 of the Patient Protection and Affordable Care Act, which is referred to as the Biologics Price Competition and Innovation Act of 2009, or BPCIA, amends Section 351 of the Public Health Service Act to create an abbreviated BLA for 'highly similar' biological products; the abbreviated BLA permits a follow-on biological product to be evaluated against only a single reference biological product. To be considered for an abbreviated BLA, the biosimilar must have the same presumed mechanism of action, route of administration, dosage form and potency as the innovator product. It may only be reviewed and approved for indications for which the FDA already has approved the innovator product.</w:t>
      </w:r>
    </w:p>
    <w:p>
      <w:pPr>
        <w:spacing w:after="0" w:line="168" w:lineRule="exact"/>
        <w:rPr>
          <w:sz w:val="20"/>
          <w:szCs w:val="20"/>
          <w:color w:val="auto"/>
        </w:rPr>
      </w:pPr>
    </w:p>
    <w:p>
      <w:pPr>
        <w:ind w:right="100" w:firstLine="584"/>
        <w:spacing w:after="0" w:line="260" w:lineRule="auto"/>
        <w:rPr>
          <w:sz w:val="20"/>
          <w:szCs w:val="20"/>
          <w:color w:val="auto"/>
        </w:rPr>
      </w:pPr>
      <w:r>
        <w:rPr>
          <w:rFonts w:ascii="Arial" w:cs="Arial" w:eastAsia="Arial" w:hAnsi="Arial"/>
          <w:sz w:val="16"/>
          <w:szCs w:val="16"/>
          <w:color w:val="auto"/>
        </w:rPr>
        <w:t>The BPCIA provides the manufacturer of the innovator product with economic protection by granting a period of "exclusivity" during which follow-on products may not be approved. A BLA for approval of a follow-on biological product may not be submitted for 4 years after the reference product was initially approved. The FDA may not approve a BLA for a follow-on biological product until 12 years after the reference product was first licensed. No additional period of exclusivity will be granted to a previously licensed biologic product when subsequent applications are made for a new indication, route of administration, dosage form, or dosing strength. However, each of the periods of exclusivity may be extended by 6 months if studies of the innovator biological product in the pediatric population are requested by the U.S. Secretary of Health and Human Services and carried out.</w:t>
      </w:r>
    </w:p>
    <w:p>
      <w:pPr>
        <w:spacing w:after="0" w:line="217" w:lineRule="exact"/>
        <w:rPr>
          <w:sz w:val="20"/>
          <w:szCs w:val="20"/>
          <w:color w:val="auto"/>
        </w:rPr>
      </w:pPr>
    </w:p>
    <w:p>
      <w:pPr>
        <w:ind w:right="40" w:firstLine="584"/>
        <w:spacing w:after="0" w:line="268" w:lineRule="auto"/>
        <w:rPr>
          <w:sz w:val="20"/>
          <w:szCs w:val="20"/>
          <w:color w:val="auto"/>
        </w:rPr>
      </w:pPr>
      <w:r>
        <w:rPr>
          <w:rFonts w:ascii="Arial" w:cs="Arial" w:eastAsia="Arial" w:hAnsi="Arial"/>
          <w:sz w:val="16"/>
          <w:szCs w:val="16"/>
          <w:color w:val="auto"/>
        </w:rPr>
        <w:t>To encourage the development of biosimilars, the BPCIA grants 1 year of exclusive marketing rights to the first follow-on biological that is approved as being "interchangeable" with a reference product. If patent litigation between the manufacturers of the follow-on and innovator products is ongoing, this period of exclusivity may be extended for up to 42 months.</w:t>
      </w:r>
    </w:p>
    <w:p>
      <w:pPr>
        <w:spacing w:after="0" w:line="212"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From time to time, including presently, legislation is drafted and introduced in the U.S. Congress that could significantly change the statutory provisions governing the approval, manufacturing and marketing of drug products. In addition, FDA regulations and guidance are often revised or reinterpreted by the agency in ways that may significantly affect our business and our therapeutic candidates. It is impossible to predict whether legislative changes will be enacted, or FDA regulations, guidance or interpretations changed, or what the impact of such changes, if any, may be.</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FDA Approval or Clearance of Medical Devices</w:t>
      </w:r>
    </w:p>
    <w:p>
      <w:pPr>
        <w:spacing w:after="0" w:line="254" w:lineRule="exact"/>
        <w:rPr>
          <w:sz w:val="20"/>
          <w:szCs w:val="20"/>
          <w:color w:val="auto"/>
        </w:rPr>
      </w:pPr>
    </w:p>
    <w:p>
      <w:pPr>
        <w:ind w:right="100" w:firstLine="584"/>
        <w:spacing w:after="0" w:line="283" w:lineRule="auto"/>
        <w:rPr>
          <w:sz w:val="20"/>
          <w:szCs w:val="20"/>
          <w:color w:val="auto"/>
        </w:rPr>
      </w:pPr>
      <w:r>
        <w:rPr>
          <w:rFonts w:ascii="Arial" w:cs="Arial" w:eastAsia="Arial" w:hAnsi="Arial"/>
          <w:sz w:val="16"/>
          <w:szCs w:val="16"/>
          <w:color w:val="auto"/>
        </w:rPr>
        <w:t>In the United States, medical devices are subject to varying degrees of regulatory control and are classified in one of three classes depending on the controls the FDA determines necessary to reasonably ensure their safety and efficacy:</w:t>
      </w:r>
    </w:p>
    <w:p>
      <w:pPr>
        <w:spacing w:after="0" w:line="199" w:lineRule="exact"/>
        <w:rPr>
          <w:sz w:val="20"/>
          <w:szCs w:val="20"/>
          <w:color w:val="auto"/>
        </w:rPr>
      </w:pPr>
    </w:p>
    <w:p>
      <w:pPr>
        <w:ind w:left="1160" w:right="260" w:hanging="578"/>
        <w:spacing w:after="0" w:line="283"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Class I: general controls, such as labeling and adherence to QSRs. Some Class I medical devices require 510(k) pre-market notification although most are exempt;</w:t>
      </w:r>
    </w:p>
    <w:p>
      <w:pPr>
        <w:spacing w:after="0" w:line="199" w:lineRule="exact"/>
        <w:rPr>
          <w:rFonts w:ascii="Arial" w:cs="Arial" w:eastAsia="Arial" w:hAnsi="Arial"/>
          <w:sz w:val="16"/>
          <w:szCs w:val="16"/>
          <w:color w:val="auto"/>
        </w:rPr>
      </w:pPr>
    </w:p>
    <w:p>
      <w:pPr>
        <w:ind w:left="1160" w:right="20" w:hanging="578"/>
        <w:spacing w:after="0" w:line="283" w:lineRule="auto"/>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Class II: general controls, 510(k) pre-market notification, and specific controls such as performance standards, patient registries, and postmarket surveillance; and</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Class III: general controls and approval of a pre-market approval, or PMA.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8" w:name="page59"/>
    <w:bookmarkEnd w:id="58"/>
    <w:p>
      <w:pPr>
        <w:ind w:right="80" w:firstLine="584"/>
        <w:spacing w:after="0" w:line="283" w:lineRule="auto"/>
        <w:rPr>
          <w:sz w:val="20"/>
          <w:szCs w:val="20"/>
          <w:color w:val="auto"/>
        </w:rPr>
      </w:pPr>
      <w:r>
        <w:rPr>
          <w:rFonts w:ascii="Arial" w:cs="Arial" w:eastAsia="Arial" w:hAnsi="Arial"/>
          <w:sz w:val="16"/>
          <w:szCs w:val="16"/>
          <w:color w:val="auto"/>
        </w:rPr>
        <w:t>All new devices are class III by operation of law unless the FDA (1) determines the new device to be substantially equivalent (SE) to a device previously classified in class I or class II, (2) grants a risk-based ("de novo") classification request, or (3) reclassifies the device into class I or II.</w:t>
      </w:r>
    </w:p>
    <w:p>
      <w:pPr>
        <w:spacing w:after="0" w:line="199" w:lineRule="exact"/>
        <w:rPr>
          <w:sz w:val="20"/>
          <w:szCs w:val="20"/>
          <w:color w:val="auto"/>
        </w:rPr>
      </w:pPr>
    </w:p>
    <w:p>
      <w:pPr>
        <w:ind w:right="20" w:firstLine="584"/>
        <w:spacing w:after="0" w:line="275" w:lineRule="auto"/>
        <w:rPr>
          <w:sz w:val="20"/>
          <w:szCs w:val="20"/>
          <w:color w:val="auto"/>
        </w:rPr>
      </w:pPr>
      <w:r>
        <w:rPr>
          <w:rFonts w:ascii="Arial" w:cs="Arial" w:eastAsia="Arial" w:hAnsi="Arial"/>
          <w:sz w:val="15"/>
          <w:szCs w:val="15"/>
          <w:color w:val="auto"/>
        </w:rPr>
        <w:t>A PMA application must provide a demonstration of safety and effectiveness, which generally requires extensive preclinical and clinical trial data. Information about the device and its components, device design, manufacturing and labeling, among other information, must also be included in the PMA. As part of the PMA review, the FDA will typically inspect the manufacturer's facilities for compliance with QSR requirements, which govern testing, control, documentation and other aspects of quality assurance with respect to manufacturing. During the review period, an FDA advisory committee, typically a panel of clinicians, is likely to be convened to review the application and recommend to the FDA whether, or upon what conditions, the device should be approved. The FDA is not bound by the advisory panel decision, but the FDA often follows the panel's recommendation. If the FDA finds the information satisfactory, it will approve the PMA. The PMA can include post-approval conditions including, among other things, restrictions on labeling, promotion, sale and distribution, or requirements to do additional clinical studies post-approval. Even after approval of a PMA, a new PMA or PMA supplement is required to authorize certain modifications to the device, its labeling or its manufacturing process. Supplements to a PMA often require the submission of the same type of information required for an original PMA, except that the supplement is generally limited to that information needed to support the proposed change from the product covered by the original PMA. During the review of a PMA, the FDA may request more information or additional studies and may decide that the indications for which we seek approval or clearance should be limited.</w:t>
      </w:r>
    </w:p>
    <w:p>
      <w:pPr>
        <w:spacing w:after="0" w:line="212"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If human clinical trials of a medical device are required and the device presents a significant risk, the sponsor of the trial must file an investigational device exemption, or IDE, application prior to commencing human clinical trials. The IDE application must be supported by data, typically including the results of animal and/or laboratory testing. If the IDE application is approved by the FDA, human clinical trials may begin at a specific number of investigational sites with a specific number of patients, as approved by the FDA upon receipt of the respective IRB approvals. If the device presents a non-significant risk to the patient, a sponsor may begin the clinical trial after obtaining approval for the trial by one or more institutional review boards without separate approval from the FDA. Submission of an IDE does not give assurance that the FDA will approve the IDE and, if it is approved, the FDA may determine that the data derived from the trials do not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indication or the rights, safety or welfare of human subjects. The trial also must comply with the FDA's IDE regulations and informed consent must be obtained from each subject.</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European Economic Area</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Clinical Trials</w:t>
      </w:r>
    </w:p>
    <w:p>
      <w:pPr>
        <w:spacing w:after="0" w:line="254" w:lineRule="exact"/>
        <w:rPr>
          <w:sz w:val="20"/>
          <w:szCs w:val="20"/>
          <w:color w:val="auto"/>
        </w:rPr>
      </w:pPr>
    </w:p>
    <w:p>
      <w:pPr>
        <w:ind w:firstLine="584"/>
        <w:spacing w:after="0" w:line="278" w:lineRule="auto"/>
        <w:rPr>
          <w:sz w:val="20"/>
          <w:szCs w:val="20"/>
          <w:color w:val="auto"/>
        </w:rPr>
      </w:pPr>
      <w:r>
        <w:rPr>
          <w:rFonts w:ascii="Arial" w:cs="Arial" w:eastAsia="Arial" w:hAnsi="Arial"/>
          <w:sz w:val="15"/>
          <w:szCs w:val="15"/>
          <w:color w:val="auto"/>
        </w:rPr>
        <w:t>The European Medicines Agency relies on the results of clinical trials carried out by pharmaceutical companies to reach its opinions on the authorization of medicines. Although the authorization of clinical trials occurs at member state level, the Agency plays a key role in ensuring that the standards of good clinical practice (GCP) are applied across the European Economic Area (EEA) in cooperation with the member states. It also manages a database of clinical trials carried out in the EU. Clinical trials are currently regulated under Directive 2001/20/EC. However, in April 2014 a new regulation on clinical trials on medicinal products for human use was adopted. Regulation 536/2014, or Regulation, entered into force on in June 2014 but will apply no earlier than May 28, 2016. The Regulation will apply to interventional clinical trials on medicines once the Regulation is in operation, expected in 2018, and to all trials authorized under the previous legislation (Directive (EC) No. 2001/20/EC) and still ongoing three years (the transition period) after the Regulation has come into operation. The Regulation ensures that:</w:t>
      </w:r>
    </w:p>
    <w:p>
      <w:pPr>
        <w:spacing w:after="0" w:line="209" w:lineRule="exact"/>
        <w:rPr>
          <w:sz w:val="20"/>
          <w:szCs w:val="20"/>
          <w:color w:val="auto"/>
        </w:rPr>
      </w:pPr>
    </w:p>
    <w:p>
      <w:pPr>
        <w:ind w:left="1160" w:hanging="286"/>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rules for conducting clinical trials are consistent throughout the EU;</w:t>
      </w:r>
    </w:p>
    <w:p>
      <w:pPr>
        <w:spacing w:after="0" w:line="254" w:lineRule="exact"/>
        <w:rPr>
          <w:rFonts w:ascii="Arial" w:cs="Arial" w:eastAsia="Arial" w:hAnsi="Arial"/>
          <w:sz w:val="16"/>
          <w:szCs w:val="16"/>
          <w:color w:val="auto"/>
        </w:rPr>
      </w:pPr>
    </w:p>
    <w:p>
      <w:pPr>
        <w:ind w:left="1160" w:hanging="286"/>
        <w:spacing w:after="0"/>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transparent information is made publicly available on the authorization, conduct, and results of each clinical trial carried out in the EU.</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9" w:name="page60"/>
    <w:bookmarkEnd w:id="59"/>
    <w:p>
      <w:pPr>
        <w:ind w:left="580"/>
        <w:spacing w:after="0"/>
        <w:rPr>
          <w:sz w:val="20"/>
          <w:szCs w:val="20"/>
          <w:color w:val="auto"/>
        </w:rPr>
      </w:pPr>
      <w:r>
        <w:rPr>
          <w:rFonts w:ascii="Arial" w:cs="Arial" w:eastAsia="Arial" w:hAnsi="Arial"/>
          <w:sz w:val="16"/>
          <w:szCs w:val="16"/>
          <w:b w:val="1"/>
          <w:bCs w:val="1"/>
          <w:i w:val="1"/>
          <w:iCs w:val="1"/>
          <w:color w:val="auto"/>
        </w:rPr>
        <w:t>Marketing Authorization Procedures</w:t>
      </w:r>
    </w:p>
    <w:p>
      <w:pPr>
        <w:spacing w:after="0" w:line="254" w:lineRule="exact"/>
        <w:rPr>
          <w:sz w:val="20"/>
          <w:szCs w:val="20"/>
          <w:color w:val="auto"/>
        </w:rPr>
      </w:pPr>
    </w:p>
    <w:p>
      <w:pPr>
        <w:ind w:right="160" w:firstLine="584"/>
        <w:spacing w:after="0" w:line="313" w:lineRule="auto"/>
        <w:rPr>
          <w:sz w:val="20"/>
          <w:szCs w:val="20"/>
          <w:color w:val="auto"/>
        </w:rPr>
      </w:pPr>
      <w:r>
        <w:rPr>
          <w:rFonts w:ascii="Arial" w:cs="Arial" w:eastAsia="Arial" w:hAnsi="Arial"/>
          <w:sz w:val="14"/>
          <w:szCs w:val="14"/>
          <w:color w:val="auto"/>
        </w:rPr>
        <w:t>A medicinal product may only be placed on the market in the EEA composed of the 28 EU member states, plus Norway, Iceland and Lichtenstein, when a marketing authorization has been issued by the competent authority of a member state pursuant to Directive 2001/83/EC, as amended, or an authorization has been granted under the centralized procedure in accordance with Regulation (EC) No. 726/2004, as amended, or its predecessor, Regulation 2309/93. There are essentially three EU procedures created under prevailing European pharmaceutical legislation that, if successfully completed, allow an applicant to place a medicinal product on the market in the EEA.</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Centralized Procedure</w:t>
      </w:r>
    </w:p>
    <w:p>
      <w:pPr>
        <w:spacing w:after="0" w:line="254" w:lineRule="exact"/>
        <w:rPr>
          <w:sz w:val="20"/>
          <w:szCs w:val="20"/>
          <w:color w:val="auto"/>
        </w:rPr>
      </w:pPr>
    </w:p>
    <w:p>
      <w:pPr>
        <w:ind w:right="20" w:firstLine="584"/>
        <w:spacing w:after="0" w:line="292" w:lineRule="auto"/>
        <w:rPr>
          <w:sz w:val="20"/>
          <w:szCs w:val="20"/>
          <w:color w:val="auto"/>
        </w:rPr>
      </w:pPr>
      <w:r>
        <w:rPr>
          <w:rFonts w:ascii="Arial" w:cs="Arial" w:eastAsia="Arial" w:hAnsi="Arial"/>
          <w:sz w:val="14"/>
          <w:szCs w:val="14"/>
          <w:color w:val="auto"/>
        </w:rPr>
        <w:t>Regulation 726/2004/EC now governs the centralized procedure when a marketing authorization is granted by the European Commission, acting in its capacity as the European Licensing Authority on the advice of the EMA. That authorization is valid throughout the entire EEA and directly or (as to Norway, Iceland and Liechtenstein) indirectly allows the applicant to place the product on the market in all member states of the EEA. The EMA is the administrative body responsible for coordinating the existing scientific resources available in the member states for evaluation, supervision and pharmacovigilance of medicinal products. Certain medicinal products, as described in the Annex to Regulation 726/2004, must be authorized centrally. These are products that are developed by means of a biotechnological process in accordance with Paragraph 1 to the Annex to the Regulation or veterinary products designed to promote animal growth or increase yield in accordance with Paragraph 2. The mandatory centralized procedure is applicable to: (a) medicinal products for human use containing an active substance authorized in the EU after May 20, 2004 for which the therapeutic indication is the treatment of acquired immune deficiency syndrome, or AIDS, cancer, neurodegenerative disorder or diabetes; (b) autoimmune diseases and other immune dysfunctions and viral diseases; (c) all medicinal products that are designated as orphan medicinal products pursuant to Regulation 141/2000; and (d) medicines derived</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from biotechnology processes or advanced therapy medicinal products, such as gene therapy, tissue engineered and somatic cell therapy products. An applicant may also opt for assessment through the centralized procedure if it can show that the medicinal product constitutes a significant therapeutic, scientific or technical innovation or that the granting of authorization centrally is in the interests of patients at the EU level. For each application submitted to the EMA for scientific assessment, the EMA is required to ensure that the opinion of the Committee for Medicinal Products for Human Use, or CHMP, is given within 210 days after receipt of a valid application or within 150 days by means of an accelerated procedure. If the opinion is positive, the EMA is required to send the opinion to the European Commission, which is responsible for preparing the decision granting a marketing authorization, within 67 days. If the initial opinion of the CHMP is negative, the applicant is afforded an opportunity to seek a re-examination of the opinion. The CHMP is required to re-examine its opinion within 60 days following receipt of the request by the applicant. A refusal of a centralized marketing authorization constitutes a prohibition on placing the given medicinal product on the market in the EU.</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Mutual Recognition and Decentralized Procedures.</w:t>
      </w:r>
    </w:p>
    <w:p>
      <w:pPr>
        <w:spacing w:after="0" w:line="254" w:lineRule="exact"/>
        <w:rPr>
          <w:sz w:val="20"/>
          <w:szCs w:val="20"/>
          <w:color w:val="auto"/>
        </w:rPr>
      </w:pPr>
    </w:p>
    <w:p>
      <w:pPr>
        <w:ind w:right="120" w:firstLine="584"/>
        <w:spacing w:after="0" w:line="298" w:lineRule="auto"/>
        <w:rPr>
          <w:sz w:val="20"/>
          <w:szCs w:val="20"/>
          <w:color w:val="auto"/>
        </w:rPr>
      </w:pPr>
      <w:r>
        <w:rPr>
          <w:rFonts w:ascii="Arial" w:cs="Arial" w:eastAsia="Arial" w:hAnsi="Arial"/>
          <w:sz w:val="14"/>
          <w:szCs w:val="14"/>
          <w:color w:val="auto"/>
        </w:rPr>
        <w:t>With the exception of products that are authorized centrally, the competent authorities of the member states are responsible for granting marketing authorizations for medicinal products placed on their markets. If the applicant for a marketing authorization intends to market the same medicinal product in more than one member state, the applicant may seek an authorization progressively in the EU under the mutual recognition or decentralized procedure. Mutual recognition is used if the medicinal product has already been authorized in a member state. In this case, the holder of this marketing authorization requests the member state where the authorization has been granted to act as reference member state by preparing an updated assessment report that is then used to facilitate mutual recognition of the existing authorization in the other member states in which approval is sought (the so-called concerned member state(s)) in accordance with Article 28 of Directive 2001/83/EC. The reference member state must prepare an updated assessment report within 90 days of receipt of a valid application. This report together with the approved Summary of Product Characteristics, or SmPC (which sets out the conditions of use of the product), and a labeling and package leaflet are sent to the concerned member states for their consideration. The concerned member states are required to approve the assessment report, the SmPC and the labeling and package leaflet within 90 days of receipt of these documents. The total procedural time is 180 days.</w:t>
      </w:r>
    </w:p>
    <w:p>
      <w:pPr>
        <w:spacing w:after="0" w:line="198" w:lineRule="exact"/>
        <w:rPr>
          <w:sz w:val="20"/>
          <w:szCs w:val="20"/>
          <w:color w:val="auto"/>
        </w:rPr>
      </w:pPr>
    </w:p>
    <w:p>
      <w:pPr>
        <w:ind w:right="20" w:firstLine="584"/>
        <w:spacing w:after="0" w:line="280" w:lineRule="auto"/>
        <w:rPr>
          <w:sz w:val="20"/>
          <w:szCs w:val="20"/>
          <w:color w:val="auto"/>
        </w:rPr>
      </w:pPr>
      <w:r>
        <w:rPr>
          <w:rFonts w:ascii="Arial" w:cs="Arial" w:eastAsia="Arial" w:hAnsi="Arial"/>
          <w:sz w:val="15"/>
          <w:szCs w:val="15"/>
          <w:color w:val="auto"/>
        </w:rPr>
        <w:t>The decentralized procedure is used in cases where the medicinal product has not received a marketing authorization in the EU at the time of application. The applicant requests a member state of its choice to act as reference member state to prepare an assessment report that is then used to facilitate agreement with the concerned member states and the grant of a national marketing authorization in all of these member states. In this procedure, the reference member state must prepare, for consideration by the concerned member states, the draft assessment report, a draft SmPC and a draft of the labeling and package leaflet within 120 days after receipt of a valid application. As in the case of mutual recognition, the concerned member states are required to approve these documents within 90 days of their receipt. In both procedures, national marketing authorizations shall be granted within 30 days after acknowledgement of the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0" w:name="page61"/>
    <w:bookmarkEnd w:id="60"/>
    <w:p>
      <w:pPr>
        <w:ind w:right="20" w:firstLine="584"/>
        <w:spacing w:after="0" w:line="307" w:lineRule="auto"/>
        <w:rPr>
          <w:sz w:val="20"/>
          <w:szCs w:val="20"/>
          <w:color w:val="auto"/>
        </w:rPr>
      </w:pPr>
      <w:r>
        <w:rPr>
          <w:rFonts w:ascii="Arial" w:cs="Arial" w:eastAsia="Arial" w:hAnsi="Arial"/>
          <w:sz w:val="14"/>
          <w:szCs w:val="14"/>
          <w:color w:val="auto"/>
        </w:rPr>
        <w:t>For both mutual recognition and decentralized procedures, if a concerned member state objects to the grant of a marketing authorization on the grounds of a potential serious risk to public health, it may raise a reasoned objection with the reference member state. The points of disagreement are in the first instance referred to the Co-ordination Group on Mutual Recognition and Decentralized Procedures, or CMD, to reach an agreement within 60 days of the communication of the points of disagreement. If member states fail to reach an agreement, then the matter is referred to the EMA's scientific committee and CHMP for arbitration. The CHMP is required to deliver a reasoned opinion within 60 days of the date on which the matter is referred. The scientific opinion adopted by the CHMP forms the basis for a binding European Commission decision.</w:t>
      </w:r>
    </w:p>
    <w:p>
      <w:pPr>
        <w:spacing w:after="0" w:line="188" w:lineRule="exact"/>
        <w:rPr>
          <w:sz w:val="20"/>
          <w:szCs w:val="20"/>
          <w:color w:val="auto"/>
        </w:rPr>
      </w:pPr>
    </w:p>
    <w:p>
      <w:pPr>
        <w:ind w:right="40" w:firstLine="584"/>
        <w:spacing w:after="0" w:line="277" w:lineRule="auto"/>
        <w:rPr>
          <w:sz w:val="20"/>
          <w:szCs w:val="20"/>
          <w:color w:val="auto"/>
        </w:rPr>
      </w:pPr>
      <w:r>
        <w:rPr>
          <w:rFonts w:ascii="Arial" w:cs="Arial" w:eastAsia="Arial" w:hAnsi="Arial"/>
          <w:sz w:val="15"/>
          <w:szCs w:val="15"/>
          <w:color w:val="auto"/>
        </w:rPr>
        <w:t>Irrespective of whether the medicinal product is assessed centrally, de-centrally or through a process of mutual recognition, the medicinal product must be manufactured in accordance with the principles of good manufacturing practice as set out in Directive 2003/94/EC for medicines and investigational medicines for human use or Directive 91/412/EEC for medicines for veterinary use and Volume 4 of the "Rules Governing Medicinal Products in the European Community" and distributed in accordance with Directive 92/25/EEC and current guidance. Moreover, EU law requires the clinical results in support of clinical safety and efficacy to be based upon clinical trials conducted in the EU in compliance with the requirements of Directives 2001/20/EC and 2005/28/EC, which implement good clinical practice in the conduct of clinical trials on medicinal products for human use. Clinical trials conducted outside the EU and used to support applications for marketing within the EU must have been conducted in a way consistent with the principles set out in Directive 2001/20/EC. The conduct of a clinical trial in the EU requires, pursuant to Directive 2001/20/EC, authorization by the relevant national competent authority where a trial takes place, and an ethics committee to have issued a favorable opinion in relation to the arrangements for the trial. It also requires that the sponsor of the trial, or a person authorized to act on his behalf in relation to the trial, be established in the EU.</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National Procedure</w:t>
      </w:r>
    </w:p>
    <w:p>
      <w:pPr>
        <w:spacing w:after="0" w:line="254" w:lineRule="exact"/>
        <w:rPr>
          <w:sz w:val="20"/>
          <w:szCs w:val="20"/>
          <w:color w:val="auto"/>
        </w:rPr>
      </w:pPr>
    </w:p>
    <w:p>
      <w:pPr>
        <w:ind w:right="120" w:firstLine="584"/>
        <w:spacing w:after="0" w:line="261" w:lineRule="auto"/>
        <w:rPr>
          <w:sz w:val="20"/>
          <w:szCs w:val="20"/>
          <w:color w:val="auto"/>
        </w:rPr>
      </w:pPr>
      <w:r>
        <w:rPr>
          <w:rFonts w:ascii="Arial" w:cs="Arial" w:eastAsia="Arial" w:hAnsi="Arial"/>
          <w:sz w:val="16"/>
          <w:szCs w:val="16"/>
          <w:color w:val="auto"/>
        </w:rPr>
        <w:t>In order to increase availability of medicinal products, in particular on smaller markets, Article 126a of Directive 2001/83/EC, or Article 126a, provides that, in the absence of a marketing authorization or of a pending application for authorization for a medicinal product, which has already been authorized in another member state, a member state may for justified public health reasons authorize the placing on the market of that medicinal product. In such cases, the competent authority of the member state has to inform the marketing authorization holder in the member state in which the medicinal product concerned is authorized, of the proposal to authorize the placing on the market under this Article.</w:t>
      </w:r>
    </w:p>
    <w:p>
      <w:pPr>
        <w:spacing w:after="0" w:line="168"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When a member state avails itself of this possibility, it must adopt the necessary measures in order to ensure that the requirements for the labelling and package leaflet, classification of the medicinal product, advertising, pharmacovigilance and supervision and sanctions are complied with. For the specific mechanisms chosen by the member states to implement this provision, the relevant national legislation is referred to. The register of the medicinal products authorized under Article 126a is available at the European Commission web-site.</w:t>
      </w:r>
    </w:p>
    <w:p>
      <w:pPr>
        <w:spacing w:after="0" w:line="168" w:lineRule="exact"/>
        <w:rPr>
          <w:sz w:val="20"/>
          <w:szCs w:val="20"/>
          <w:color w:val="auto"/>
        </w:rPr>
      </w:pPr>
    </w:p>
    <w:p>
      <w:pPr>
        <w:ind w:right="660" w:firstLine="584"/>
        <w:spacing w:after="0" w:line="283" w:lineRule="auto"/>
        <w:rPr>
          <w:sz w:val="20"/>
          <w:szCs w:val="20"/>
          <w:color w:val="auto"/>
        </w:rPr>
      </w:pPr>
      <w:r>
        <w:rPr>
          <w:rFonts w:ascii="Arial" w:cs="Arial" w:eastAsia="Arial" w:hAnsi="Arial"/>
          <w:sz w:val="16"/>
          <w:szCs w:val="16"/>
          <w:color w:val="auto"/>
        </w:rPr>
        <w:t>For medicinal products authorized in accordance with Article 126a of Directive 2001/83/EC, marketing authorization holders do not qualify for the pediatric development rewards as described in Regulation (EC) No. 1901/2006.</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Types of Marketing Authorization Applications:</w:t>
      </w:r>
    </w:p>
    <w:p>
      <w:pPr>
        <w:spacing w:after="0" w:line="254" w:lineRule="exact"/>
        <w:rPr>
          <w:sz w:val="20"/>
          <w:szCs w:val="20"/>
          <w:color w:val="auto"/>
        </w:rPr>
      </w:pPr>
    </w:p>
    <w:p>
      <w:pPr>
        <w:ind w:right="180" w:firstLine="584"/>
        <w:spacing w:after="0" w:line="283" w:lineRule="auto"/>
        <w:rPr>
          <w:sz w:val="20"/>
          <w:szCs w:val="20"/>
          <w:color w:val="auto"/>
        </w:rPr>
      </w:pPr>
      <w:r>
        <w:rPr>
          <w:rFonts w:ascii="Arial" w:cs="Arial" w:eastAsia="Arial" w:hAnsi="Arial"/>
          <w:sz w:val="16"/>
          <w:szCs w:val="16"/>
          <w:color w:val="auto"/>
        </w:rPr>
        <w:t>There are various types of applications for marketing authorizations. The legal basis for all types of application is set out in Directive 2001/83/EC and in Regulation (EC) No726/2004.</w:t>
      </w:r>
    </w:p>
    <w:p>
      <w:pPr>
        <w:spacing w:after="0" w:line="199" w:lineRule="exact"/>
        <w:rPr>
          <w:sz w:val="20"/>
          <w:szCs w:val="20"/>
          <w:color w:val="auto"/>
        </w:rPr>
      </w:pPr>
    </w:p>
    <w:p>
      <w:pPr>
        <w:ind w:right="40" w:firstLine="584"/>
        <w:spacing w:after="0" w:line="280" w:lineRule="auto"/>
        <w:rPr>
          <w:sz w:val="20"/>
          <w:szCs w:val="20"/>
          <w:color w:val="auto"/>
        </w:rPr>
      </w:pPr>
      <w:r>
        <w:rPr>
          <w:rFonts w:ascii="Arial" w:cs="Arial" w:eastAsia="Arial" w:hAnsi="Arial"/>
          <w:sz w:val="15"/>
          <w:szCs w:val="15"/>
          <w:b w:val="1"/>
          <w:bCs w:val="1"/>
          <w:i w:val="1"/>
          <w:iCs w:val="1"/>
          <w:color w:val="auto"/>
        </w:rPr>
        <w:t xml:space="preserve">A. Full Applications. </w:t>
      </w:r>
      <w:r>
        <w:rPr>
          <w:rFonts w:ascii="Arial" w:cs="Arial" w:eastAsia="Arial" w:hAnsi="Arial"/>
          <w:sz w:val="15"/>
          <w:szCs w:val="15"/>
          <w:color w:val="auto"/>
        </w:rPr>
        <w:t>A full application is one that is made under any of the EU procedures described above and "stands alone" in the sense that it contains all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particulars and information required by Article 8(3) of Directive 2001/83/EC, as amended, to allow the competent authority to assess the quality, safety and efficacy of the product and in particular the balance between benefit and risk. Article 8(3)(l) in particular refers to the need to present the results of the applicant's research on (1) pharmaceutical (physical-chemical, biological or microbiological) tests, (2) preclinical (toxicological and pharmacological) studies and (3) clinical trials in humans. The nature of these tests, studies and trials is explained in more detail in Annex I to Directive 2001/83/EC, as amended. Full applications would be required for products containing new active substances not previously approved by the competent authority, but may also be made for other products.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ind w:right="160" w:firstLine="584"/>
        <w:spacing w:after="0" w:line="286" w:lineRule="auto"/>
        <w:rPr>
          <w:sz w:val="20"/>
          <w:szCs w:val="20"/>
          <w:color w:val="auto"/>
        </w:rPr>
      </w:pPr>
      <w:r>
        <w:rPr>
          <w:rFonts w:ascii="Arial" w:cs="Arial" w:eastAsia="Arial" w:hAnsi="Arial"/>
          <w:sz w:val="15"/>
          <w:szCs w:val="15"/>
          <w:b w:val="1"/>
          <w:bCs w:val="1"/>
          <w:i w:val="1"/>
          <w:iCs w:val="1"/>
          <w:color w:val="auto"/>
        </w:rPr>
        <w:t xml:space="preserve">B. Abridged Applications. </w:t>
      </w:r>
      <w:r>
        <w:rPr>
          <w:rFonts w:ascii="Arial" w:cs="Arial" w:eastAsia="Arial" w:hAnsi="Arial"/>
          <w:sz w:val="15"/>
          <w:szCs w:val="15"/>
          <w:color w:val="auto"/>
        </w:rPr>
        <w:t>Article 10 of Directive 2001/83/EC contains exemptions from the requirement that the applicant provide the results of its own preclinical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clinical research. There are four regulatory routes for an applicant to seek an exemption from providing such results, namely (1) cross-referral to an innovator's results without consent of the innovator (used for generic medicines or similar biological medicinal products), (2) well established use according to published literature, (3) fixed combination products, and (4) informed consent to refer to an existing dossier of research results filed by a previous applicant.</w:t>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(1) Cross-referral to Innovator's Data</w:t>
      </w:r>
    </w:p>
    <w:p>
      <w:pPr>
        <w:spacing w:after="0" w:line="254"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u w:val="single" w:color="auto"/>
          <w:color w:val="auto"/>
        </w:rPr>
        <w:t>Generic Applications</w:t>
      </w:r>
      <w:r>
        <w:rPr>
          <w:rFonts w:ascii="Arial" w:cs="Arial" w:eastAsia="Arial" w:hAnsi="Arial"/>
          <w:sz w:val="16"/>
          <w:szCs w:val="16"/>
          <w:color w:val="auto"/>
        </w:rPr>
        <w:t>. Articles 10(1) and 10(2)(b) of Directive 2001/83/EC provide the legal basis for an applicant to seek a marketing authorization on the basis that its product is a generic medicinal product (a copy) of a reference medicinal product that has already been authorized, in accordance with EU provisions. A reference product is, in principle, an original product granted an authorization on the basis of a full dossier of particulars and information. This is the main exemption used by generic manufacturers for obtaining a marketing authorization for a copy product. The generic applicant is not required to provide the results of preclinical studies and of clinical trials if its product meets the definition of a generic medicinal product and the applicable regulatory results protection period for the results submitted by the innovator has expired. A generic medicinal product is defined as a medicinal product:</w:t>
      </w:r>
    </w:p>
    <w:p>
      <w:pPr>
        <w:spacing w:after="0" w:line="217" w:lineRule="exact"/>
        <w:rPr>
          <w:sz w:val="20"/>
          <w:szCs w:val="20"/>
          <w:color w:val="auto"/>
        </w:rPr>
      </w:pPr>
    </w:p>
    <w:p>
      <w:pPr>
        <w:ind w:left="1160" w:hanging="578"/>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having the same qualitative and quantitative composition in active substance as the reference medicinal product;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having the same pharmaceutical form as the reference medicinal product;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whose bioequivalence with the reference medicinal product has been demonstrated by appropriate bioavailability studies.</w:t>
      </w:r>
    </w:p>
    <w:p>
      <w:pPr>
        <w:spacing w:after="0" w:line="254"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Applications in respect of a generic medicinal product cannot be made before the expiry of the protection period. For applications made after either October 30 or November 20, 2005 (depending on the approval route used), Regulation 726/2004 and amendments to Directive 2001/83/EC provide for a harmonized protection period regardless of the approval route utilized. The harmonized protection period is in total 10 years, including eight years of research data protection and two years of marketing protection. The effect is that the originator's results can be the subject of a cross-referral application after eight years, but any resulting authorization cannot be exploited for a further two years. The rationale of this procedure is not that the competent authority does not have before it relevant tests and trials upon which to assess the efficacy and safety of the generic product, but that the relevant particulars can, if the research data protection period has expired, be found on the originator's file and used for assessment of the generic medicinal product. The 10-year protection period can be extended to 11 years where, in the first eight years post-authorization, the holder of the authorization obtains approval for a new indication assessed as offering a significant clinical benefit in comparison with existing products.</w:t>
      </w:r>
    </w:p>
    <w:p>
      <w:pPr>
        <w:spacing w:after="0" w:line="209" w:lineRule="exact"/>
        <w:rPr>
          <w:sz w:val="20"/>
          <w:szCs w:val="20"/>
          <w:color w:val="auto"/>
        </w:rPr>
      </w:pPr>
    </w:p>
    <w:p>
      <w:pPr>
        <w:ind w:right="320" w:firstLine="584"/>
        <w:spacing w:after="0" w:line="294" w:lineRule="auto"/>
        <w:rPr>
          <w:sz w:val="20"/>
          <w:szCs w:val="20"/>
          <w:color w:val="auto"/>
        </w:rPr>
      </w:pPr>
      <w:r>
        <w:rPr>
          <w:rFonts w:ascii="Arial" w:cs="Arial" w:eastAsia="Arial" w:hAnsi="Arial"/>
          <w:sz w:val="15"/>
          <w:szCs w:val="15"/>
          <w:u w:val="single" w:color="auto"/>
          <w:color w:val="auto"/>
        </w:rPr>
        <w:t>Hybrid Applications</w:t>
      </w:r>
      <w:r>
        <w:rPr>
          <w:rFonts w:ascii="Arial" w:cs="Arial" w:eastAsia="Arial" w:hAnsi="Arial"/>
          <w:sz w:val="15"/>
          <w:szCs w:val="15"/>
          <w:color w:val="auto"/>
        </w:rPr>
        <w:t xml:space="preserve"> (equivalent to the U.S. 505(b)(2) NDA). If the copy product does not meet the definition of a generic medicinal product or if certain types of changes occur in the active substance(s) or in the therapeutic indications, strength, pharmaceutical form or route of administration in relation to the reference medicinal product, Article 10(3) of Directive 2001/83/EC provides that the results of the appropriate preclinical studies or clinical trials must be provided by the applicant.</w:t>
      </w:r>
    </w:p>
    <w:p>
      <w:pPr>
        <w:spacing w:after="0" w:line="145" w:lineRule="exact"/>
        <w:rPr>
          <w:sz w:val="20"/>
          <w:szCs w:val="20"/>
          <w:color w:val="auto"/>
        </w:rPr>
      </w:pPr>
    </w:p>
    <w:p>
      <w:pPr>
        <w:ind w:right="80" w:firstLine="584"/>
        <w:spacing w:after="0" w:line="261" w:lineRule="auto"/>
        <w:rPr>
          <w:sz w:val="20"/>
          <w:szCs w:val="20"/>
          <w:color w:val="auto"/>
        </w:rPr>
      </w:pPr>
      <w:r>
        <w:rPr>
          <w:rFonts w:ascii="Arial" w:cs="Arial" w:eastAsia="Arial" w:hAnsi="Arial"/>
          <w:sz w:val="16"/>
          <w:szCs w:val="16"/>
          <w:u w:val="single" w:color="auto"/>
          <w:color w:val="auto"/>
        </w:rPr>
        <w:t>Similar Biological Applications</w:t>
      </w:r>
      <w:r>
        <w:rPr>
          <w:rFonts w:ascii="Arial" w:cs="Arial" w:eastAsia="Arial" w:hAnsi="Arial"/>
          <w:sz w:val="16"/>
          <w:szCs w:val="16"/>
          <w:color w:val="auto"/>
        </w:rPr>
        <w:t>. Article 10(4) of Directive 2001/83/EC refers to a biological medicinal product which is similar to a reference biological product and does not meet the conditions in the definition of generic medicinal products, owing to, in particular, differences relating to raw materials or differences in manufacturing processes of the biological medicinal product and the reference biological medicinal product. For such products, the results of appropriate pre-clinical tests or clinical trials relating to these conditions must be provided in accordance with the criteria stated in the annex and related guidelines. The results of other tests and trials from the reference medicinal product's dossier shall not be provided.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2" w:name="page63"/>
    <w:bookmarkEnd w:id="62"/>
    <w:p>
      <w:pPr>
        <w:ind w:left="1160"/>
        <w:spacing w:after="0"/>
        <w:rPr>
          <w:sz w:val="20"/>
          <w:szCs w:val="20"/>
          <w:color w:val="auto"/>
        </w:rPr>
      </w:pPr>
      <w:r>
        <w:rPr>
          <w:rFonts w:ascii="Arial" w:cs="Arial" w:eastAsia="Arial" w:hAnsi="Arial"/>
          <w:sz w:val="16"/>
          <w:szCs w:val="16"/>
          <w:i w:val="1"/>
          <w:iCs w:val="1"/>
          <w:color w:val="auto"/>
        </w:rPr>
        <w:t>(2) Well-established Medicinal Use</w:t>
      </w:r>
    </w:p>
    <w:p>
      <w:pPr>
        <w:spacing w:after="0" w:line="254" w:lineRule="exact"/>
        <w:rPr>
          <w:sz w:val="20"/>
          <w:szCs w:val="20"/>
          <w:color w:val="auto"/>
        </w:rPr>
      </w:pPr>
    </w:p>
    <w:p>
      <w:pPr>
        <w:ind w:firstLine="584"/>
        <w:spacing w:after="0" w:line="275" w:lineRule="auto"/>
        <w:rPr>
          <w:sz w:val="20"/>
          <w:szCs w:val="20"/>
          <w:color w:val="auto"/>
        </w:rPr>
      </w:pPr>
      <w:r>
        <w:rPr>
          <w:rFonts w:ascii="Arial" w:cs="Arial" w:eastAsia="Arial" w:hAnsi="Arial"/>
          <w:sz w:val="15"/>
          <w:szCs w:val="15"/>
          <w:color w:val="auto"/>
        </w:rPr>
        <w:t>Under Article 10a of Directive 2001/83/EC, an applicant may, in substitution for the results of its own preclinical and clinical research, present detailed references to published literature demonstrating that the active substance(s) of a product have a well-established medicinal use within the EU with recognized efficacy and an acceptable level of safety. The applicant is entitled to refer to a variety of different types of literature, including reports of clinical trials with the same active substance(s) and epidemiological studies that indicate that the constituent or constituents of the product have an acceptable safety/efficacy profile for a particular indication. However, use of the published literature exemption is restricted by stating that in no circumstances will constituents be treated as having a well-established use if they have been used for less than 10 years from the first systematic and documented use of the substance as a medicinal product in the EU. Even after 10 years' systematic use, the threshold for well-established medicinal use might not be met. European pharmaceutical law requires the competent authorities to consider the period over which a substance has been used, the amount of patient use of the substance, the degree of scientific interest in the use of the substance (as reflected in the scientific literature) and the coherence (consistency) of all the scientific assessments made in the literature. For this reason, different substances may reach the threshold for well-established use after different periods, but the minimum period is 10 years. If the applicant seeks approval of an entirely new therapeutic use compared with that to which the published literature refers, additional preclinical and/or clinical results would have to be provided.</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(3) Fixed Combination Application</w:t>
      </w:r>
    </w:p>
    <w:p>
      <w:pPr>
        <w:spacing w:after="0" w:line="254" w:lineRule="exact"/>
        <w:rPr>
          <w:sz w:val="20"/>
          <w:szCs w:val="20"/>
          <w:color w:val="auto"/>
        </w:rPr>
      </w:pPr>
    </w:p>
    <w:p>
      <w:pPr>
        <w:ind w:firstLine="1169"/>
        <w:spacing w:after="0" w:line="261" w:lineRule="auto"/>
        <w:rPr>
          <w:sz w:val="20"/>
          <w:szCs w:val="20"/>
          <w:color w:val="auto"/>
        </w:rPr>
      </w:pPr>
      <w:r>
        <w:rPr>
          <w:rFonts w:ascii="Arial" w:cs="Arial" w:eastAsia="Arial" w:hAnsi="Arial"/>
          <w:sz w:val="16"/>
          <w:szCs w:val="16"/>
          <w:color w:val="auto"/>
        </w:rPr>
        <w:t>Under Article 10(b) of Directive 2001/83/EC, as amended, and Annex I, Part II(5), fixed-combination applications are possible for medicinal products containing active substances used in the composition of authorized medicinal products (but not to be used in combination for therapeutic purposes). In that case, the results of new preclinical tests or new clinical trials relating to that combination shall be provided in accordance with Article 8(3)(i) of Directive 2001/83/EC, but it is not necessary to provide scientific references relating to each individual active substance. Moreover, any fixed combination may be considered a complete/full, independent application because it is a new and unique medicinal product requiring a separate SmPC.</w:t>
      </w:r>
    </w:p>
    <w:p>
      <w:pPr>
        <w:spacing w:after="0" w:line="168"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auto"/>
        </w:rPr>
        <w:t>(4) Informed Consent</w:t>
      </w:r>
    </w:p>
    <w:p>
      <w:pPr>
        <w:spacing w:after="0" w:line="254" w:lineRule="exact"/>
        <w:rPr>
          <w:sz w:val="20"/>
          <w:szCs w:val="20"/>
          <w:color w:val="auto"/>
        </w:rPr>
      </w:pPr>
    </w:p>
    <w:p>
      <w:pPr>
        <w:ind w:right="100" w:firstLine="584"/>
        <w:spacing w:after="0" w:line="294" w:lineRule="auto"/>
        <w:rPr>
          <w:sz w:val="20"/>
          <w:szCs w:val="20"/>
          <w:color w:val="auto"/>
        </w:rPr>
      </w:pPr>
      <w:r>
        <w:rPr>
          <w:rFonts w:ascii="Arial" w:cs="Arial" w:eastAsia="Arial" w:hAnsi="Arial"/>
          <w:sz w:val="15"/>
          <w:szCs w:val="15"/>
          <w:color w:val="auto"/>
        </w:rPr>
        <w:t>Under Article 10c of Directive 2001/83/EC, following the grant of a marketing authorization the holder of such authorization may consent to a competent authority utilizing the pharmaceutical, preclinical and clinical documentation that it submitted to obtain approval for a medicinal product to assess a subsequent application relating to a medicinal product possessing the same qualitative and quantitative composition with respect to the active substances and the same pharmaceutical form.</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 Mixed Marketing Authorization Applications</w:t>
      </w:r>
    </w:p>
    <w:p>
      <w:pPr>
        <w:spacing w:after="0" w:line="254" w:lineRule="exact"/>
        <w:rPr>
          <w:sz w:val="20"/>
          <w:szCs w:val="20"/>
          <w:color w:val="auto"/>
        </w:rPr>
      </w:pPr>
    </w:p>
    <w:p>
      <w:pPr>
        <w:ind w:right="180" w:firstLine="584"/>
        <w:spacing w:after="0" w:line="261" w:lineRule="auto"/>
        <w:rPr>
          <w:sz w:val="20"/>
          <w:szCs w:val="20"/>
          <w:color w:val="auto"/>
        </w:rPr>
      </w:pPr>
      <w:r>
        <w:rPr>
          <w:rFonts w:ascii="Arial" w:cs="Arial" w:eastAsia="Arial" w:hAnsi="Arial"/>
          <w:sz w:val="16"/>
          <w:szCs w:val="16"/>
          <w:color w:val="auto"/>
        </w:rPr>
        <w:t>Annex I, Part II(7) of Directive 2001/83/EC, as amended, specifies that mixed marketing authorization applications, or MAAs, must present published scientific literature together with original results of tests and trials. Such applications must be submitted and processed following the complete, full and independent MAA dossier requirements. These requirements apply to the use of bibliographic references in mixed dossiers both as supporting data for the applicant's own tests and trials or in order to replace any tests or trials in Module 4 and/or 5. All other module(s) are in accordance with the structure described in Part I of the above-mentioned Annex 1. The Competent Authority will accept the applicant's proposed format on a case-by-case basis.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Law Relating to Pediatric Research</w:t>
      </w:r>
    </w:p>
    <w:p>
      <w:pPr>
        <w:spacing w:after="0" w:line="254" w:lineRule="exact"/>
        <w:rPr>
          <w:sz w:val="20"/>
          <w:szCs w:val="20"/>
          <w:color w:val="auto"/>
        </w:rPr>
      </w:pPr>
    </w:p>
    <w:p>
      <w:pPr>
        <w:ind w:firstLine="584"/>
        <w:spacing w:after="0" w:line="274" w:lineRule="auto"/>
        <w:rPr>
          <w:sz w:val="20"/>
          <w:szCs w:val="20"/>
          <w:color w:val="auto"/>
        </w:rPr>
      </w:pPr>
      <w:r>
        <w:rPr>
          <w:rFonts w:ascii="Arial" w:cs="Arial" w:eastAsia="Arial" w:hAnsi="Arial"/>
          <w:sz w:val="15"/>
          <w:szCs w:val="15"/>
          <w:color w:val="auto"/>
        </w:rPr>
        <w:t>Regulation (EC) 1901/2006 (as amended by Regulation (EC) 1902/2006), or the Pediatric Regulation, was adopted on December 12, 2006. This Regulation governs the development of medicinal products for human use in order to meet the specific therapeutic needs of the pediatric population. It requires any application for marketing authorization made after July 26, 2008 in respect of a product not authorized in the EU on January 26, 2007, the time the Regulation entered into force, to include studies in children conducted in accordance with a pediatric investigation plan agreed to by the relevant European authorities, unless the product is subject to an agreed waiver or deferral or unless the product is excluded from the scope of Regulation 1902/2006 (generics, hybrid medicinal products, biosimilars, homeopathic and traditional (herbal) medicinal products and medicinal products containing one or more active substances of well-established medicinal use. Waivers can be granted in certain circumstances where pediatric studies are not required or desirable. Deferrals can be granted in certain circumstances where the initiation or completion of pediatric studies should be deferred until appropriate studies in adults have been performed. Moreover, this regulation imposes the same obligation from January 26, 2009 on an applicant seeking approval of a new indication, pharmaceutical form or route of administration for a product already authorized and still protected by a supplementary protection certificate granted under Regulation (EEC) 1768/92 codified as Regulation (EC) no. 469/2009 or by a patent that qualifies for the granting of such a supplementary protection certificate. The pediatric Regulation 1901/2006 also provides, subject to certain conditions, a reward for performing such pediatric studies, regardless of whether the pediatric results provided resulted in the grant of a pediatric indication. This reward comes in the form of an extension of six months to the supplementary protection certificate granted in respect of the product, unless the product is subject to Orphan Drug designation, in which case the 10-year market exclusivity period for such orphan products is extended to 12 years. If any of the non-centralized procedures for marketing authorization have been used, the six month extension of the supplementary protection certificate is only granted if the medicinal product is authorized in all member states. Where the product is no longer covered by a patent or supplementary protection certificate, the applicant may make a separate application for a Pediatric Use Marketing Authorization, or PUMA, which, on approval, will provide eight years' protection for data and 10 years' marketing protection for the pediatric results.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3" w:name="page64"/>
    <w:bookmarkEnd w:id="63"/>
    <w:p>
      <w:pPr>
        <w:ind w:right="60" w:firstLine="584"/>
        <w:spacing w:after="0" w:line="263" w:lineRule="auto"/>
        <w:rPr>
          <w:sz w:val="20"/>
          <w:szCs w:val="20"/>
          <w:color w:val="auto"/>
        </w:rPr>
      </w:pPr>
      <w:r>
        <w:rPr>
          <w:rFonts w:ascii="Arial" w:cs="Arial" w:eastAsia="Arial" w:hAnsi="Arial"/>
          <w:sz w:val="16"/>
          <w:szCs w:val="16"/>
          <w:color w:val="auto"/>
        </w:rPr>
        <w:t>In June 2013, the European Commission published a report on the first five years of implementation of the Pediatric Regulation. The report concludes that pediatric development has become a more integral part of the overall development of medicinal products in the EU, with the Regulation working as a major catalyst to improve the situation for young patients. In November 2016, the European Commission launched a public consultation in preparation for its second report on the Pediatric Regulation after nearly ten years of implementation. The European Commission expects to publish the final report in 2017.</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Post-authorization Obligations</w:t>
      </w:r>
    </w:p>
    <w:p>
      <w:pPr>
        <w:spacing w:after="0" w:line="254" w:lineRule="exact"/>
        <w:rPr>
          <w:sz w:val="20"/>
          <w:szCs w:val="20"/>
          <w:color w:val="auto"/>
        </w:rPr>
      </w:pPr>
    </w:p>
    <w:p>
      <w:pPr>
        <w:ind w:firstLine="584"/>
        <w:spacing w:after="0" w:line="280" w:lineRule="auto"/>
        <w:rPr>
          <w:sz w:val="20"/>
          <w:szCs w:val="20"/>
          <w:color w:val="auto"/>
        </w:rPr>
      </w:pPr>
      <w:r>
        <w:rPr>
          <w:rFonts w:ascii="Arial" w:cs="Arial" w:eastAsia="Arial" w:hAnsi="Arial"/>
          <w:sz w:val="15"/>
          <w:szCs w:val="15"/>
          <w:color w:val="auto"/>
        </w:rPr>
        <w:t>An authorization to market a medicinal product in the EU carries with it an obligation to comply with many post-authorization regulations relating to the marketing and other activities of authorization holders. These include requirements relating to provision of a risk management plan and provision of annual periodic safety update reports, carrying out of post-authorization efficacy studies and/or post-authorization safety studies, maintenance of a pharmacovigilance system master file, adverse event reporting, signal detection and management and other pharmacovigilance activities conducted under an established quality system, advertising, packaging and labeling, patient package leaflets, distribution and wholesale dealing. The regulations frequently operate within a criminal law framework, and failure to comply with the requirements may not only affect the authorization, but also can lead to financial and other sanctions levied on the company in question and responsible officers.</w:t>
      </w:r>
    </w:p>
    <w:p>
      <w:pPr>
        <w:spacing w:after="0" w:line="205" w:lineRule="exact"/>
        <w:rPr>
          <w:sz w:val="20"/>
          <w:szCs w:val="20"/>
          <w:color w:val="auto"/>
        </w:rPr>
      </w:pPr>
    </w:p>
    <w:p>
      <w:pPr>
        <w:ind w:right="100" w:firstLine="584"/>
        <w:spacing w:after="0" w:line="283" w:lineRule="auto"/>
        <w:rPr>
          <w:sz w:val="20"/>
          <w:szCs w:val="20"/>
          <w:color w:val="auto"/>
        </w:rPr>
      </w:pPr>
      <w:r>
        <w:rPr>
          <w:rFonts w:ascii="Arial" w:cs="Arial" w:eastAsia="Arial" w:hAnsi="Arial"/>
          <w:sz w:val="16"/>
          <w:szCs w:val="16"/>
          <w:color w:val="auto"/>
        </w:rPr>
        <w:t>Another relevant aspect in the EU regulatory framework is the "sunset clause": a provision leading to the cessation of the validity of any marketing authorization if it is not followed by marketing within three years or, if marketing is interrupted for a period of three consecutive years.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Approval of Medical Devices</w:t>
      </w:r>
    </w:p>
    <w:p>
      <w:pPr>
        <w:spacing w:after="0" w:line="254"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In the EEA there is a consolidated system for the authorization of medical devices as provided for in three core directive: the Medical Device Directive 93/42/EEC as amended by Directive 93/68/EEC on CE marking, Directive 90/385/EEC, as amended by Directive 2007/47/EC, regarding active implantable medical devices and Directive 98/79/EC regarding in vitro diagnostic medical devices. The EU requires that manufacturers of medical devices obtain the right to affix the CE mark to their products, which shows that the device has a Declaration of Conformity, before selling them in EU member countries.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which vary according to the nature of the device. Compliance with the Medical Device Directive, as certified by a recognized European Notified Body, permits the manufacturer to affix the CE mark on its products and commercially distribute those products throughout the EU without further conformance tests being required in other member states.</w:t>
      </w:r>
    </w:p>
    <w:p>
      <w:pPr>
        <w:spacing w:after="0" w:line="161" w:lineRule="exact"/>
        <w:rPr>
          <w:sz w:val="20"/>
          <w:szCs w:val="20"/>
          <w:color w:val="auto"/>
        </w:rPr>
      </w:pPr>
    </w:p>
    <w:p>
      <w:pPr>
        <w:ind w:right="60" w:firstLine="584"/>
        <w:spacing w:after="0" w:line="261" w:lineRule="auto"/>
        <w:rPr>
          <w:sz w:val="20"/>
          <w:szCs w:val="20"/>
          <w:color w:val="auto"/>
        </w:rPr>
      </w:pPr>
      <w:r>
        <w:rPr>
          <w:rFonts w:ascii="Arial" w:cs="Arial" w:eastAsia="Arial" w:hAnsi="Arial"/>
          <w:sz w:val="16"/>
          <w:szCs w:val="16"/>
          <w:color w:val="auto"/>
        </w:rPr>
        <w:t>In September 2012, the European Commission adopted a Proposal for a Regulation of the European Parliament and of the Council of the IIA, or the Council, on medical devices and a Proposal for a Regulation of the European Parliament and of the Council on in vitro diagnostic medical devices which will, once adopted by the European Parliament and by the Council, replace the existing three medical devices directives. Revisions include extension of the scope for legislation, better supervision of independent assessment bodies, clear rights for manufacturers/distributors and stronger requirements for medical evidence. This legislative activity is ongoing as of the date of this report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4" w:name="page65"/>
    <w:bookmarkEnd w:id="64"/>
    <w:p>
      <w:pPr>
        <w:ind w:left="580"/>
        <w:spacing w:after="0"/>
        <w:rPr>
          <w:sz w:val="20"/>
          <w:szCs w:val="20"/>
          <w:color w:val="auto"/>
        </w:rPr>
      </w:pPr>
      <w:r>
        <w:rPr>
          <w:rFonts w:ascii="Arial" w:cs="Arial" w:eastAsia="Arial" w:hAnsi="Arial"/>
          <w:sz w:val="16"/>
          <w:szCs w:val="16"/>
          <w:b w:val="1"/>
          <w:bCs w:val="1"/>
          <w:color w:val="auto"/>
        </w:rPr>
        <w:t>Israel</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Israel Ministry of the Environment — Toxin Permit</w:t>
      </w:r>
    </w:p>
    <w:p>
      <w:pPr>
        <w:spacing w:after="0" w:line="254" w:lineRule="exact"/>
        <w:rPr>
          <w:sz w:val="20"/>
          <w:szCs w:val="20"/>
          <w:color w:val="auto"/>
        </w:rPr>
      </w:pPr>
    </w:p>
    <w:p>
      <w:pPr>
        <w:ind w:right="140" w:firstLine="584"/>
        <w:spacing w:after="0" w:line="268" w:lineRule="auto"/>
        <w:rPr>
          <w:sz w:val="20"/>
          <w:szCs w:val="20"/>
          <w:color w:val="auto"/>
        </w:rPr>
      </w:pPr>
      <w:r>
        <w:rPr>
          <w:rFonts w:ascii="Arial" w:cs="Arial" w:eastAsia="Arial" w:hAnsi="Arial"/>
          <w:sz w:val="16"/>
          <w:szCs w:val="16"/>
          <w:color w:val="auto"/>
        </w:rPr>
        <w:t>In accordance with the Israeli Dangerous Substances Law - 1993, the Israeli Ministry of the Environment is required to grant a permit in order to use toxic materials. Because we utilize toxic materials in the course of operation of our laboratories, we were required to apply for a permit to use these materials. Our current toxin permit will remain in effect until December 2018.</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Clinical Testing in Israel</w:t>
      </w:r>
    </w:p>
    <w:p>
      <w:pPr>
        <w:spacing w:after="0" w:line="254" w:lineRule="exact"/>
        <w:rPr>
          <w:sz w:val="20"/>
          <w:szCs w:val="20"/>
          <w:color w:val="auto"/>
        </w:rPr>
      </w:pPr>
    </w:p>
    <w:p>
      <w:pPr>
        <w:ind w:firstLine="584"/>
        <w:spacing w:after="0" w:line="257" w:lineRule="auto"/>
        <w:rPr>
          <w:sz w:val="20"/>
          <w:szCs w:val="20"/>
          <w:color w:val="auto"/>
        </w:rPr>
      </w:pPr>
      <w:r>
        <w:rPr>
          <w:rFonts w:ascii="Arial" w:cs="Arial" w:eastAsia="Arial" w:hAnsi="Arial"/>
          <w:sz w:val="16"/>
          <w:szCs w:val="16"/>
          <w:color w:val="auto"/>
        </w:rPr>
        <w:t>In order to conduct clinical testing on humans in Israel, special authorization must first be obtained from the ethics committee and general manager of the institution in which the clinical studies are scheduled to be conducted, as required under the Guidelines for Clinical Trials in Human Subjects implemented pursuant to the Israeli Public Health Regulations (Clinical Trials in Human Subjects), as amended from time to time, and other applicable legislation. These regulations require authorization by the institutional ethics committee and general manager as well as from the Israeli Ministry of Health, except in certain circumstances, and in the case of genetic trials, special fertility trials and complex clinical trials, an additional authorization of the Israeli Ministry of Health's overseeing ethics committee. The institutional ethics committee must, among other things, evaluate the anticipated benefits that are likely to be derived from the project to determine if it justifies the risks and inconvenience to be inflicted on the human subjects, and the committee must ensure that adequate protection exists for the rights and safety of the participants as well as the accuracy of the information gathered in the course of the clinical testing. Since we intend to perform a portion of the clinical studies on certain of our therapeutic candidates in Israel, we will be required to obtain authorization from the ethics committee and general manager of each institution in which we intend to conduct our clinical trials, and in most cases, from the Israeli Ministry of Health.</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Other Countries</w:t>
      </w:r>
    </w:p>
    <w:p>
      <w:pPr>
        <w:spacing w:after="0" w:line="258" w:lineRule="exact"/>
        <w:rPr>
          <w:sz w:val="20"/>
          <w:szCs w:val="20"/>
          <w:color w:val="auto"/>
        </w:rPr>
      </w:pPr>
    </w:p>
    <w:p>
      <w:pPr>
        <w:ind w:right="60" w:firstLine="584"/>
        <w:spacing w:after="0" w:line="261" w:lineRule="auto"/>
        <w:rPr>
          <w:sz w:val="20"/>
          <w:szCs w:val="20"/>
          <w:color w:val="auto"/>
        </w:rPr>
      </w:pPr>
      <w:r>
        <w:rPr>
          <w:rFonts w:ascii="Arial" w:cs="Arial" w:eastAsia="Arial" w:hAnsi="Arial"/>
          <w:sz w:val="16"/>
          <w:szCs w:val="16"/>
          <w:color w:val="auto"/>
        </w:rPr>
        <w:t>In addition to regulations in the United States, the EU and Israel, we are subject to a variety of other regulations governing clinical trials and commercial sales and distribution of drugs in other countries. Whether or not our products receive approval from the FDA, approval of such products must be obtained by the comparable regulatory authorities of countries other than the United States before we can commence clinical trials or marketing of the product in those countries. The approval process varies from country to country, and the time may be longer or shorter than that required for FDA approval. The requirements governing the conduct of clinical trials and product licensing vary greatly from country to country.</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Related Matters</w:t>
      </w:r>
    </w:p>
    <w:p>
      <w:pPr>
        <w:spacing w:after="0" w:line="258" w:lineRule="exact"/>
        <w:rPr>
          <w:sz w:val="20"/>
          <w:szCs w:val="20"/>
          <w:color w:val="auto"/>
        </w:rPr>
      </w:pPr>
    </w:p>
    <w:p>
      <w:pPr>
        <w:ind w:right="80" w:firstLine="584"/>
        <w:spacing w:after="0" w:line="282" w:lineRule="auto"/>
        <w:rPr>
          <w:sz w:val="20"/>
          <w:szCs w:val="20"/>
          <w:color w:val="auto"/>
        </w:rPr>
      </w:pPr>
      <w:r>
        <w:rPr>
          <w:rFonts w:ascii="Arial" w:cs="Arial" w:eastAsia="Arial" w:hAnsi="Arial"/>
          <w:sz w:val="15"/>
          <w:szCs w:val="15"/>
          <w:color w:val="auto"/>
        </w:rPr>
        <w:t>From time to time, legislation is drafted, introduced and passed in governmental bodies that could significantly change the statutory provisions governing the approval, manufacturing and marketing of products regulated by the FDA or EMA and other applicable regulatory bodies to which we are subject. In addition, regulations and guidance are often revised or reinterpreted by the national agency in ways that may significantly affect our business and our therapeutic candidates. It is impossible to predict whether such legislative changes will be enacted, whether FDA or EMA regulations, guidance or interpretations will change, or what the impact of such changes, if any, may be. We may need to adapt our business and therapeutic candidates and products to changes that occur in the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5" w:name="page66"/>
    <w:bookmarkEnd w:id="65"/>
    <w:p>
      <w:pPr>
        <w:ind w:left="580"/>
        <w:spacing w:after="0"/>
        <w:rPr>
          <w:sz w:val="20"/>
          <w:szCs w:val="20"/>
          <w:color w:val="auto"/>
        </w:rPr>
      </w:pPr>
      <w:r>
        <w:rPr>
          <w:rFonts w:ascii="Arial" w:cs="Arial" w:eastAsia="Arial" w:hAnsi="Arial"/>
          <w:sz w:val="16"/>
          <w:szCs w:val="16"/>
          <w:b w:val="1"/>
          <w:bCs w:val="1"/>
          <w:color w:val="auto"/>
        </w:rPr>
        <w:t>Israeli Government Programs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Office of the Chief Scientist</w:t>
      </w:r>
    </w:p>
    <w:p>
      <w:pPr>
        <w:spacing w:after="0" w:line="254" w:lineRule="exact"/>
        <w:rPr>
          <w:sz w:val="20"/>
          <w:szCs w:val="20"/>
          <w:color w:val="auto"/>
        </w:rPr>
      </w:pPr>
    </w:p>
    <w:p>
      <w:pPr>
        <w:ind w:firstLine="584"/>
        <w:spacing w:after="0" w:line="274" w:lineRule="auto"/>
        <w:rPr>
          <w:sz w:val="20"/>
          <w:szCs w:val="20"/>
          <w:color w:val="auto"/>
        </w:rPr>
      </w:pPr>
      <w:r>
        <w:rPr>
          <w:rFonts w:ascii="Arial" w:cs="Arial" w:eastAsia="Arial" w:hAnsi="Arial"/>
          <w:sz w:val="15"/>
          <w:szCs w:val="15"/>
          <w:i w:val="1"/>
          <w:iCs w:val="1"/>
          <w:color w:val="auto"/>
        </w:rPr>
        <w:t>Research and Development Grants</w:t>
      </w:r>
      <w:r>
        <w:rPr>
          <w:rFonts w:ascii="Arial" w:cs="Arial" w:eastAsia="Arial" w:hAnsi="Arial"/>
          <w:sz w:val="15"/>
          <w:szCs w:val="15"/>
          <w:color w:val="auto"/>
        </w:rPr>
        <w:t>. A number of our therapeutic products have been financed, in part, through funding from the OCS in accordance with Research</w:t>
      </w:r>
      <w:r>
        <w:rPr>
          <w:rFonts w:ascii="Arial" w:cs="Arial" w:eastAsia="Arial" w:hAnsi="Arial"/>
          <w:sz w:val="15"/>
          <w:szCs w:val="15"/>
          <w:i w:val="1"/>
          <w:iCs w:val="1"/>
          <w:color w:val="auto"/>
        </w:rPr>
        <w:t xml:space="preserve"> </w:t>
      </w:r>
      <w:r>
        <w:rPr>
          <w:rFonts w:ascii="Arial" w:cs="Arial" w:eastAsia="Arial" w:hAnsi="Arial"/>
          <w:sz w:val="15"/>
          <w:szCs w:val="15"/>
          <w:color w:val="auto"/>
        </w:rPr>
        <w:t>Law. Through December 31, 2016 we have received approximately $19.8 million in aggregate funding from the OCS and have paid the OCS approximately $6.3 million in royalties under our approved programs. As of December 31, 2016, we have no contingent obligation to the IIA other than for BL-8040. In connection with the in-licensing of BL-8040 from Biokine, and as a condition to OCS consent to the transaction, we agreed to abide by any obligations resulting from funds previously received by Biokine from the OCS. The contingent liability to the IIA assumed by us relating to this transaction (which liability has no relation to the funding actually received by us) amounts to $2.7 million as of December 31, 2016. We have a full right of offset for amounts payable to the IIA from payments that we may owe to Biokine in the future. Therefore, the likelihood of any payment obligation to the IIA with regard to the Biokine transaction is remote. Under the Research Law as in effect prior to the R&amp;D Amendment and the terms of the grants, royalties on the revenues derived from sales of products developed with the support of the OCS were payable to the Israeli government, generally at the rate of 3% during the first three years of repayment, 4% during the subsequent three years and 5% from the seventh year onwards, although these terms would be different if we were to receive IIA approval to manufacture or to transfer the rights to manufacture our products developed with OCS grants outside of Israel. The obligation to make these payments terminates upon repayment of the amount of the received grants as adjusted for fluctuation in the dollar/shekel exchange rate, plus interest and any additional amounts as described below. However, we could be required to pay an increased total amount of royalties (possibly up to 300% of the grant amounts plus interest) if we receive approval to manufacture or to transfer the rights to manufacture our products developed with OCS or IIA grants outside of Israel, depending on the portion of total manufacturing that was performed outside of Israel, as further described below, and we could be required to pay additional amounts in respect of the technology developed under these projects that was otherwise transferred outside of Israel, as further described below. The amounts received bear interest equal to the 12-month London Interbank Offered Rate applicable to dollar deposits that was published on the first business day of each calendar year.</w:t>
      </w:r>
    </w:p>
    <w:p>
      <w:pPr>
        <w:spacing w:after="0" w:line="210" w:lineRule="exact"/>
        <w:rPr>
          <w:sz w:val="20"/>
          <w:szCs w:val="20"/>
          <w:color w:val="auto"/>
        </w:rPr>
      </w:pPr>
    </w:p>
    <w:p>
      <w:pPr>
        <w:ind w:right="20" w:firstLine="584"/>
        <w:spacing w:after="0" w:line="277" w:lineRule="auto"/>
        <w:rPr>
          <w:sz w:val="20"/>
          <w:szCs w:val="20"/>
          <w:color w:val="auto"/>
        </w:rPr>
      </w:pPr>
      <w:r>
        <w:rPr>
          <w:rFonts w:ascii="Arial" w:cs="Arial" w:eastAsia="Arial" w:hAnsi="Arial"/>
          <w:sz w:val="15"/>
          <w:szCs w:val="15"/>
          <w:color w:val="auto"/>
        </w:rPr>
        <w:t>Pursuant to the Research Law as in effect prior to the R&amp;D Amendment, recipients of funding from the OCS were prohibited from manufacturing products developed using OCS grants or derived from technology developed with OCS grants outside of Israel and from transferring rights to manufacture such products outside of Israel. However, the OCS could, in special cases, approve the transfer of manufacture or of manufacturing rights of a product developed in an approved program or which resulted therefrom, outside of Israel. If we were to receive approval to manufacture or to transfer the rights to manufacture our products developed with OCS grants outside of Israel, we would be required to pay an increased total amount of royalties (possibly up to 300% of the grant amounts plus interest), depending on the portion of total manufacturing that was performed outside of Israel. In addition, the royalty rate applicable to us could possibly increase. Such increased royalties constituted the total repayment amount required in connection with the transfer of manufacturing rights of OCS funded products outside Israel. The Research Law, as in effect prior to the R&amp;D Amendment, did enable companies to seek prior approval for conducting manufacturing activities outside of Israel without being subject to increased royalties (but resulting in a lower grant amount); however, the OCS rarely granted such prior approval.</w:t>
      </w:r>
    </w:p>
    <w:p>
      <w:pPr>
        <w:spacing w:after="0" w:line="205" w:lineRule="exact"/>
        <w:rPr>
          <w:sz w:val="20"/>
          <w:szCs w:val="20"/>
          <w:color w:val="auto"/>
        </w:rPr>
      </w:pPr>
    </w:p>
    <w:p>
      <w:pPr>
        <w:ind w:right="20" w:firstLine="584"/>
        <w:spacing w:after="0" w:line="276" w:lineRule="auto"/>
        <w:rPr>
          <w:sz w:val="20"/>
          <w:szCs w:val="20"/>
          <w:color w:val="auto"/>
        </w:rPr>
      </w:pPr>
      <w:r>
        <w:rPr>
          <w:rFonts w:ascii="Arial" w:cs="Arial" w:eastAsia="Arial" w:hAnsi="Arial"/>
          <w:sz w:val="15"/>
          <w:szCs w:val="15"/>
          <w:color w:val="auto"/>
        </w:rPr>
        <w:t>Under the Research Law, as in effect prior to the R&amp;D Amendment, we were prohibited from transferring our OCS-financed technologies, technologies derived therefrom and related intellectual property rights outside of Israel except under limited circumstances and only with the approval of the OCS and generally upon making a payment to the OCS. The required approvals may not have been received for any proposed transfer and, if received, we could be required to pay the OCS an amount calculated in accordance with the applicable formula set out in the Research Law. The scope of the support received, the royalties that we already paid to the OCS, the amount of time that elapsed between the date on which the technology was transferred and the date on which the applicable project performance period for the OCS grants was completed, and the sale price and the form of transaction were to be taken into account in order to calculate the amount of the payment to the OCS. The repayment amount was subject to a maximum limit calculated in accordance with a formula set forth in regulations enacted during 2012. In addition, any decrease in the percentage of manufacture performed in Israel of any product or technology, as originally declared in the application to the OCS with respect to the product or technology, could require us to notify, or to obtain the approval of, the OCS, and could result in increased royalty payments to the OCS of up to 300% of the total grant amounts received in connection with the product or technology, plus interest, depending on the portion of total manufacturing that was performed outside of Israel.</w:t>
      </w:r>
    </w:p>
    <w:p>
      <w:pPr>
        <w:spacing w:after="0" w:line="208" w:lineRule="exact"/>
        <w:rPr>
          <w:sz w:val="20"/>
          <w:szCs w:val="20"/>
          <w:color w:val="auto"/>
        </w:rPr>
      </w:pPr>
    </w:p>
    <w:p>
      <w:pPr>
        <w:ind w:right="260" w:firstLine="584"/>
        <w:spacing w:after="0" w:line="318" w:lineRule="auto"/>
        <w:rPr>
          <w:sz w:val="20"/>
          <w:szCs w:val="20"/>
          <w:color w:val="auto"/>
        </w:rPr>
      </w:pPr>
      <w:r>
        <w:rPr>
          <w:rFonts w:ascii="Arial" w:cs="Arial" w:eastAsia="Arial" w:hAnsi="Arial"/>
          <w:sz w:val="15"/>
          <w:szCs w:val="15"/>
          <w:color w:val="auto"/>
        </w:rPr>
        <w:t>Approval of the transfer of technology to residents of Israel was required prior to the R&amp;D Amendment, and could be granted in specific circumstances, only if the recipient agreed to abide by the provisions of applicable laws, including the restrictions on the transfer of know-how and the obligation to pay royalties.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6" w:name="page67"/>
    <w:bookmarkEnd w:id="66"/>
    <w:p>
      <w:pPr>
        <w:ind w:firstLine="584"/>
        <w:spacing w:after="0" w:line="275" w:lineRule="auto"/>
        <w:rPr>
          <w:sz w:val="20"/>
          <w:szCs w:val="20"/>
          <w:color w:val="auto"/>
        </w:rPr>
      </w:pPr>
      <w:r>
        <w:rPr>
          <w:rFonts w:ascii="Arial" w:cs="Arial" w:eastAsia="Arial" w:hAnsi="Arial"/>
          <w:sz w:val="15"/>
          <w:szCs w:val="15"/>
          <w:color w:val="auto"/>
        </w:rPr>
        <w:t>In July 2015, the Knesset enacted the R&amp;D Amendment after reaching the conclusion that the pre-R&amp;D Amendment regime was not flexible enough to allow the OCS and the recipients of research and development funding to respond quickly to the challenges of a changing world. Pursuant to the R&amp;D Amendment, the OCS was replaced with the IIA, which is comprised of the Council, a Director General and the Research Committees. The chief scientist of the OCS became the head of the IIA. According to the R&amp;D Amendment, the Council will have broad discretion regarding material matters, including, among others, with respect to the new funding programs, or Tracks, and requirements with respect to manufacture in Israel and transfer of know-how manufacture abroad (including payment for such transfer). While the pre-R&amp;D Amendment regime provided base-line default terms and conditions with respect to the core issues relevant for OCS grant recipients, as provided above, these default provisions have been largely rescinded by the R&amp;D Amendment. Many of these matters are now decided separately for each Track by the Council, based on certain guidelines stipulated in the R&amp;D Amendment. Such guidelines provide, for example, that considerable preference should be given to having ownership of IIA-funded know-how and rights vest with the recipient of assistance and/or with an Israeli company, with transfer of know-how and related rights abroad to be permitted only in exceptional circumstances. In addition, the R&amp;D Amendment stipulates that the transfer of manufacturing rights abroad, whether under a license or otherwise, shall only be allowed in special circumstances. Nonetheless, these matters are merely guidelines, and the essential matters will be determined by the Council in its discretion. While the R&amp;D Amendment is designed to provide flexibility in a rapidly-changing business environment, leaving the above essential matters to the Council's discretion currently causes much ambiguity as to the implementation of the R&amp;D Amendment.</w:t>
      </w:r>
    </w:p>
    <w:p>
      <w:pPr>
        <w:spacing w:after="0" w:line="158" w:lineRule="exact"/>
        <w:rPr>
          <w:sz w:val="20"/>
          <w:szCs w:val="20"/>
          <w:color w:val="auto"/>
        </w:rPr>
      </w:pPr>
    </w:p>
    <w:p>
      <w:pPr>
        <w:jc w:val="both"/>
        <w:ind w:right="300" w:firstLine="584"/>
        <w:spacing w:after="0" w:line="268" w:lineRule="auto"/>
        <w:rPr>
          <w:sz w:val="20"/>
          <w:szCs w:val="20"/>
          <w:color w:val="auto"/>
        </w:rPr>
      </w:pPr>
      <w:r>
        <w:rPr>
          <w:rFonts w:ascii="Arial" w:cs="Arial" w:eastAsia="Arial" w:hAnsi="Arial"/>
          <w:sz w:val="16"/>
          <w:szCs w:val="16"/>
          <w:color w:val="auto"/>
        </w:rPr>
        <w:t>The State of Israel does not own intellectual property rights in technology developed with OCS or IIA funding and there is no restriction on the export of products manufactured using technology developed with OCS or IIA funding. The technology is, however, subject to transfer of technology and manufacturing rights restrictions as described above.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Israel Ministry of Health</w:t>
      </w:r>
    </w:p>
    <w:p>
      <w:pPr>
        <w:spacing w:after="0" w:line="254"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Israel's Ministry of Health, which regulates medical testing, has adopted protocols that correspond, generally, to those of the FDA and the EMA, making it comparatively straightforward for studies conducted in Israel to satisfy FDA and the EMA requirements, thereby enabling medical technologies subjected to clinical trials in Israel to reach U.S. and EU commercial markets in an expedited fashion. Many members of Israel's medical community have earned international prestige in their chosen fields of expertise and routinely collaborate, teach and lecture at leading medical centers throughout the world. Israel also has free trade agreements with the United States and the EU.</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Organizational Structure</w:t>
      </w:r>
    </w:p>
    <w:p>
      <w:pPr>
        <w:spacing w:after="0" w:line="258" w:lineRule="exact"/>
        <w:rPr>
          <w:sz w:val="20"/>
          <w:szCs w:val="20"/>
          <w:color w:val="auto"/>
        </w:rPr>
      </w:pPr>
    </w:p>
    <w:p>
      <w:pPr>
        <w:ind w:right="300" w:firstLine="584"/>
        <w:spacing w:after="0" w:line="283" w:lineRule="auto"/>
        <w:rPr>
          <w:sz w:val="20"/>
          <w:szCs w:val="20"/>
          <w:color w:val="auto"/>
        </w:rPr>
      </w:pPr>
      <w:r>
        <w:rPr>
          <w:rFonts w:ascii="Arial" w:cs="Arial" w:eastAsia="Arial" w:hAnsi="Arial"/>
          <w:sz w:val="16"/>
          <w:szCs w:val="16"/>
          <w:color w:val="auto"/>
        </w:rPr>
        <w:t>Our corporate structure consists of BioLineRx Ltd., a substantially wholly-owned subsidiary, Agalimmune Ltd. and its U.S. subsidiary, Agalimmune Inc., and one wholly-owned inactive subsidiary, BioLineRx USA Inc.</w:t>
      </w:r>
    </w:p>
    <w:p>
      <w:pPr>
        <w:spacing w:after="0" w:line="199" w:lineRule="exact"/>
        <w:rPr>
          <w:sz w:val="20"/>
          <w:szCs w:val="20"/>
          <w:color w:val="auto"/>
        </w:rPr>
      </w:pPr>
    </w:p>
    <w:p>
      <w:pPr>
        <w:ind w:firstLine="625"/>
        <w:spacing w:after="0" w:line="263" w:lineRule="auto"/>
        <w:rPr>
          <w:sz w:val="20"/>
          <w:szCs w:val="20"/>
          <w:color w:val="auto"/>
        </w:rPr>
      </w:pPr>
      <w:r>
        <w:rPr>
          <w:rFonts w:ascii="Arial" w:cs="Arial" w:eastAsia="Arial" w:hAnsi="Arial"/>
          <w:sz w:val="16"/>
          <w:szCs w:val="16"/>
          <w:color w:val="auto"/>
        </w:rPr>
        <w:t>Until the end of 2014, BioLineRx Ltd. had two other wholly-owned entities: BioLine Innovations Jerusalem Limited Partnership, or BIJ L.P. and BioLine Innovations Jerusalem Ltd., or BIJ Ltd. Both BIJ L.P. and BIJ Ltd. were engaged in the operation of our biotechnology incubator. Our incubator agreement with the OCS expired at the end of 2013. As a result, we decided to transfer all the employees, activities and assets from the incubator to BioLineRx Ltd., and liquidated BIJ L.P. and BIJ Ltd. in December 2014 and 2015,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Property, Plant and Equipment</w:t>
      </w:r>
    </w:p>
    <w:p>
      <w:pPr>
        <w:spacing w:after="0" w:line="258" w:lineRule="exact"/>
        <w:rPr>
          <w:sz w:val="20"/>
          <w:szCs w:val="20"/>
          <w:color w:val="auto"/>
        </w:rPr>
      </w:pPr>
    </w:p>
    <w:p>
      <w:pPr>
        <w:ind w:right="220" w:firstLine="584"/>
        <w:spacing w:after="0" w:line="313" w:lineRule="auto"/>
        <w:rPr>
          <w:sz w:val="20"/>
          <w:szCs w:val="20"/>
          <w:color w:val="auto"/>
        </w:rPr>
      </w:pPr>
      <w:r>
        <w:rPr>
          <w:rFonts w:ascii="Arial" w:cs="Arial" w:eastAsia="Arial" w:hAnsi="Arial"/>
          <w:sz w:val="14"/>
          <w:szCs w:val="14"/>
          <w:color w:val="auto"/>
        </w:rPr>
        <w:t>We are headquartered in Modi'in, Israel. Until June 2015, our headquarters were located in Jerusalem. The facility consists of 1,663 square meters (approximately 17,900 square feet) of space and lease payments are approximately $27,000 per month, including maintenance fees and parking. This facility houses both our administrative and research operations and our central laboratory. The central laboratory consists of approximately 380 square meters and includes a bioanalytical laboratory, a formulation laboratory and a tissue culture laboratory. Our bioanalytical laboratory has received GLP certification. All of our employees are based in this facility.</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Agalimmune leases laboratory space in Discovery Park located in Sandwich, Kent County in the United Kingdom and rents office space in London as well.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4A. UNRESOLVED STAFF COMMENTS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10"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thereto included elsewhere in this Annual Report on Form 20-F.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20-F, particularly those in "Item 3. Key Information — Risk Factors."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ind w:right="40" w:firstLine="584"/>
        <w:spacing w:after="0" w:line="277" w:lineRule="auto"/>
        <w:rPr>
          <w:sz w:val="20"/>
          <w:szCs w:val="20"/>
          <w:color w:val="auto"/>
        </w:rPr>
      </w:pPr>
      <w:r>
        <w:rPr>
          <w:rFonts w:ascii="Arial" w:cs="Arial" w:eastAsia="Arial" w:hAnsi="Arial"/>
          <w:sz w:val="15"/>
          <w:szCs w:val="15"/>
          <w:color w:val="auto"/>
        </w:rPr>
        <w:t>We are a clinical stage biopharmaceutical development company dedicated to identifying, in-licensing and developing therapeutic candidates that have advantages over currently available therapies or address unmet medical needs. Our current development and commercialization pipeline consists of a clinical-stage therapeutic candidate, BL-8040; a near-clinical therapeutic candidate, AGI-134; and one commercialized product, BL-5010. In addition, we have five other therapeutic candidates in clinical and pre-clinical development. We generate our pipeline by systematically identifying, rigorously validating and in-licensing therapeutic candidates that we believe exhibit a relatively high probability of therapeutic and commercial success. Our strategy includes commercializing our therapeutic candidates through out-licensing arrangements with biotechnology and pharmaceutical companies and evaluating, on a case by case basis, the commercialization of our therapeutic candidates independently. Our focus is principally on the therapeutic areas of oncology and immunology. However, we may also in-license therapeutic compounds outside of these areas in connection with our strategic collaboration with Novartis, as well as to a limited extent for our independent pipeline as the opportunities arise.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History of Losses</w:t>
      </w:r>
    </w:p>
    <w:p>
      <w:pPr>
        <w:spacing w:after="0" w:line="258" w:lineRule="exact"/>
        <w:rPr>
          <w:sz w:val="20"/>
          <w:szCs w:val="20"/>
          <w:color w:val="auto"/>
        </w:rPr>
      </w:pPr>
    </w:p>
    <w:p>
      <w:pPr>
        <w:ind w:firstLine="584"/>
        <w:spacing w:after="0" w:line="313" w:lineRule="auto"/>
        <w:rPr>
          <w:sz w:val="20"/>
          <w:szCs w:val="20"/>
          <w:color w:val="auto"/>
        </w:rPr>
      </w:pPr>
      <w:r>
        <w:rPr>
          <w:rFonts w:ascii="Arial" w:cs="Arial" w:eastAsia="Arial" w:hAnsi="Arial"/>
          <w:sz w:val="14"/>
          <w:szCs w:val="14"/>
          <w:color w:val="auto"/>
        </w:rPr>
        <w:t>Since inception in 2003, we have generated significant losses in connection with our research and development. As of December 31, 2016, we had an accumulated deficit of $175.0 million. We may continue to generate losses in connection with the research and development activities relating to our pipeline of therapeutic candidates. Such research and development activities are budgeted to expand over time and will require further resources if we are to be successful. As a result, we may continue to incur operating losses, which may be substantial over the next several years, and we may need to obtain additional funds to further pursue our research and development programs.</w:t>
      </w:r>
    </w:p>
    <w:p>
      <w:pPr>
        <w:spacing w:after="0" w:line="183" w:lineRule="exact"/>
        <w:rPr>
          <w:sz w:val="20"/>
          <w:szCs w:val="20"/>
          <w:color w:val="auto"/>
        </w:rPr>
      </w:pPr>
    </w:p>
    <w:p>
      <w:pPr>
        <w:ind w:right="140" w:firstLine="584"/>
        <w:spacing w:after="0" w:line="197" w:lineRule="exact"/>
        <w:rPr>
          <w:sz w:val="20"/>
          <w:szCs w:val="20"/>
          <w:color w:val="auto"/>
        </w:rPr>
      </w:pPr>
      <w:r>
        <w:rPr>
          <w:rFonts w:ascii="Arial" w:cs="Arial" w:eastAsia="Arial" w:hAnsi="Arial"/>
          <w:sz w:val="15"/>
          <w:szCs w:val="15"/>
          <w:color w:val="auto"/>
        </w:rPr>
        <w:t xml:space="preserve">We have funded our operations primarily through the sale of equity securities (both in public and private offerings), payments received under our strategic licensing and collaboration arrangements, interest earned on investments and funding received from the OCS. We expect to continue to fund our operations over the next several years through our existing cash resources, potential future upfront, milestone, royalty or other payments that we may receive from Omega Pharma, Novartis and other out-licensing or collaboration transactions for our other therapeutic candidates, interest earned on our investments and additional capital to be raised through public or private equity offerings or debt </w:t>
      </w:r>
      <w:r>
        <w:rPr>
          <w:rFonts w:ascii="Arial Unicode MS" w:cs="Arial Unicode MS" w:eastAsia="Arial Unicode MS" w:hAnsi="Arial Unicode MS"/>
          <w:sz w:val="15"/>
          <w:szCs w:val="15"/>
          <w:color w:val="auto"/>
        </w:rPr>
        <w:t></w:t>
      </w:r>
      <w:r>
        <w:rPr>
          <w:rFonts w:ascii="Arial" w:cs="Arial" w:eastAsia="Arial" w:hAnsi="Arial"/>
          <w:sz w:val="15"/>
          <w:szCs w:val="15"/>
          <w:color w:val="auto"/>
        </w:rPr>
        <w:t>nancings. As of December 31, 2016, we held $35.6 million of cash, cash equivalents and short-term bank deposits.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revenues to date have been generated primarily from milestone payments under current and previously existing out-licensing agreements.</w:t>
      </w:r>
    </w:p>
    <w:p>
      <w:pPr>
        <w:spacing w:after="0" w:line="254" w:lineRule="exact"/>
        <w:rPr>
          <w:sz w:val="20"/>
          <w:szCs w:val="20"/>
          <w:color w:val="auto"/>
        </w:rPr>
      </w:pPr>
    </w:p>
    <w:p>
      <w:pPr>
        <w:ind w:right="620" w:firstLine="584"/>
        <w:spacing w:after="0" w:line="318" w:lineRule="auto"/>
        <w:rPr>
          <w:sz w:val="20"/>
          <w:szCs w:val="20"/>
          <w:color w:val="auto"/>
        </w:rPr>
      </w:pPr>
      <w:r>
        <w:rPr>
          <w:rFonts w:ascii="Arial" w:cs="Arial" w:eastAsia="Arial" w:hAnsi="Arial"/>
          <w:sz w:val="15"/>
          <w:szCs w:val="15"/>
          <w:color w:val="auto"/>
        </w:rPr>
        <w:t>We expect our revenues for the next several years to be derived primarily from payments under our current out-licensing agreement with Omega Pharma, our collaboration agreement with Novartis, as well as other potential collaboration arrangements, including future royalties on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8" w:lineRule="exact"/>
        <w:rPr>
          <w:sz w:val="20"/>
          <w:szCs w:val="20"/>
          <w:color w:val="auto"/>
        </w:rPr>
      </w:pPr>
    </w:p>
    <w:p>
      <w:pPr>
        <w:ind w:right="20" w:firstLine="584"/>
        <w:spacing w:after="0" w:line="261" w:lineRule="auto"/>
        <w:rPr>
          <w:sz w:val="20"/>
          <w:szCs w:val="20"/>
          <w:color w:val="auto"/>
        </w:rPr>
      </w:pPr>
      <w:r>
        <w:rPr>
          <w:rFonts w:ascii="Arial" w:cs="Arial" w:eastAsia="Arial" w:hAnsi="Arial"/>
          <w:sz w:val="16"/>
          <w:szCs w:val="16"/>
          <w:color w:val="auto"/>
        </w:rPr>
        <w:t>Our research and development expenses consist primarily of salaries and related personnel expenses, fees paid to external service providers, up-front and milestone payments under our license agreements, patent-related legal fees, costs of preclinical studies and clinical trials, drug and laboratory supplies and costs for facilities and equipment. We primarily use external service providers to manufacture our product candidates for clinical trials and for the majority of our preclinical and clinical development work. We charge all research and development expenses to operations as they are incurred. We expect our research and development expense to remain our primary expense in the near future as we continue to develop our therapeutic candidates.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8" w:name="page69"/>
    <w:bookmarkEnd w:id="68"/>
    <w:p>
      <w:pPr>
        <w:ind w:left="580"/>
        <w:spacing w:after="0"/>
        <w:rPr>
          <w:sz w:val="20"/>
          <w:szCs w:val="20"/>
          <w:color w:val="auto"/>
        </w:rPr>
      </w:pPr>
      <w:r>
        <w:rPr>
          <w:rFonts w:ascii="Arial" w:cs="Arial" w:eastAsia="Arial" w:hAnsi="Arial"/>
          <w:sz w:val="16"/>
          <w:szCs w:val="16"/>
          <w:color w:val="auto"/>
        </w:rPr>
        <w:t>The following table identifies our current major pipeline projects:</w:t>
      </w:r>
    </w:p>
    <w:p>
      <w:pPr>
        <w:spacing w:after="0" w:line="198" w:lineRule="exact"/>
        <w:rPr>
          <w:sz w:val="20"/>
          <w:szCs w:val="20"/>
          <w:color w:val="auto"/>
        </w:rPr>
      </w:pPr>
    </w:p>
    <w:tbl>
      <w:tblPr>
        <w:tblLayout w:type="fixed"/>
        <w:tblInd w:w="710" w:type="dxa"/>
        <w:tblCellMar>
          <w:top w:w="0" w:type="dxa"/>
          <w:left w:w="0" w:type="dxa"/>
          <w:bottom w:w="0" w:type="dxa"/>
          <w:right w:w="0" w:type="dxa"/>
        </w:tblCellMar>
      </w:tblPr>
      <w:tr>
        <w:trPr>
          <w:trHeight w:val="219"/>
        </w:trPr>
        <w:tc>
          <w:tcPr>
            <w:tcW w:w="60" w:type="dxa"/>
            <w:vAlign w:val="bottom"/>
            <w:tcBorders>
              <w:top w:val="single" w:sz="8" w:color="auto"/>
              <w:left w:val="single" w:sz="8" w:color="auto"/>
            </w:tcBorders>
          </w:tcPr>
          <w:p>
            <w:pPr>
              <w:spacing w:after="0"/>
              <w:rPr>
                <w:sz w:val="19"/>
                <w:szCs w:val="19"/>
                <w:color w:val="auto"/>
              </w:rPr>
            </w:pPr>
          </w:p>
        </w:tc>
        <w:tc>
          <w:tcPr>
            <w:tcW w:w="15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Project</w:t>
            </w:r>
          </w:p>
        </w:tc>
        <w:tc>
          <w:tcPr>
            <w:tcW w:w="42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Status</w:t>
            </w:r>
          </w:p>
        </w:tc>
        <w:tc>
          <w:tcPr>
            <w:tcW w:w="4860" w:type="dxa"/>
            <w:vAlign w:val="bottom"/>
            <w:tcBorders>
              <w:top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Expected Near Term Milestones</w:t>
            </w:r>
          </w:p>
        </w:tc>
        <w:tc>
          <w:tcPr>
            <w:tcW w:w="0" w:type="dxa"/>
            <w:vAlign w:val="bottom"/>
          </w:tcPr>
          <w:p>
            <w:pPr>
              <w:spacing w:after="0"/>
              <w:rPr>
                <w:sz w:val="1"/>
                <w:szCs w:val="1"/>
                <w:color w:val="auto"/>
              </w:rPr>
            </w:pPr>
          </w:p>
        </w:tc>
      </w:tr>
      <w:tr>
        <w:trPr>
          <w:trHeight w:val="57"/>
        </w:trPr>
        <w:tc>
          <w:tcPr>
            <w:tcW w:w="60" w:type="dxa"/>
            <w:vAlign w:val="bottom"/>
            <w:tcBorders>
              <w:left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2040" w:type="dxa"/>
            <w:vAlign w:val="bottom"/>
            <w:tcBorders>
              <w:top w:val="single" w:sz="8" w:color="auto"/>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1.</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7"/>
              </w:rPr>
              <w:t>Phase 2a study for relapsed or refractory AML completed</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1.</w:t>
            </w:r>
          </w:p>
        </w:tc>
        <w:tc>
          <w:tcPr>
            <w:tcW w:w="46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Follow-up for overall survival rate is ongoing</w:t>
            </w:r>
          </w:p>
        </w:tc>
        <w:tc>
          <w:tcPr>
            <w:tcW w:w="0" w:type="dxa"/>
            <w:vAlign w:val="bottom"/>
          </w:tcPr>
          <w:p>
            <w:pPr>
              <w:spacing w:after="0"/>
              <w:rPr>
                <w:sz w:val="1"/>
                <w:szCs w:val="1"/>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2.</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Phase 2b consolidation treatment for AML ongoing</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2.</w:t>
            </w: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Completion of enrollment and possible interim analysis results</w:t>
            </w: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expected in H2 2018; top-line results expected in H2 2019</w:t>
            </w:r>
          </w:p>
        </w:tc>
        <w:tc>
          <w:tcPr>
            <w:tcW w:w="0" w:type="dxa"/>
            <w:vAlign w:val="bottom"/>
          </w:tcPr>
          <w:p>
            <w:pPr>
              <w:spacing w:after="0"/>
              <w:rPr>
                <w:sz w:val="1"/>
                <w:szCs w:val="1"/>
                <w:color w:val="auto"/>
              </w:rPr>
            </w:pPr>
          </w:p>
        </w:tc>
      </w:tr>
      <w:tr>
        <w:trPr>
          <w:trHeight w:val="268"/>
        </w:trPr>
        <w:tc>
          <w:tcPr>
            <w:tcW w:w="6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3.</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Phase 2 study in stem cell mobilization ongoing</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3.</w:t>
            </w: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Top-line results expected in Q4 2017.</w:t>
            </w:r>
          </w:p>
        </w:tc>
        <w:tc>
          <w:tcPr>
            <w:tcW w:w="0" w:type="dxa"/>
            <w:vAlign w:val="bottom"/>
          </w:tcPr>
          <w:p>
            <w:pPr>
              <w:spacing w:after="0"/>
              <w:rPr>
                <w:sz w:val="1"/>
                <w:szCs w:val="1"/>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4.</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6"/>
              </w:rPr>
              <w:t>Phase 2a study in pancreatic cancer, in collaboration with</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4.</w:t>
            </w: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w w:val="94"/>
              </w:rPr>
              <w:t>Partial results expected in H2 2017; top-line results expected in H2</w:t>
            </w: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Merck, initiated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ind w:left="100"/>
              <w:spacing w:after="0"/>
              <w:rPr>
                <w:sz w:val="20"/>
                <w:szCs w:val="20"/>
                <w:color w:val="auto"/>
              </w:rPr>
            </w:pPr>
            <w:r>
              <w:rPr>
                <w:rFonts w:ascii="Arial" w:cs="Arial" w:eastAsia="Arial" w:hAnsi="Arial"/>
                <w:sz w:val="16"/>
                <w:szCs w:val="16"/>
                <w:color w:val="auto"/>
              </w:rPr>
              <w:t>2018</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BL-8040</w:t>
            </w: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5.</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6"/>
              </w:rPr>
              <w:t>Phase 2b study in pancreatic cancer, in collaboration with</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5.</w:t>
            </w: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Top-line results expected in H2 2018</w:t>
            </w: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MD Anderson Cancer Center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6.</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9"/>
              </w:rPr>
              <w:t>Phase 1b study in AML, in collaboration with Genentech</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6.</w:t>
            </w: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Commencement of study expected in H2 2017; top-line results</w:t>
            </w: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expected in 2019</w:t>
            </w:r>
          </w:p>
        </w:tc>
        <w:tc>
          <w:tcPr>
            <w:tcW w:w="0" w:type="dxa"/>
            <w:vAlign w:val="bottom"/>
          </w:tcPr>
          <w:p>
            <w:pPr>
              <w:spacing w:after="0"/>
              <w:rPr>
                <w:sz w:val="1"/>
                <w:szCs w:val="1"/>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7.</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w w:val="97"/>
              </w:rPr>
              <w:t>Phase 1b studies in various solid tumors, in collaboration</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7.</w:t>
            </w: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w w:val="98"/>
              </w:rPr>
              <w:t>Commencement of studies expected in H2 2017; top-line results</w:t>
            </w: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with Genentech</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expected in 2019</w:t>
            </w:r>
          </w:p>
        </w:tc>
        <w:tc>
          <w:tcPr>
            <w:tcW w:w="0" w:type="dxa"/>
            <w:vAlign w:val="bottom"/>
          </w:tcPr>
          <w:p>
            <w:pPr>
              <w:spacing w:after="0"/>
              <w:rPr>
                <w:sz w:val="1"/>
                <w:szCs w:val="1"/>
                <w:color w:val="auto"/>
              </w:rPr>
            </w:pPr>
          </w:p>
        </w:tc>
      </w:tr>
      <w:tr>
        <w:trPr>
          <w:trHeight w:val="256"/>
        </w:trPr>
        <w:tc>
          <w:tcPr>
            <w:tcW w:w="60" w:type="dxa"/>
            <w:vAlign w:val="bottom"/>
            <w:tcBorders>
              <w:lef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8.</w:t>
            </w: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Phase 3 registration study in autologous stem cell</w:t>
            </w:r>
          </w:p>
        </w:tc>
        <w:tc>
          <w:tcPr>
            <w:tcW w:w="240" w:type="dxa"/>
            <w:vAlign w:val="bottom"/>
            <w:gridSpan w:val="2"/>
          </w:tcPr>
          <w:p>
            <w:pPr>
              <w:ind w:left="20"/>
              <w:spacing w:after="0"/>
              <w:rPr>
                <w:sz w:val="20"/>
                <w:szCs w:val="20"/>
                <w:color w:val="auto"/>
              </w:rPr>
            </w:pPr>
            <w:r>
              <w:rPr>
                <w:rFonts w:ascii="Arial" w:cs="Arial" w:eastAsia="Arial" w:hAnsi="Arial"/>
                <w:sz w:val="16"/>
                <w:szCs w:val="16"/>
                <w:color w:val="auto"/>
              </w:rPr>
              <w:t>8.</w:t>
            </w:r>
          </w:p>
        </w:tc>
        <w:tc>
          <w:tcPr>
            <w:tcW w:w="46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Commencement of study expected in H2 2017</w:t>
            </w: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mobilization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60" w:type="dxa"/>
            <w:vAlign w:val="bottom"/>
            <w:tcBorders>
              <w:left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AGI-134</w:t>
            </w:r>
          </w:p>
        </w:tc>
        <w:tc>
          <w:tcPr>
            <w:tcW w:w="42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6"/>
                <w:szCs w:val="16"/>
                <w:color w:val="auto"/>
              </w:rPr>
              <w:t>Near-clinical development studies</w:t>
            </w:r>
          </w:p>
        </w:tc>
        <w:tc>
          <w:tcPr>
            <w:tcW w:w="48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rPr>
              <w:t>Regulatory submission for first-in-man study expected in H2 2017;</w:t>
            </w:r>
          </w:p>
        </w:tc>
        <w:tc>
          <w:tcPr>
            <w:tcW w:w="0" w:type="dxa"/>
            <w:vAlign w:val="bottom"/>
          </w:tcPr>
          <w:p>
            <w:pPr>
              <w:spacing w:after="0"/>
              <w:rPr>
                <w:sz w:val="1"/>
                <w:szCs w:val="1"/>
                <w:color w:val="auto"/>
              </w:rPr>
            </w:pPr>
          </w:p>
        </w:tc>
      </w:tr>
      <w:tr>
        <w:trPr>
          <w:trHeight w:val="109"/>
        </w:trPr>
        <w:tc>
          <w:tcPr>
            <w:tcW w:w="60" w:type="dxa"/>
            <w:vAlign w:val="bottom"/>
            <w:tcBorders>
              <w:left w:val="single" w:sz="8" w:color="auto"/>
            </w:tcBorders>
          </w:tcPr>
          <w:p>
            <w:pPr>
              <w:spacing w:after="0"/>
              <w:rPr>
                <w:sz w:val="9"/>
                <w:szCs w:val="9"/>
                <w:color w:val="auto"/>
              </w:rPr>
            </w:pPr>
          </w:p>
        </w:tc>
        <w:tc>
          <w:tcPr>
            <w:tcW w:w="1560" w:type="dxa"/>
            <w:vAlign w:val="bottom"/>
            <w:tcBorders>
              <w:right w:val="single" w:sz="8" w:color="auto"/>
            </w:tcBorders>
            <w:gridSpan w:val="2"/>
            <w:vMerge w:val="continue"/>
          </w:tcPr>
          <w:p>
            <w:pPr>
              <w:spacing w:after="0"/>
              <w:rPr>
                <w:sz w:val="9"/>
                <w:szCs w:val="9"/>
                <w:color w:val="auto"/>
              </w:rPr>
            </w:pPr>
          </w:p>
        </w:tc>
        <w:tc>
          <w:tcPr>
            <w:tcW w:w="4260" w:type="dxa"/>
            <w:vAlign w:val="bottom"/>
            <w:tcBorders>
              <w:right w:val="single" w:sz="8" w:color="auto"/>
            </w:tcBorders>
            <w:gridSpan w:val="4"/>
            <w:vMerge w:val="continue"/>
          </w:tcPr>
          <w:p>
            <w:pPr>
              <w:spacing w:after="0"/>
              <w:rPr>
                <w:sz w:val="9"/>
                <w:szCs w:val="9"/>
                <w:color w:val="auto"/>
              </w:rPr>
            </w:pPr>
          </w:p>
        </w:tc>
        <w:tc>
          <w:tcPr>
            <w:tcW w:w="48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6"/>
                <w:szCs w:val="16"/>
                <w:color w:val="auto"/>
              </w:rPr>
              <w:t>commencement of study expected in H1 2018</w:t>
            </w:r>
          </w:p>
        </w:tc>
        <w:tc>
          <w:tcPr>
            <w:tcW w:w="0" w:type="dxa"/>
            <w:vAlign w:val="bottom"/>
          </w:tcPr>
          <w:p>
            <w:pPr>
              <w:spacing w:after="0"/>
              <w:rPr>
                <w:sz w:val="1"/>
                <w:szCs w:val="1"/>
                <w:color w:val="auto"/>
              </w:rPr>
            </w:pPr>
          </w:p>
        </w:tc>
      </w:tr>
      <w:tr>
        <w:trPr>
          <w:trHeight w:val="97"/>
        </w:trPr>
        <w:tc>
          <w:tcPr>
            <w:tcW w:w="6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760" w:type="dxa"/>
            <w:vAlign w:val="bottom"/>
            <w:tcBorders>
              <w:right w:val="single" w:sz="8" w:color="auto"/>
            </w:tcBorders>
          </w:tcPr>
          <w:p>
            <w:pPr>
              <w:spacing w:after="0"/>
              <w:rPr>
                <w:sz w:val="8"/>
                <w:szCs w:val="8"/>
                <w:color w:val="auto"/>
              </w:rPr>
            </w:pPr>
          </w:p>
        </w:tc>
        <w:tc>
          <w:tcPr>
            <w:tcW w:w="486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0" w:type="dxa"/>
            <w:vAlign w:val="bottom"/>
            <w:tcBorders>
              <w:left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42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w w:val="97"/>
              </w:rPr>
              <w:t>Out-licensed to Omega Pharma; CE mark approval obtained;</w:t>
            </w:r>
          </w:p>
        </w:tc>
        <w:tc>
          <w:tcPr>
            <w:tcW w:w="48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w w:val="97"/>
              </w:rPr>
              <w:t>Gradual full roll-out of commercial launch over next two years; pursuit</w:t>
            </w:r>
          </w:p>
        </w:tc>
        <w:tc>
          <w:tcPr>
            <w:tcW w:w="0" w:type="dxa"/>
            <w:vAlign w:val="bottom"/>
          </w:tcPr>
          <w:p>
            <w:pPr>
              <w:spacing w:after="0"/>
              <w:rPr>
                <w:sz w:val="1"/>
                <w:szCs w:val="1"/>
                <w:color w:val="auto"/>
              </w:rPr>
            </w:pPr>
          </w:p>
        </w:tc>
      </w:tr>
      <w:tr>
        <w:trPr>
          <w:trHeight w:val="195"/>
        </w:trPr>
        <w:tc>
          <w:tcPr>
            <w:tcW w:w="60" w:type="dxa"/>
            <w:vAlign w:val="bottom"/>
            <w:tcBorders>
              <w:left w:val="single" w:sz="8" w:color="auto"/>
            </w:tcBorders>
          </w:tcPr>
          <w:p>
            <w:pPr>
              <w:spacing w:after="0"/>
              <w:rPr>
                <w:sz w:val="16"/>
                <w:szCs w:val="16"/>
                <w:color w:val="auto"/>
              </w:rPr>
            </w:pPr>
          </w:p>
        </w:tc>
        <w:tc>
          <w:tcPr>
            <w:tcW w:w="15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BL-5010</w:t>
            </w:r>
          </w:p>
        </w:tc>
        <w:tc>
          <w:tcPr>
            <w:tcW w:w="42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rPr>
              <w:t>commercial launch of first OTC indication in Europe</w:t>
            </w:r>
          </w:p>
        </w:tc>
        <w:tc>
          <w:tcPr>
            <w:tcW w:w="48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w w:val="99"/>
              </w:rPr>
              <w:t>of potential out-licensing partner(s) for OTC and non-OTC rights still</w:t>
            </w:r>
          </w:p>
        </w:tc>
        <w:tc>
          <w:tcPr>
            <w:tcW w:w="0" w:type="dxa"/>
            <w:vAlign w:val="bottom"/>
          </w:tcPr>
          <w:p>
            <w:pPr>
              <w:spacing w:after="0"/>
              <w:rPr>
                <w:sz w:val="1"/>
                <w:szCs w:val="1"/>
                <w:color w:val="auto"/>
              </w:rPr>
            </w:pPr>
          </w:p>
        </w:tc>
      </w:tr>
      <w:tr>
        <w:trPr>
          <w:trHeight w:val="207"/>
        </w:trPr>
        <w:tc>
          <w:tcPr>
            <w:tcW w:w="6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42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rPr>
              <w:t>commenced</w:t>
            </w:r>
          </w:p>
        </w:tc>
        <w:tc>
          <w:tcPr>
            <w:tcW w:w="48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rPr>
              <w:t>held by us</w:t>
            </w:r>
          </w:p>
        </w:tc>
        <w:tc>
          <w:tcPr>
            <w:tcW w:w="0" w:type="dxa"/>
            <w:vAlign w:val="bottom"/>
          </w:tcPr>
          <w:p>
            <w:pPr>
              <w:spacing w:after="0"/>
              <w:rPr>
                <w:sz w:val="1"/>
                <w:szCs w:val="1"/>
                <w:color w:val="auto"/>
              </w:rPr>
            </w:pPr>
          </w:p>
        </w:tc>
      </w:tr>
      <w:tr>
        <w:trPr>
          <w:trHeight w:val="42"/>
        </w:trPr>
        <w:tc>
          <w:tcPr>
            <w:tcW w:w="60" w:type="dxa"/>
            <w:vAlign w:val="bottom"/>
            <w:tcBorders>
              <w:left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120" w:firstLine="584"/>
        <w:spacing w:after="0" w:line="268" w:lineRule="auto"/>
        <w:rPr>
          <w:sz w:val="20"/>
          <w:szCs w:val="20"/>
          <w:color w:val="auto"/>
        </w:rPr>
      </w:pPr>
      <w:r>
        <w:rPr>
          <w:rFonts w:ascii="Arial" w:cs="Arial" w:eastAsia="Arial" w:hAnsi="Arial"/>
          <w:sz w:val="16"/>
          <w:szCs w:val="16"/>
          <w:color w:val="auto"/>
        </w:rPr>
        <w:t>In addition to the projects set forth above, we have five additional projects in clinical and pre-clinical stages of development (BL-9020, BL-1210, BL-1220, BL-1230 and BL-1040) that are significantly less material to the Company's ongoing research and development expenditures. See "Item 4. Information on the Company — Business Overview — Other Therapeutic Candidates."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9" w:name="page70"/>
    <w:bookmarkEnd w:id="69"/>
    <w:p>
      <w:pPr>
        <w:ind w:right="420" w:firstLine="584"/>
        <w:spacing w:after="0" w:line="283" w:lineRule="auto"/>
        <w:rPr>
          <w:sz w:val="20"/>
          <w:szCs w:val="20"/>
          <w:color w:val="auto"/>
        </w:rPr>
      </w:pPr>
      <w:r>
        <w:rPr>
          <w:rFonts w:ascii="Arial" w:cs="Arial" w:eastAsia="Arial" w:hAnsi="Arial"/>
          <w:sz w:val="16"/>
          <w:szCs w:val="16"/>
          <w:color w:val="auto"/>
        </w:rPr>
        <w:t>Set forth below is a summary of the costs allocated to our main projects on an individual basis, as well as the costs allocated to our less significant projects on an aggregate basis, for the years ended December 31, 2014, 2015 and 2016, and on an aggregate basis since project inception.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000" w:type="dxa"/>
            <w:vAlign w:val="bottom"/>
            <w:gridSpan w:val="5"/>
            <w:vMerge w:val="restart"/>
          </w:tcPr>
          <w:p>
            <w:pPr>
              <w:ind w:left="1040"/>
              <w:spacing w:after="0"/>
              <w:rPr>
                <w:sz w:val="20"/>
                <w:szCs w:val="20"/>
                <w:color w:val="auto"/>
              </w:rPr>
            </w:pPr>
            <w:r>
              <w:rPr>
                <w:rFonts w:ascii="Arial" w:cs="Arial" w:eastAsia="Arial" w:hAnsi="Arial"/>
                <w:sz w:val="16"/>
                <w:szCs w:val="16"/>
                <w:b w:val="1"/>
                <w:bCs w:val="1"/>
                <w:color w:val="auto"/>
                <w:w w:val="98"/>
              </w:rPr>
              <w:t>Year Ended December 31,</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Costs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000" w:type="dxa"/>
            <w:vAlign w:val="bottom"/>
            <w:tcBorders>
              <w:bottom w:val="single" w:sz="8" w:color="auto"/>
            </w:tcBorders>
            <w:gridSpan w:val="5"/>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Since Project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7"/>
                <w:szCs w:val="17"/>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Inception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(U.S. $ in</w:t>
            </w:r>
          </w:p>
        </w:tc>
        <w:tc>
          <w:tcPr>
            <w:tcW w:w="22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499"/>
              <w:spacing w:after="0"/>
              <w:rPr>
                <w:sz w:val="20"/>
                <w:szCs w:val="20"/>
                <w:color w:val="auto"/>
              </w:rPr>
            </w:pPr>
            <w:r>
              <w:rPr>
                <w:rFonts w:ascii="Arial" w:cs="Arial" w:eastAsia="Arial" w:hAnsi="Arial"/>
                <w:sz w:val="15"/>
                <w:szCs w:val="15"/>
                <w:color w:val="auto"/>
                <w:w w:val="70"/>
              </w:rPr>
              <w:t>thousands)</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BL-8040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4,698</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7,045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8,281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BL-7010</w:t>
            </w:r>
          </w:p>
        </w:tc>
        <w:tc>
          <w:tcPr>
            <w:tcW w:w="1160" w:type="dxa"/>
            <w:vAlign w:val="bottom"/>
          </w:tcPr>
          <w:p>
            <w:pPr>
              <w:jc w:val="right"/>
              <w:spacing w:after="0"/>
              <w:rPr>
                <w:sz w:val="20"/>
                <w:szCs w:val="20"/>
                <w:color w:val="auto"/>
              </w:rPr>
            </w:pPr>
            <w:r>
              <w:rPr>
                <w:rFonts w:ascii="Arial" w:cs="Arial" w:eastAsia="Arial" w:hAnsi="Arial"/>
                <w:sz w:val="16"/>
                <w:szCs w:val="16"/>
                <w:color w:val="auto"/>
              </w:rPr>
              <w:t>3,756</w:t>
            </w:r>
          </w:p>
        </w:tc>
        <w:tc>
          <w:tcPr>
            <w:tcW w:w="2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1,657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1,471</w:t>
            </w:r>
          </w:p>
        </w:tc>
        <w:tc>
          <w:tcPr>
            <w:tcW w:w="1140" w:type="dxa"/>
            <w:vAlign w:val="bottom"/>
          </w:tcPr>
          <w:p>
            <w:pPr>
              <w:jc w:val="right"/>
              <w:spacing w:after="0"/>
              <w:rPr>
                <w:sz w:val="20"/>
                <w:szCs w:val="20"/>
                <w:color w:val="auto"/>
              </w:rPr>
            </w:pPr>
            <w:r>
              <w:rPr>
                <w:rFonts w:ascii="Arial" w:cs="Arial" w:eastAsia="Arial" w:hAnsi="Arial"/>
                <w:sz w:val="16"/>
                <w:szCs w:val="16"/>
                <w:color w:val="auto"/>
              </w:rPr>
              <w:t>9,623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BL-5010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Other projects</w:t>
            </w:r>
          </w:p>
        </w:tc>
        <w:tc>
          <w:tcPr>
            <w:tcW w:w="1160" w:type="dxa"/>
            <w:vAlign w:val="bottom"/>
          </w:tcPr>
          <w:p>
            <w:pPr>
              <w:jc w:val="right"/>
              <w:spacing w:after="0"/>
              <w:rPr>
                <w:sz w:val="20"/>
                <w:szCs w:val="20"/>
                <w:color w:val="auto"/>
              </w:rPr>
            </w:pPr>
            <w:r>
              <w:rPr>
                <w:rFonts w:ascii="Arial" w:cs="Arial" w:eastAsia="Arial" w:hAnsi="Arial"/>
                <w:sz w:val="16"/>
                <w:szCs w:val="16"/>
                <w:color w:val="auto"/>
              </w:rPr>
              <w:t>1,537</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1,916</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1,176</w:t>
            </w:r>
          </w:p>
        </w:tc>
        <w:tc>
          <w:tcPr>
            <w:tcW w:w="1140" w:type="dxa"/>
            <w:vAlign w:val="bottom"/>
          </w:tcPr>
          <w:p>
            <w:pPr>
              <w:jc w:val="right"/>
              <w:spacing w:after="0"/>
              <w:rPr>
                <w:sz w:val="20"/>
                <w:szCs w:val="20"/>
                <w:color w:val="auto"/>
              </w:rPr>
            </w:pPr>
            <w:r>
              <w:rPr>
                <w:rFonts w:ascii="Arial" w:cs="Arial" w:eastAsia="Arial" w:hAnsi="Arial"/>
                <w:sz w:val="16"/>
                <w:szCs w:val="16"/>
                <w:color w:val="auto"/>
              </w:rPr>
              <w:t>104,508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Total project costs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11,273</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0" w:firstLine="584"/>
        <w:spacing w:after="0" w:line="301" w:lineRule="auto"/>
        <w:rPr>
          <w:sz w:val="20"/>
          <w:szCs w:val="20"/>
          <w:color w:val="auto"/>
        </w:rPr>
      </w:pPr>
      <w:r>
        <w:rPr>
          <w:rFonts w:ascii="Arial" w:cs="Arial" w:eastAsia="Arial" w:hAnsi="Arial"/>
          <w:sz w:val="14"/>
          <w:szCs w:val="14"/>
          <w:color w:val="auto"/>
        </w:rPr>
        <w:t>From our inception through December 31, 2016, we have incurred research and development expense of approximately $177.0 million. We expect that a large percentage of our research and development expense in the future will be incurred in support of our current and future preclinical and clinical development projects. Due to the inherently unpredictable nature of preclinical and clinical development processes and given the early stage of our preclinical product development projects, we are unable to estimate with any certainty the costs we will incur in the continued development of the therapeutic candidates in our pipeline for potential commercialization. Clinical development timelines, the probability of success and development costs can differ materially from expectations. We expect to continue to test our product candidates in preclinical studies for toxicology, safety and efficacy, and to conduct additional clinical trials for each product candidate. If we are not able to enter into an out-licensing arrangement with respect to any therapeutic candidate prior to the commencement of later stage clinical trials, we may fund the trials for the therapeutic candidate ourselves.</w:t>
      </w:r>
    </w:p>
    <w:p>
      <w:pPr>
        <w:spacing w:after="0" w:line="194" w:lineRule="exact"/>
        <w:rPr>
          <w:sz w:val="20"/>
          <w:szCs w:val="20"/>
          <w:color w:val="auto"/>
        </w:rPr>
      </w:pPr>
    </w:p>
    <w:p>
      <w:pPr>
        <w:ind w:right="100" w:firstLine="584"/>
        <w:spacing w:after="0" w:line="282" w:lineRule="auto"/>
        <w:rPr>
          <w:sz w:val="20"/>
          <w:szCs w:val="20"/>
          <w:color w:val="auto"/>
        </w:rPr>
      </w:pPr>
      <w:r>
        <w:rPr>
          <w:rFonts w:ascii="Arial" w:cs="Arial" w:eastAsia="Arial" w:hAnsi="Arial"/>
          <w:sz w:val="15"/>
          <w:szCs w:val="15"/>
          <w:color w:val="auto"/>
        </w:rPr>
        <w:t>While we are currently focused on advancing each of our product development projects, our future research and development expenses will depend on the clinical success of each therapeutic candidate, as well as ongoing assessments of each therapeutic candidate's commercial potential. In addition, we cannot forecast with any degree of certainty which therapeutic candidates may be subject to future out-licensing arrangements, when such out-licensing arrangements will be secured, if at all, and to what degree such arrangements would affect our development plans and capital requirements. See "Item 3. Key Information — Risk Factors — If we or our licensees are unable to obtain U.S. and/or foreign regulatory approval for our therapeutic candidates, we will be unable to commercialize our therapeutic candidates."</w:t>
      </w:r>
    </w:p>
    <w:p>
      <w:pPr>
        <w:spacing w:after="0" w:line="204" w:lineRule="exact"/>
        <w:rPr>
          <w:sz w:val="20"/>
          <w:szCs w:val="20"/>
          <w:color w:val="auto"/>
        </w:rPr>
      </w:pPr>
    </w:p>
    <w:p>
      <w:pPr>
        <w:ind w:right="440" w:firstLine="584"/>
        <w:spacing w:after="0" w:line="268" w:lineRule="auto"/>
        <w:rPr>
          <w:sz w:val="20"/>
          <w:szCs w:val="20"/>
          <w:color w:val="auto"/>
        </w:rPr>
      </w:pPr>
      <w:r>
        <w:rPr>
          <w:rFonts w:ascii="Arial" w:cs="Arial" w:eastAsia="Arial" w:hAnsi="Arial"/>
          <w:sz w:val="16"/>
          <w:szCs w:val="16"/>
          <w:color w:val="auto"/>
        </w:rPr>
        <w:t>As we obtain results from clinical trials, we may elect to discontinue or delay clinical trials for certain therapeutic candidates or projects in order to focus our resources on more promising therapeutic candidates or projects. Completion of clinical trials by us or our licensees may take several years or more, but the length of time generally varies according to the type, complexity, novelty and intended use of a therapeutic candidate.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cost of clinical trials may vary significantly over the life of a project as a result of differences arising during clinical development, including, among others:</w:t>
      </w:r>
    </w:p>
    <w:p>
      <w:pPr>
        <w:spacing w:after="0" w:line="266" w:lineRule="exact"/>
        <w:rPr>
          <w:sz w:val="20"/>
          <w:szCs w:val="20"/>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number of sites included in the clinical trials;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length of time required to enroll suitable patients;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 of drug substance/product manufacturing, storage and shipment;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number of patients that participate in the clinical trials;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duration of patient follow-up;</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whether the patients require hospitalization or can be treated on an out-patient basis;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development stage of the therapeutic candidate;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efficacy and safety profile of the therapeutic candidate.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70" w:name="page71"/>
    <w:bookmarkEnd w:id="70"/>
    <w:p>
      <w:pPr>
        <w:ind w:right="80" w:firstLine="584"/>
        <w:spacing w:after="0" w:line="282" w:lineRule="auto"/>
        <w:rPr>
          <w:sz w:val="20"/>
          <w:szCs w:val="20"/>
          <w:color w:val="auto"/>
        </w:rPr>
      </w:pPr>
      <w:r>
        <w:rPr>
          <w:rFonts w:ascii="Arial" w:cs="Arial" w:eastAsia="Arial" w:hAnsi="Arial"/>
          <w:sz w:val="15"/>
          <w:szCs w:val="15"/>
          <w:color w:val="auto"/>
        </w:rPr>
        <w:t>We expect our research and development expenses to remain our most significant cost as we continue the advancement of our clinical trials and preclinical product development projects and place significant emphasis on in-licensing new product candidates. The lengthy process of completing clinical trials and seeking regulatory approval for our product candidates requires expenditure of substantial resources. Any failure or delay in completing clinical trials, or in obtaining regulatory approvals, could cause a delay in generating product revenue and cause our research and development expenses to increase and, in turn, have a material adverse effect on our operations. Due to the factors set forth above, we are not able to estimate with any certainty when we would recognize any net cash inflows from our projects.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 Expenses</w:t>
      </w:r>
    </w:p>
    <w:p>
      <w:pPr>
        <w:spacing w:after="0" w:line="258" w:lineRule="exact"/>
        <w:rPr>
          <w:sz w:val="20"/>
          <w:szCs w:val="20"/>
          <w:color w:val="auto"/>
        </w:rPr>
      </w:pPr>
    </w:p>
    <w:p>
      <w:pPr>
        <w:jc w:val="both"/>
        <w:ind w:firstLine="584"/>
        <w:spacing w:after="0" w:line="199" w:lineRule="exact"/>
        <w:rPr>
          <w:sz w:val="20"/>
          <w:szCs w:val="20"/>
          <w:color w:val="auto"/>
        </w:rPr>
      </w:pPr>
      <w:r>
        <w:rPr>
          <w:rFonts w:ascii="Arial" w:cs="Arial" w:eastAsia="Arial" w:hAnsi="Arial"/>
          <w:sz w:val="16"/>
          <w:szCs w:val="16"/>
          <w:color w:val="auto"/>
        </w:rPr>
        <w:t>Sales and marketing expenses consist primarily of compensation for employees in business development and marketing functions. Other signi</w:t>
      </w:r>
      <w:r>
        <w:rPr>
          <w:rFonts w:ascii="Arial Unicode MS" w:cs="Arial Unicode MS" w:eastAsia="Arial Unicode MS" w:hAnsi="Arial Unicode MS"/>
          <w:sz w:val="16"/>
          <w:szCs w:val="16"/>
          <w:color w:val="auto"/>
        </w:rPr>
        <w:t></w:t>
      </w:r>
      <w:r>
        <w:rPr>
          <w:rFonts w:ascii="Arial" w:cs="Arial" w:eastAsia="Arial" w:hAnsi="Arial"/>
          <w:sz w:val="16"/>
          <w:szCs w:val="16"/>
          <w:color w:val="auto"/>
        </w:rPr>
        <w:t>cant sales and marketing costs include costs for marketing and communication materials, professional fees for outside market research and consulting, legal services related to partnering transactions and travel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 Expenses</w:t>
      </w:r>
    </w:p>
    <w:p>
      <w:pPr>
        <w:spacing w:after="0" w:line="258" w:lineRule="exact"/>
        <w:rPr>
          <w:sz w:val="20"/>
          <w:szCs w:val="20"/>
          <w:color w:val="auto"/>
        </w:rPr>
      </w:pPr>
    </w:p>
    <w:p>
      <w:pPr>
        <w:ind w:right="280" w:firstLine="584"/>
        <w:spacing w:after="0" w:line="268" w:lineRule="auto"/>
        <w:rPr>
          <w:sz w:val="20"/>
          <w:szCs w:val="20"/>
          <w:color w:val="auto"/>
        </w:rPr>
      </w:pPr>
      <w:r>
        <w:rPr>
          <w:rFonts w:ascii="Arial" w:cs="Arial" w:eastAsia="Arial" w:hAnsi="Arial"/>
          <w:sz w:val="16"/>
          <w:szCs w:val="16"/>
          <w:color w:val="auto"/>
        </w:rPr>
        <w:t>General and administrative expenses consist primarily of compensation for employees in executive and operational functions, including accounting, finance, legal, investor relations, information technology and human resources. Other significant general and administration costs include facilities costs, professional fees for outside accounting and legal services, travel costs, insurance premiums and depreciation.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Non-Operating Expense and Income</w:t>
      </w:r>
    </w:p>
    <w:p>
      <w:pPr>
        <w:spacing w:after="0" w:line="258" w:lineRule="exact"/>
        <w:rPr>
          <w:sz w:val="20"/>
          <w:szCs w:val="20"/>
          <w:color w:val="auto"/>
        </w:rPr>
      </w:pPr>
    </w:p>
    <w:p>
      <w:pPr>
        <w:ind w:right="60" w:firstLine="584"/>
        <w:spacing w:after="0" w:line="286" w:lineRule="auto"/>
        <w:rPr>
          <w:sz w:val="20"/>
          <w:szCs w:val="20"/>
          <w:color w:val="auto"/>
        </w:rPr>
      </w:pPr>
      <w:r>
        <w:rPr>
          <w:rFonts w:ascii="Arial" w:cs="Arial" w:eastAsia="Arial" w:hAnsi="Arial"/>
          <w:sz w:val="15"/>
          <w:szCs w:val="15"/>
          <w:color w:val="auto"/>
        </w:rPr>
        <w:t>Non-operating expense and income includes fair-value adjustments of derivative liabilities on account of the warrants issued in the private and direct placements which we conducted in 2012 and 2013. These fair-value adjustments are highly influenced by our share price at each period end (revaluation date). Non-operating expense and income also includes the pro-rata share of issuance expenses from the private and direct placements related to the warrants. In addition, non-operating expense and income includes the initial commitment and finder's fees, as well as other one-time expenses, associated with the initial set-up of the share purchase agreements with LPC.</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Expense and Income</w:t>
      </w:r>
    </w:p>
    <w:p>
      <w:pPr>
        <w:spacing w:after="0" w:line="258"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Financial expense and income consist of interest earned on our cash, cash equivalents and short-term bank deposits; bank fees and other transactional costs; and expense or income resulting from fluctuations of the dollar and other currencies, in which a portion of our assets and liabilities are denominated, against the NIS (our functional currency).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58" w:lineRule="exact"/>
        <w:rPr>
          <w:sz w:val="20"/>
          <w:szCs w:val="20"/>
          <w:color w:val="auto"/>
        </w:rPr>
      </w:pPr>
    </w:p>
    <w:p>
      <w:pPr>
        <w:ind w:right="160" w:firstLine="584"/>
        <w:spacing w:after="0" w:line="283" w:lineRule="auto"/>
        <w:rPr>
          <w:sz w:val="20"/>
          <w:szCs w:val="20"/>
          <w:color w:val="auto"/>
        </w:rPr>
      </w:pPr>
      <w:r>
        <w:rPr>
          <w:rFonts w:ascii="Arial" w:cs="Arial" w:eastAsia="Arial" w:hAnsi="Arial"/>
          <w:sz w:val="16"/>
          <w:szCs w:val="16"/>
          <w:color w:val="auto"/>
        </w:rPr>
        <w:t>We describe our significant accounting policies more fully in Note 2 to our consolidated financial statements for the year ended December 31, 2016. We believe that the accounting policies below are critical for one to fully understand and evaluate our financial condition and results of operations.</w:t>
      </w:r>
    </w:p>
    <w:p>
      <w:pPr>
        <w:spacing w:after="0" w:line="199" w:lineRule="exact"/>
        <w:rPr>
          <w:sz w:val="20"/>
          <w:szCs w:val="20"/>
          <w:color w:val="auto"/>
        </w:rPr>
      </w:pPr>
    </w:p>
    <w:p>
      <w:pPr>
        <w:ind w:right="140" w:firstLine="584"/>
        <w:spacing w:after="0" w:line="260"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we prepare in accordance with IFRS. The preparation of these financial statements requires us to make estimates using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including those described in greater detail below. We base our estimates on historical experience and on various assumptions that we believe are reasonable under the circumstances, the results of which impact the carrying value of our assets and liabilities that are not readily apparent from other sources. Actual results will differ from these estimates and such differences may be significant.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Revenue Recognition</w:t>
      </w:r>
    </w:p>
    <w:p>
      <w:pPr>
        <w:spacing w:after="0" w:line="258" w:lineRule="exact"/>
        <w:rPr>
          <w:sz w:val="20"/>
          <w:szCs w:val="20"/>
          <w:color w:val="auto"/>
        </w:rPr>
      </w:pPr>
    </w:p>
    <w:p>
      <w:pPr>
        <w:ind w:right="60" w:firstLine="584"/>
        <w:spacing w:after="0" w:line="280" w:lineRule="auto"/>
        <w:rPr>
          <w:sz w:val="20"/>
          <w:szCs w:val="20"/>
          <w:color w:val="auto"/>
        </w:rPr>
      </w:pPr>
      <w:r>
        <w:rPr>
          <w:rFonts w:ascii="Arial" w:cs="Arial" w:eastAsia="Arial" w:hAnsi="Arial"/>
          <w:sz w:val="15"/>
          <w:szCs w:val="15"/>
          <w:color w:val="auto"/>
        </w:rPr>
        <w:t>We recognize revenues in accordance with International Financial Reporting Standards No. 15, or IFRS 15. Under IFRS 15, "Revenue from Contracts with Customers," which was issued in May 2014, amends revenue recognition requirements and establishes principles for reporting information about the nature, amount, timing and uncertainty of revenue and cash flows arising from contracts with customers. The standard replaces International Accounting Standard, or IAS, 18, "Revenue" and IAS 11, "Construction Contracts" and related interpretations. The standard is effective for annual periods beginning on or after January 1, 2018. The Company currently does not have any revenues, and will assess the impact of adopting IFRS 15 when relevant. Revenues incurred in connection with out-licensing of the Company's patents and other intellectual property are recognized when all of the following criteria have been met as of the balance sheet date:</w:t>
      </w:r>
    </w:p>
    <w:p>
      <w:pPr>
        <w:spacing w:after="0" w:line="156" w:lineRule="exact"/>
        <w:rPr>
          <w:sz w:val="20"/>
          <w:szCs w:val="20"/>
          <w:color w:val="auto"/>
        </w:rPr>
      </w:pPr>
    </w:p>
    <w:p>
      <w:pPr>
        <w:ind w:left="1160" w:hanging="578"/>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has transferred to the licensee the significant risks and rewards of ownership of the patents and intellectual property.</w:t>
      </w:r>
    </w:p>
    <w:p>
      <w:pPr>
        <w:spacing w:after="0" w:line="254" w:lineRule="exact"/>
        <w:rPr>
          <w:rFonts w:ascii="Arial" w:cs="Arial" w:eastAsia="Arial" w:hAnsi="Arial"/>
          <w:sz w:val="16"/>
          <w:szCs w:val="16"/>
          <w:color w:val="auto"/>
        </w:rPr>
      </w:pPr>
    </w:p>
    <w:p>
      <w:pPr>
        <w:ind w:left="1160" w:right="100" w:hanging="578"/>
        <w:spacing w:after="0" w:line="283" w:lineRule="auto"/>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does not retain either the continuing managerial involvement to the degree usually associated with ownership or the effective control over the patent and intellectual property.</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 of revenue can be measured reliably.</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is probable that the economic benefits associated with the transaction will flow to the Company.</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incurred or to be incurred in respect of the sale can be measured reliably.</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Revenue from reaching additional milestones is recognized upon achievement of the specific milestone, in accordance with the relevant agreement.</w:t>
      </w:r>
    </w:p>
    <w:p>
      <w:pPr>
        <w:spacing w:after="0" w:line="206" w:lineRule="exact"/>
        <w:rPr>
          <w:sz w:val="20"/>
          <w:szCs w:val="20"/>
          <w:color w:val="auto"/>
        </w:rPr>
      </w:pPr>
    </w:p>
    <w:p>
      <w:pPr>
        <w:ind w:right="160" w:firstLine="584"/>
        <w:spacing w:after="0" w:line="283" w:lineRule="auto"/>
        <w:rPr>
          <w:sz w:val="20"/>
          <w:szCs w:val="20"/>
          <w:color w:val="auto"/>
        </w:rPr>
      </w:pPr>
      <w:r>
        <w:rPr>
          <w:rFonts w:ascii="Arial" w:cs="Arial" w:eastAsia="Arial" w:hAnsi="Arial"/>
          <w:sz w:val="16"/>
          <w:szCs w:val="16"/>
          <w:color w:val="auto"/>
        </w:rPr>
        <w:t>Revenues in connection with rendering of services are recognized by reference to the stage of completion of the transaction as of the balance sheet date, if and when the outcome of the transaction can be estimated reliably.</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Revenues from royalties are recognized on accrual basis in accordance with the substance of the relevant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Expenses</w:t>
      </w:r>
    </w:p>
    <w:p>
      <w:pPr>
        <w:spacing w:after="0" w:line="258" w:lineRule="exact"/>
        <w:rPr>
          <w:sz w:val="20"/>
          <w:szCs w:val="20"/>
          <w:color w:val="auto"/>
        </w:rPr>
      </w:pPr>
    </w:p>
    <w:p>
      <w:pPr>
        <w:ind w:right="100" w:firstLine="584"/>
        <w:spacing w:after="0" w:line="301" w:lineRule="auto"/>
        <w:rPr>
          <w:sz w:val="20"/>
          <w:szCs w:val="20"/>
          <w:color w:val="auto"/>
        </w:rPr>
      </w:pPr>
      <w:r>
        <w:rPr>
          <w:rFonts w:ascii="Arial" w:cs="Arial" w:eastAsia="Arial" w:hAnsi="Arial"/>
          <w:sz w:val="14"/>
          <w:szCs w:val="14"/>
          <w:color w:val="auto"/>
        </w:rPr>
        <w:t>We are required to estimate accrued expenses as part of our process of preparing financial statements. This process involves estimating the level of service performed on our behalf and the associated cost incurred in instances where we have not been invoiced or otherwise notified of actual costs. Examples of areas in which subjective judgments may be required include costs associated with services provided by contract organizations for preclinical development, clinical trials and manufacturing of clinical materials. We account for expenses associated with these external services by determining the total cost of a given study based on the terms of the related contract. We accrue for costs incurred as the services are being provided by monitoring the status of the trials and the invoices received from our external service providers. In the case of clinical trials, the estimated cost normally relates to the projected costs of treating the patients in our trials, which we recognize over the estimated term of the trial according to the number of patients enrolled in the trial on an ongoing basis, beginning with patient enrollment. As actual costs become known to us, we adjust our accruals.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in Financial Assets</w:t>
      </w:r>
    </w:p>
    <w:p>
      <w:pPr>
        <w:spacing w:after="0" w:line="258" w:lineRule="exact"/>
        <w:rPr>
          <w:sz w:val="20"/>
          <w:szCs w:val="20"/>
          <w:color w:val="auto"/>
        </w:rPr>
      </w:pPr>
    </w:p>
    <w:p>
      <w:pPr>
        <w:ind w:right="100" w:firstLine="584"/>
        <w:spacing w:after="0" w:line="263" w:lineRule="auto"/>
        <w:rPr>
          <w:sz w:val="20"/>
          <w:szCs w:val="20"/>
          <w:color w:val="auto"/>
        </w:rPr>
      </w:pPr>
      <w:r>
        <w:rPr>
          <w:rFonts w:ascii="Arial" w:cs="Arial" w:eastAsia="Arial" w:hAnsi="Arial"/>
          <w:sz w:val="16"/>
          <w:szCs w:val="16"/>
          <w:color w:val="auto"/>
        </w:rPr>
        <w:t>The primary objective of our investment activities is to preserve principal while maximizing the income that we receive from our investments without significantly increasing risk and loss. Our investments are exposed to market risk due to fluctuations in interest rates, which may affect our interest income and the fair market value of our investments. We manage this exposure by performing ongoing evaluations of our investments. Due to the short-term maturities of our investments to date, their carrying value has always approximated their fair value.</w:t>
      </w:r>
    </w:p>
    <w:p>
      <w:pPr>
        <w:spacing w:after="0" w:line="216" w:lineRule="exact"/>
        <w:rPr>
          <w:sz w:val="20"/>
          <w:szCs w:val="20"/>
          <w:color w:val="auto"/>
        </w:rPr>
      </w:pPr>
    </w:p>
    <w:p>
      <w:pPr>
        <w:ind w:firstLine="584"/>
        <w:spacing w:after="0" w:line="301" w:lineRule="auto"/>
        <w:rPr>
          <w:sz w:val="20"/>
          <w:szCs w:val="20"/>
          <w:color w:val="auto"/>
        </w:rPr>
      </w:pPr>
      <w:r>
        <w:rPr>
          <w:rFonts w:ascii="Arial" w:cs="Arial" w:eastAsia="Arial" w:hAnsi="Arial"/>
          <w:sz w:val="14"/>
          <w:szCs w:val="14"/>
          <w:color w:val="auto"/>
        </w:rPr>
        <w:t>A financial asset is classified in this category if our management has designated it as a financial asset upon initial recognition, because it is managed and its performance is evaluated on a fair-value basis in accordance with a documented risk management or investment strategy. Our investment policy with regard to excess cash, as adopted by our Board of Directors, is composed of the following objectives: (i) preserving investment principal; (ii) providing liquidity; and (iii) providing optimum yields pursuant to the policy guidelines and market conditions. The policy provides detailed guidelines as to the securities and other financial instruments in which we are allowed to invest. In addition, in order to maintain liquidity, investments are structured to provide flexibility to liquidate at least 50% of all investments within 15 business days. Information about these assets, including details of the portfolio and income earned, is provided internally on a quarterly basis to our key management personnel and on a semi-annual basis to the Investment Monitoring Committee of our Board of Directors. Any divergence from this investment policy requires approval from our Board of Directors.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Stock-based Compensation</w:t>
      </w:r>
    </w:p>
    <w:p>
      <w:pPr>
        <w:spacing w:after="0" w:line="258" w:lineRule="exact"/>
        <w:rPr>
          <w:sz w:val="20"/>
          <w:szCs w:val="20"/>
          <w:color w:val="auto"/>
        </w:rPr>
      </w:pPr>
    </w:p>
    <w:p>
      <w:pPr>
        <w:ind w:firstLine="584"/>
        <w:spacing w:after="0" w:line="304" w:lineRule="auto"/>
        <w:rPr>
          <w:sz w:val="20"/>
          <w:szCs w:val="20"/>
          <w:color w:val="auto"/>
        </w:rPr>
      </w:pPr>
      <w:r>
        <w:rPr>
          <w:rFonts w:ascii="Arial" w:cs="Arial" w:eastAsia="Arial" w:hAnsi="Arial"/>
          <w:sz w:val="14"/>
          <w:szCs w:val="14"/>
          <w:color w:val="auto"/>
        </w:rPr>
        <w:t>We account for stock-based compensation arrangements in accordance with the provisions of IFRS 2. IFRS 2 requires companies to recognize stock compensation expense for awards of equity instruments based on the grant-date fair value of those awards (with limited exceptions). The cost is recognized as compensation expense over the life of the instruments, based upon the grant-date fair value of the equity or liability instruments issued. The fair value of our stock-based compensation grants is computed as of the grant date based on the Black-Scholes model, using the standard parameters established in that model including estimates relating to volatility of our stock, risk-free interest rates, estimated life of the equity instruments issued and the market price of our stock. As our ordinary shares are publicly traded on the TASE, we do not need to estimate their fair market value. Rather, we use the actual closing market price of our ordinary shares on the date of grant, as reported by the TASE.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58" w:lineRule="exact"/>
        <w:rPr>
          <w:sz w:val="20"/>
          <w:szCs w:val="20"/>
          <w:color w:val="auto"/>
        </w:rPr>
      </w:pPr>
    </w:p>
    <w:p>
      <w:pPr>
        <w:ind w:right="160" w:firstLine="584"/>
        <w:spacing w:after="0" w:line="263" w:lineRule="auto"/>
        <w:rPr>
          <w:sz w:val="20"/>
          <w:szCs w:val="20"/>
          <w:color w:val="auto"/>
        </w:rPr>
      </w:pPr>
      <w:r>
        <w:rPr>
          <w:rFonts w:ascii="Arial" w:cs="Arial" w:eastAsia="Arial" w:hAnsi="Arial"/>
          <w:sz w:val="16"/>
          <w:szCs w:val="16"/>
          <w:color w:val="auto"/>
        </w:rPr>
        <w:t>In connection with the private placement of approximately 5.25 million of our ADSs in February 2012, we issued warrants to purchase approximately 2.6 million of our ADSs at an exercise price of $3.57, subject to typical adjustments. The warrants were exercisable for a period of five years from the date of issuance. Since the exercise price was not deemed to be fixed, the warrants did qualify for classification as an equity instrument and were therefore classified as a non-current financial liability. The warrants expired in February 2017 without having been exercised.</w:t>
      </w:r>
    </w:p>
    <w:p>
      <w:pPr>
        <w:spacing w:after="0" w:line="216"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In connection with the direct placement to OrbiMed Israel Partners Limited Partnership of approximately 2.67 million of our ADSs in February 2013, we issued warrants to purchase 1.6 million of our ADSs at an exercise price of $3.94, subject to typical adjustments. The warrants are exercisable for a period of five years from the date of issuance. Since the exercise price was not deemed to be fixed, the warrants are not qualified for classification as an equity instrument and have therefore been classified as a non-current financial liability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Changes and Pronouncements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were no changes in the accounting policies applied by the Company during 2016.</w:t>
      </w:r>
    </w:p>
    <w:p>
      <w:pPr>
        <w:spacing w:after="0" w:line="254" w:lineRule="exact"/>
        <w:rPr>
          <w:sz w:val="20"/>
          <w:szCs w:val="20"/>
          <w:color w:val="auto"/>
        </w:rPr>
      </w:pPr>
    </w:p>
    <w:p>
      <w:pPr>
        <w:ind w:right="160" w:firstLine="584"/>
        <w:spacing w:after="0" w:line="268" w:lineRule="auto"/>
        <w:rPr>
          <w:sz w:val="20"/>
          <w:szCs w:val="20"/>
          <w:color w:val="auto"/>
        </w:rPr>
      </w:pPr>
      <w:r>
        <w:rPr>
          <w:rFonts w:ascii="Arial" w:cs="Arial" w:eastAsia="Arial" w:hAnsi="Arial"/>
          <w:sz w:val="16"/>
          <w:szCs w:val="16"/>
          <w:color w:val="auto"/>
        </w:rPr>
        <w:t>For information concerning new standards and interpretations not yet adopted, see Note 2r to our consolidated financial statements for the year ended December 31, 2016 included elsewhere in this report. As of the date of this report, we are not able to estimate the impact of the new standards on the Company's financial statements, and continue to assess the possible impact. We will make more detailed assessments over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Overview</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Revenues</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did not record any material revenues for the years ended December 31, 2014, 2015 and 2016.</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Cost of revenues</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did not record any cost of revenues for the years ended December 31, 2014, 2015 and 2016.</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54" w:lineRule="exact"/>
        <w:rPr>
          <w:sz w:val="20"/>
          <w:szCs w:val="20"/>
          <w:color w:val="auto"/>
        </w:rPr>
      </w:pPr>
    </w:p>
    <w:p>
      <w:pPr>
        <w:ind w:firstLine="584"/>
        <w:spacing w:after="0" w:line="259" w:lineRule="auto"/>
        <w:rPr>
          <w:sz w:val="20"/>
          <w:szCs w:val="20"/>
          <w:color w:val="auto"/>
        </w:rPr>
      </w:pPr>
      <w:r>
        <w:rPr>
          <w:rFonts w:ascii="Arial" w:cs="Arial" w:eastAsia="Arial" w:hAnsi="Arial"/>
          <w:sz w:val="16"/>
          <w:szCs w:val="16"/>
          <w:color w:val="auto"/>
        </w:rPr>
        <w:t>At December 31, 2013, our drug development pipeline consisted of 10 therapeutic candidates. During 2014, we added a new compound to our pipeline and discontinued the development of two compounds from the pipeline, so that our drug development pipeline as of December 31, 2014 consisted of nine therapeutic candidates. During 2015, we did not add any new compounds to our pipeline and we discontinued the development of one compound from the pipeline, so that our drug development pipeline as of December 31, 2015 consisted of eight therapeutic candidates. During 2016, we added three compounds to our pipeline and discontinued the development of three compounds in our pipeline, so that our drug development pipeline of as of December 31, 2016 consisted of eight therapeutic candidates. Subsequent to December 31, 2016, we terminated one therapeutic candidate in our pipeline, and added one therapeutic candidate to the pipeline, so that our drug development pipeline of the date of this report consists of eight therapeutic candidates.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Comparison of the Year Ended December 31, 2016 to the Year Ended December 31, 2015</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54" w:lineRule="exact"/>
        <w:rPr>
          <w:sz w:val="20"/>
          <w:szCs w:val="20"/>
          <w:color w:val="auto"/>
        </w:rPr>
      </w:pPr>
    </w:p>
    <w:p>
      <w:pPr>
        <w:ind w:right="60" w:firstLine="584"/>
        <w:spacing w:after="0" w:line="318" w:lineRule="auto"/>
        <w:rPr>
          <w:sz w:val="20"/>
          <w:szCs w:val="20"/>
          <w:color w:val="auto"/>
        </w:rPr>
      </w:pPr>
      <w:r>
        <w:rPr>
          <w:rFonts w:ascii="Arial" w:cs="Arial" w:eastAsia="Arial" w:hAnsi="Arial"/>
          <w:sz w:val="15"/>
          <w:szCs w:val="15"/>
          <w:color w:val="auto"/>
        </w:rPr>
        <w:t>Research and development expenses for the year ended December 31, 2016 were $11.2 million, a decrease of $0.3 million, or 2.6%, compared to $11.5 million for the year ended December 31, 2015. The decrease results primarily from a decrease in spending on BL-7010, partially offset by increased spending on new projects.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254" w:lineRule="exact"/>
        <w:rPr>
          <w:sz w:val="20"/>
          <w:szCs w:val="20"/>
          <w:color w:val="auto"/>
        </w:rPr>
      </w:pPr>
    </w:p>
    <w:p>
      <w:pPr>
        <w:ind w:right="200" w:firstLine="584"/>
        <w:spacing w:after="0" w:line="283" w:lineRule="auto"/>
        <w:rPr>
          <w:sz w:val="20"/>
          <w:szCs w:val="20"/>
          <w:color w:val="auto"/>
        </w:rPr>
      </w:pPr>
      <w:r>
        <w:rPr>
          <w:rFonts w:ascii="Arial" w:cs="Arial" w:eastAsia="Arial" w:hAnsi="Arial"/>
          <w:sz w:val="16"/>
          <w:szCs w:val="16"/>
          <w:color w:val="auto"/>
        </w:rPr>
        <w:t>Sales and marketing expenses for the year ended December 31, 2016 were $1.4 million, an increase of $0.4 million, or 40.0%, compared to $1.0 million for the year ended December 31, 2015. The increase results primarily from consultancy services related to BL-8040 and new projects.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54" w:lineRule="exact"/>
        <w:rPr>
          <w:sz w:val="20"/>
          <w:szCs w:val="20"/>
          <w:color w:val="auto"/>
        </w:rPr>
      </w:pPr>
    </w:p>
    <w:p>
      <w:pPr>
        <w:ind w:right="200" w:firstLine="584"/>
        <w:spacing w:after="0" w:line="283" w:lineRule="auto"/>
        <w:rPr>
          <w:sz w:val="20"/>
          <w:szCs w:val="20"/>
          <w:color w:val="auto"/>
        </w:rPr>
      </w:pPr>
      <w:r>
        <w:rPr>
          <w:rFonts w:ascii="Arial" w:cs="Arial" w:eastAsia="Arial" w:hAnsi="Arial"/>
          <w:sz w:val="16"/>
          <w:szCs w:val="16"/>
          <w:color w:val="auto"/>
        </w:rPr>
        <w:t>General and administrative expenses for the year ended December 31, 2016 were $4.0 million, an increase of $0.3 million or 8.1%, compared to $3.7 million for the year ended December 31, 2015. The increase results primarily from one-time salary-related payments and an increase in professional fees.</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Non-operating income (expense), net</w:t>
      </w:r>
    </w:p>
    <w:p>
      <w:pPr>
        <w:spacing w:after="0" w:line="254"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We recognized net non-operating income of $0.2 million for the year ended December, 2016, a decrease of $1.2 million compared to net non-operating income of $1.4 million for the year ended December 31, 2015. Non-operating expenses and income for both periods primarily relate to fair-value adjustments of liabilities on account of warrants issued in the private and direct placements which we conducted in February 2012 and 2013. These fair-value adjustments were highly influenced by our share price at each period end.</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Financial income (expense), net</w:t>
      </w:r>
    </w:p>
    <w:p>
      <w:pPr>
        <w:spacing w:after="0" w:line="254" w:lineRule="exact"/>
        <w:rPr>
          <w:sz w:val="20"/>
          <w:szCs w:val="20"/>
          <w:color w:val="auto"/>
        </w:rPr>
      </w:pPr>
    </w:p>
    <w:p>
      <w:pPr>
        <w:ind w:right="560" w:firstLine="584"/>
        <w:spacing w:after="0" w:line="200" w:lineRule="exact"/>
        <w:rPr>
          <w:sz w:val="20"/>
          <w:szCs w:val="20"/>
          <w:color w:val="auto"/>
        </w:rPr>
      </w:pPr>
      <w:r>
        <w:rPr>
          <w:rFonts w:ascii="Arial" w:cs="Arial" w:eastAsia="Arial" w:hAnsi="Arial"/>
          <w:sz w:val="15"/>
          <w:szCs w:val="15"/>
          <w:color w:val="auto"/>
        </w:rPr>
        <w:t xml:space="preserve">We recognized net </w:t>
      </w:r>
      <w:r>
        <w:rPr>
          <w:rFonts w:ascii="Arial Unicode MS" w:cs="Arial Unicode MS" w:eastAsia="Arial Unicode MS" w:hAnsi="Arial Unicode MS"/>
          <w:sz w:val="15"/>
          <w:szCs w:val="15"/>
          <w:color w:val="auto"/>
        </w:rPr>
        <w:t></w:t>
      </w:r>
      <w:r>
        <w:rPr>
          <w:rFonts w:ascii="Arial" w:cs="Arial" w:eastAsia="Arial" w:hAnsi="Arial"/>
          <w:sz w:val="15"/>
          <w:szCs w:val="15"/>
          <w:color w:val="auto"/>
        </w:rPr>
        <w:t>nancial income of $0.5 million for the year ended December 31, 2016 compared to net financial income of $0.4 million for the year ended December 31, 2015. Net financial income for the two periods primarily relates to investment income earned on our bank deposits, as well as banking fees.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the Year Ended December 31, 2015 to the Year Ended December 31, 2014</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54" w:lineRule="exact"/>
        <w:rPr>
          <w:sz w:val="20"/>
          <w:szCs w:val="20"/>
          <w:color w:val="auto"/>
        </w:rPr>
      </w:pPr>
    </w:p>
    <w:p>
      <w:pPr>
        <w:ind w:right="60" w:firstLine="584"/>
        <w:spacing w:after="0" w:line="268" w:lineRule="auto"/>
        <w:rPr>
          <w:sz w:val="20"/>
          <w:szCs w:val="20"/>
          <w:color w:val="auto"/>
        </w:rPr>
      </w:pPr>
      <w:r>
        <w:rPr>
          <w:rFonts w:ascii="Arial" w:cs="Arial" w:eastAsia="Arial" w:hAnsi="Arial"/>
          <w:sz w:val="16"/>
          <w:szCs w:val="16"/>
          <w:color w:val="auto"/>
        </w:rPr>
        <w:t>Research and development expenses for the year ended December 31, 2015 were $11.5 million, a decrease of $0.4 million, or 3.4%, compared to $11.9 million for the year ended December 31, 2014. The decrease results primarily from a decrease in spending on BL-7010 and various other projects, partially offset by increased spending on BL-8040.</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254"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Sales and marketing expenses for the year ended December 31, 2015 were $1.0 million, a decrease of $0.6 million, or 37.5%, compared to $1.6 million for the year ended December 31, 2014. The decrease resulted primarily from professional fees related to business development activities carried out in 2014, including professional services related to the collaboration agreement with Novartis and the out-licensing agreement with Omega Pharma regarding BL-5010.</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54" w:lineRule="exact"/>
        <w:rPr>
          <w:sz w:val="20"/>
          <w:szCs w:val="20"/>
          <w:color w:val="auto"/>
        </w:rPr>
      </w:pPr>
    </w:p>
    <w:p>
      <w:pPr>
        <w:ind w:right="20" w:firstLine="584"/>
        <w:spacing w:after="0" w:line="318" w:lineRule="auto"/>
        <w:rPr>
          <w:sz w:val="20"/>
          <w:szCs w:val="20"/>
          <w:color w:val="auto"/>
        </w:rPr>
      </w:pPr>
      <w:r>
        <w:rPr>
          <w:rFonts w:ascii="Arial" w:cs="Arial" w:eastAsia="Arial" w:hAnsi="Arial"/>
          <w:sz w:val="15"/>
          <w:szCs w:val="15"/>
          <w:color w:val="auto"/>
        </w:rPr>
        <w:t>General and administrative expenses for the year ended December 31, 2015 were $3.7 million, a decrease of $0.1 million, or 2.6%, compared to $3.8 million for the year ended December 31, 2014. The decrease primarily results from a decrease in salary-related payments, partially offset by a small increase in professional fees.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Non-operating income (expense), net</w:t>
      </w:r>
    </w:p>
    <w:p>
      <w:pPr>
        <w:spacing w:after="0" w:line="254" w:lineRule="exact"/>
        <w:rPr>
          <w:sz w:val="20"/>
          <w:szCs w:val="20"/>
          <w:color w:val="auto"/>
        </w:rPr>
      </w:pPr>
    </w:p>
    <w:p>
      <w:pPr>
        <w:ind w:right="240" w:firstLine="584"/>
        <w:spacing w:after="0" w:line="263" w:lineRule="auto"/>
        <w:rPr>
          <w:sz w:val="20"/>
          <w:szCs w:val="20"/>
          <w:color w:val="auto"/>
        </w:rPr>
      </w:pPr>
      <w:r>
        <w:rPr>
          <w:rFonts w:ascii="Arial" w:cs="Arial" w:eastAsia="Arial" w:hAnsi="Arial"/>
          <w:sz w:val="16"/>
          <w:szCs w:val="16"/>
          <w:color w:val="auto"/>
        </w:rPr>
        <w:t>We recognized net non-operating income of $1.4 million for the year ended December 31, 2015, compared to net non-operating income of $3.1 million for the year ended December 31, 2014. Non-operating income for both periods primarily relates to fair-value adjustments of liabilities on account of warrants issued in the private and direct placements which we conducted in February 2012 and 2013. These fair-value adjustments were highly influenced by our share price at each period end (i.e., warrant revaluation date).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4" w:name="page75"/>
    <w:bookmarkEnd w:id="74"/>
    <w:p>
      <w:pPr>
        <w:ind w:left="580"/>
        <w:spacing w:after="0"/>
        <w:rPr>
          <w:sz w:val="20"/>
          <w:szCs w:val="20"/>
          <w:color w:val="auto"/>
        </w:rPr>
      </w:pPr>
      <w:r>
        <w:rPr>
          <w:rFonts w:ascii="Arial" w:cs="Arial" w:eastAsia="Arial" w:hAnsi="Arial"/>
          <w:sz w:val="16"/>
          <w:szCs w:val="16"/>
          <w:b w:val="1"/>
          <w:bCs w:val="1"/>
          <w:i w:val="1"/>
          <w:iCs w:val="1"/>
          <w:color w:val="auto"/>
        </w:rPr>
        <w:t>Financial income (expense), net</w:t>
      </w:r>
    </w:p>
    <w:p>
      <w:pPr>
        <w:spacing w:after="0" w:line="206" w:lineRule="exact"/>
        <w:rPr>
          <w:sz w:val="20"/>
          <w:szCs w:val="20"/>
          <w:color w:val="auto"/>
        </w:rPr>
      </w:pPr>
    </w:p>
    <w:p>
      <w:pPr>
        <w:ind w:right="260" w:firstLine="584"/>
        <w:spacing w:after="0" w:line="198" w:lineRule="exact"/>
        <w:rPr>
          <w:sz w:val="20"/>
          <w:szCs w:val="20"/>
          <w:color w:val="auto"/>
        </w:rPr>
      </w:pPr>
      <w:r>
        <w:rPr>
          <w:rFonts w:ascii="Arial" w:cs="Arial" w:eastAsia="Arial" w:hAnsi="Arial"/>
          <w:sz w:val="16"/>
          <w:szCs w:val="16"/>
          <w:color w:val="auto"/>
        </w:rPr>
        <w:t xml:space="preserve">We recognized net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nancial income of $0.4 million for the year ended December 31, 2015, compared to net </w:t>
      </w:r>
      <w:r>
        <w:rPr>
          <w:rFonts w:ascii="Arial Unicode MS" w:cs="Arial Unicode MS" w:eastAsia="Arial Unicode MS" w:hAnsi="Arial Unicode MS"/>
          <w:sz w:val="16"/>
          <w:szCs w:val="16"/>
          <w:color w:val="auto"/>
        </w:rPr>
        <w:t></w:t>
      </w:r>
      <w:r>
        <w:rPr>
          <w:rFonts w:ascii="Arial" w:cs="Arial" w:eastAsia="Arial" w:hAnsi="Arial"/>
          <w:sz w:val="16"/>
          <w:szCs w:val="16"/>
          <w:color w:val="auto"/>
        </w:rPr>
        <w:t>nancial income of $3.1 million for the year ended December 31, 2014. Net financial income for 2015 primarily relates to investment income earned on our bank deposits, partially offset by banking fees. The 2014 period includes significant exchange rate differences primarily relating to changes in the dollar/NIS exchange rate prior to the adoption of the dollar as our functional and reporting currency, effective as of January 1, 2015.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Results of Operations</w:t>
      </w:r>
    </w:p>
    <w:p>
      <w:pPr>
        <w:spacing w:after="0" w:line="258" w:lineRule="exact"/>
        <w:rPr>
          <w:sz w:val="20"/>
          <w:szCs w:val="20"/>
          <w:color w:val="auto"/>
        </w:rPr>
      </w:pPr>
    </w:p>
    <w:p>
      <w:pPr>
        <w:ind w:right="600" w:firstLine="584"/>
        <w:spacing w:after="0" w:line="294" w:lineRule="auto"/>
        <w:rPr>
          <w:sz w:val="20"/>
          <w:szCs w:val="20"/>
          <w:color w:val="auto"/>
        </w:rPr>
      </w:pPr>
      <w:r>
        <w:rPr>
          <w:rFonts w:ascii="Arial" w:cs="Arial" w:eastAsia="Arial" w:hAnsi="Arial"/>
          <w:sz w:val="15"/>
          <w:szCs w:val="15"/>
          <w:color w:val="auto"/>
        </w:rPr>
        <w:t>The following tables show our unaudited quarterly statements of operations for the periods indicated. We have prepared this quarterly information on a basis consistent with our audited consolidated financial statements and we believe it includes all adjustments, consisting of normal recurring adjustments necessary for a fair presentation of the information shown. Operating results for any quarter are not necessarily indicative of results for a full fiscal year.</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6"/>
                <w:szCs w:val="16"/>
                <w:b w:val="1"/>
                <w:bCs w:val="1"/>
                <w:color w:val="auto"/>
                <w:w w:val="99"/>
              </w:rPr>
              <w:t>Three Months Ended</w:t>
            </w: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31</w:t>
            </w:r>
          </w:p>
        </w:tc>
        <w:tc>
          <w:tcPr>
            <w:tcW w:w="118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4"/>
              </w:rPr>
              <w:t>Sept. 30</w:t>
            </w:r>
          </w:p>
        </w:tc>
        <w:tc>
          <w:tcPr>
            <w:tcW w:w="120" w:type="dxa"/>
            <w:vAlign w:val="bottom"/>
          </w:tcPr>
          <w:p>
            <w:pPr>
              <w:spacing w:after="0"/>
              <w:rPr>
                <w:sz w:val="17"/>
                <w:szCs w:val="17"/>
                <w:color w:val="auto"/>
              </w:rPr>
            </w:pPr>
          </w:p>
        </w:tc>
        <w:tc>
          <w:tcPr>
            <w:tcW w:w="1040" w:type="dxa"/>
            <w:vAlign w:val="bottom"/>
            <w:gridSpan w:val="2"/>
          </w:tcPr>
          <w:p>
            <w:pPr>
              <w:jc w:val="right"/>
              <w:ind w:right="294"/>
              <w:spacing w:after="0"/>
              <w:rPr>
                <w:sz w:val="20"/>
                <w:szCs w:val="20"/>
                <w:color w:val="auto"/>
              </w:rPr>
            </w:pPr>
            <w:r>
              <w:rPr>
                <w:rFonts w:ascii="Arial" w:cs="Arial" w:eastAsia="Arial" w:hAnsi="Arial"/>
                <w:sz w:val="16"/>
                <w:szCs w:val="16"/>
                <w:b w:val="1"/>
                <w:bCs w:val="1"/>
                <w:color w:val="auto"/>
              </w:rPr>
              <w:t>Dec. 31</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March 31</w:t>
            </w:r>
          </w:p>
        </w:tc>
        <w:tc>
          <w:tcPr>
            <w:tcW w:w="114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w:t>
            </w: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4"/>
              </w:rPr>
              <w:t>Sept. 30</w:t>
            </w: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Dec. 31</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4"/>
              </w:rPr>
              <w:t>2015</w:t>
            </w: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73"/>
              </w:rPr>
              <w:t>2016</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w w:val="91"/>
              </w:rPr>
              <w:t>(in thousands</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w w:val="73"/>
              </w:rPr>
              <w:t>of</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w w:val="86"/>
              </w:rPr>
              <w:t>U.S. dollars)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228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Consolidated Statements of</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Operations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Revenues</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14"/>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14"/>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82"/>
        </w:trPr>
        <w:tc>
          <w:tcPr>
            <w:tcW w:w="20" w:type="dxa"/>
            <w:vAlign w:val="bottom"/>
          </w:tcPr>
          <w:p>
            <w:pPr>
              <w:spacing w:after="0"/>
              <w:rPr>
                <w:sz w:val="15"/>
                <w:szCs w:val="15"/>
                <w:color w:val="auto"/>
              </w:rPr>
            </w:pPr>
          </w:p>
        </w:tc>
        <w:tc>
          <w:tcPr>
            <w:tcW w:w="2280" w:type="dxa"/>
            <w:vAlign w:val="bottom"/>
          </w:tcPr>
          <w:p>
            <w:pPr>
              <w:spacing w:after="0" w:line="182" w:lineRule="exact"/>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2280" w:type="dxa"/>
            <w:vAlign w:val="bottom"/>
          </w:tcPr>
          <w:p>
            <w:pPr>
              <w:ind w:left="120"/>
              <w:spacing w:after="0"/>
              <w:rPr>
                <w:sz w:val="20"/>
                <w:szCs w:val="20"/>
                <w:color w:val="auto"/>
              </w:rPr>
            </w:pPr>
            <w:r>
              <w:rPr>
                <w:rFonts w:ascii="Arial" w:cs="Arial" w:eastAsia="Arial" w:hAnsi="Arial"/>
                <w:sz w:val="16"/>
                <w:szCs w:val="16"/>
                <w:color w:val="auto"/>
              </w:rPr>
              <w:t>expenses, net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(3,211)</w:t>
            </w:r>
          </w:p>
        </w:tc>
        <w:tc>
          <w:tcPr>
            <w:tcW w:w="1080" w:type="dxa"/>
            <w:vAlign w:val="bottom"/>
            <w:gridSpan w:val="2"/>
          </w:tcPr>
          <w:p>
            <w:pPr>
              <w:jc w:val="right"/>
              <w:ind w:right="99"/>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(2,576)</w:t>
            </w:r>
          </w:p>
        </w:tc>
        <w:tc>
          <w:tcPr>
            <w:tcW w:w="1160" w:type="dxa"/>
            <w:vAlign w:val="bottom"/>
            <w:gridSpan w:val="3"/>
          </w:tcPr>
          <w:p>
            <w:pPr>
              <w:jc w:val="right"/>
              <w:ind w:right="74"/>
              <w:spacing w:after="0"/>
              <w:rPr>
                <w:sz w:val="20"/>
                <w:szCs w:val="20"/>
                <w:color w:val="auto"/>
              </w:rPr>
            </w:pPr>
            <w:r>
              <w:rPr>
                <w:rFonts w:ascii="Arial" w:cs="Arial" w:eastAsia="Arial" w:hAnsi="Arial"/>
                <w:sz w:val="16"/>
                <w:szCs w:val="16"/>
                <w:color w:val="auto"/>
              </w:rPr>
              <w:t>(2,811)</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(2,539)</w:t>
            </w:r>
          </w:p>
        </w:tc>
        <w:tc>
          <w:tcPr>
            <w:tcW w:w="1040" w:type="dxa"/>
            <w:vAlign w:val="bottom"/>
            <w:gridSpan w:val="2"/>
          </w:tcPr>
          <w:p>
            <w:pPr>
              <w:jc w:val="right"/>
              <w:ind w:right="84"/>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(2,954)</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(2,944)</w:t>
            </w: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 expenses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(260)</w:t>
            </w:r>
          </w:p>
        </w:tc>
        <w:tc>
          <w:tcPr>
            <w:tcW w:w="10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w:t>
            </w:r>
          </w:p>
        </w:tc>
        <w:tc>
          <w:tcPr>
            <w:tcW w:w="1160" w:type="dxa"/>
            <w:vAlign w:val="bottom"/>
            <w:gridSpan w:val="3"/>
            <w:shd w:val="clear" w:color="auto" w:fill="CCEEFF"/>
          </w:tcPr>
          <w:p>
            <w:pPr>
              <w:jc w:val="right"/>
              <w:ind w:right="74"/>
              <w:spacing w:after="0"/>
              <w:rPr>
                <w:sz w:val="20"/>
                <w:szCs w:val="20"/>
                <w:color w:val="auto"/>
              </w:rPr>
            </w:pPr>
            <w:r>
              <w:rPr>
                <w:rFonts w:ascii="Arial" w:cs="Arial" w:eastAsia="Arial" w:hAnsi="Arial"/>
                <w:sz w:val="16"/>
                <w:szCs w:val="16"/>
                <w:color w:val="auto"/>
              </w:rPr>
              <w:t>(179)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(248)</w:t>
            </w:r>
          </w:p>
        </w:tc>
        <w:tc>
          <w:tcPr>
            <w:tcW w:w="10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(423)</w:t>
            </w:r>
          </w:p>
        </w:tc>
      </w:tr>
      <w:tr>
        <w:trPr>
          <w:trHeight w:val="182"/>
        </w:trPr>
        <w:tc>
          <w:tcPr>
            <w:tcW w:w="20" w:type="dxa"/>
            <w:vAlign w:val="bottom"/>
          </w:tcPr>
          <w:p>
            <w:pPr>
              <w:spacing w:after="0"/>
              <w:rPr>
                <w:sz w:val="15"/>
                <w:szCs w:val="15"/>
                <w:color w:val="auto"/>
              </w:rPr>
            </w:pPr>
          </w:p>
        </w:tc>
        <w:tc>
          <w:tcPr>
            <w:tcW w:w="2280" w:type="dxa"/>
            <w:vAlign w:val="bottom"/>
          </w:tcPr>
          <w:p>
            <w:pPr>
              <w:spacing w:after="0" w:line="182" w:lineRule="exact"/>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6"/>
                <w:szCs w:val="16"/>
                <w:color w:val="auto"/>
              </w:rPr>
              <w:t>expenses</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(856)</w:t>
            </w:r>
          </w:p>
        </w:tc>
        <w:tc>
          <w:tcPr>
            <w:tcW w:w="1080" w:type="dxa"/>
            <w:vAlign w:val="bottom"/>
            <w:gridSpan w:val="2"/>
          </w:tcPr>
          <w:p>
            <w:pPr>
              <w:jc w:val="right"/>
              <w:ind w:right="99"/>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(762)</w:t>
            </w:r>
          </w:p>
        </w:tc>
        <w:tc>
          <w:tcPr>
            <w:tcW w:w="1160" w:type="dxa"/>
            <w:vAlign w:val="bottom"/>
            <w:gridSpan w:val="3"/>
          </w:tcPr>
          <w:p>
            <w:pPr>
              <w:jc w:val="right"/>
              <w:ind w:right="74"/>
              <w:spacing w:after="0"/>
              <w:rPr>
                <w:sz w:val="20"/>
                <w:szCs w:val="20"/>
                <w:color w:val="auto"/>
              </w:rPr>
            </w:pPr>
            <w:r>
              <w:rPr>
                <w:rFonts w:ascii="Arial" w:cs="Arial" w:eastAsia="Arial" w:hAnsi="Arial"/>
                <w:sz w:val="16"/>
                <w:szCs w:val="16"/>
                <w:color w:val="auto"/>
              </w:rPr>
              <w:t>(1,110)</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(989)</w:t>
            </w:r>
          </w:p>
        </w:tc>
        <w:tc>
          <w:tcPr>
            <w:tcW w:w="1040" w:type="dxa"/>
            <w:vAlign w:val="bottom"/>
            <w:gridSpan w:val="2"/>
          </w:tcPr>
          <w:p>
            <w:pPr>
              <w:jc w:val="right"/>
              <w:ind w:right="84"/>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(1,125)</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(1,016)</w:t>
            </w:r>
          </w:p>
        </w:tc>
      </w:tr>
      <w:tr>
        <w:trPr>
          <w:trHeight w:val="207"/>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100" w:type="dxa"/>
            <w:vAlign w:val="bottom"/>
            <w:shd w:val="clear" w:color="auto" w:fill="CCEEFF"/>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2280" w:type="dxa"/>
            <w:vAlign w:val="bottom"/>
          </w:tcPr>
          <w:p>
            <w:pPr>
              <w:spacing w:after="0" w:line="182" w:lineRule="exact"/>
              <w:rPr>
                <w:sz w:val="20"/>
                <w:szCs w:val="20"/>
                <w:color w:val="auto"/>
              </w:rPr>
            </w:pPr>
            <w:r>
              <w:rPr>
                <w:rFonts w:ascii="Arial" w:cs="Arial" w:eastAsia="Arial" w:hAnsi="Arial"/>
                <w:sz w:val="16"/>
                <w:szCs w:val="16"/>
                <w:color w:val="auto"/>
              </w:rPr>
              <w:t>Non-operating income</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2280" w:type="dxa"/>
            <w:vAlign w:val="bottom"/>
          </w:tcPr>
          <w:p>
            <w:pPr>
              <w:ind w:left="120"/>
              <w:spacing w:after="0"/>
              <w:rPr>
                <w:sz w:val="20"/>
                <w:szCs w:val="20"/>
                <w:color w:val="auto"/>
              </w:rPr>
            </w:pPr>
            <w:r>
              <w:rPr>
                <w:rFonts w:ascii="Arial" w:cs="Arial" w:eastAsia="Arial" w:hAnsi="Arial"/>
                <w:sz w:val="16"/>
                <w:szCs w:val="16"/>
                <w:color w:val="auto"/>
              </w:rPr>
              <w:t>(expenses), net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1080" w:type="dxa"/>
            <w:vAlign w:val="bottom"/>
            <w:gridSpan w:val="2"/>
          </w:tcPr>
          <w:p>
            <w:pPr>
              <w:jc w:val="right"/>
              <w:ind w:right="99"/>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1,983</w:t>
            </w:r>
          </w:p>
        </w:tc>
        <w:tc>
          <w:tcPr>
            <w:tcW w:w="1160" w:type="dxa"/>
            <w:vAlign w:val="bottom"/>
            <w:gridSpan w:val="3"/>
          </w:tcPr>
          <w:p>
            <w:pPr>
              <w:jc w:val="right"/>
              <w:ind w:right="114"/>
              <w:spacing w:after="0"/>
              <w:rPr>
                <w:sz w:val="20"/>
                <w:szCs w:val="20"/>
                <w:color w:val="auto"/>
              </w:rPr>
            </w:pPr>
            <w:r>
              <w:rPr>
                <w:rFonts w:ascii="Arial" w:cs="Arial" w:eastAsia="Arial" w:hAnsi="Arial"/>
                <w:sz w:val="16"/>
                <w:szCs w:val="16"/>
                <w:color w:val="auto"/>
              </w:rPr>
              <w:t>349</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84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Financial income, net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w:t>
            </w:r>
          </w:p>
        </w:tc>
        <w:tc>
          <w:tcPr>
            <w:tcW w:w="10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w:t>
            </w:r>
          </w:p>
        </w:tc>
        <w:tc>
          <w:tcPr>
            <w:tcW w:w="1160" w:type="dxa"/>
            <w:vAlign w:val="bottom"/>
            <w:gridSpan w:val="3"/>
            <w:shd w:val="clear" w:color="auto" w:fill="CCEEFF"/>
          </w:tcPr>
          <w:p>
            <w:pPr>
              <w:jc w:val="right"/>
              <w:ind w:right="114"/>
              <w:spacing w:after="0"/>
              <w:rPr>
                <w:sz w:val="20"/>
                <w:szCs w:val="20"/>
                <w:color w:val="auto"/>
              </w:rPr>
            </w:pPr>
            <w:r>
              <w:rPr>
                <w:rFonts w:ascii="Arial" w:cs="Arial" w:eastAsia="Arial" w:hAnsi="Arial"/>
                <w:sz w:val="16"/>
                <w:szCs w:val="16"/>
                <w:color w:val="auto"/>
              </w:rPr>
              <w:t>98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r>
      <w:tr>
        <w:trPr>
          <w:trHeight w:val="199"/>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Financial expenses, net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(17)</w:t>
            </w:r>
          </w:p>
        </w:tc>
        <w:tc>
          <w:tcPr>
            <w:tcW w:w="1080" w:type="dxa"/>
            <w:vAlign w:val="bottom"/>
            <w:gridSpan w:val="2"/>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040" w:type="dxa"/>
            <w:vAlign w:val="bottom"/>
            <w:gridSpan w:val="2"/>
          </w:tcPr>
          <w:p>
            <w:pPr>
              <w:jc w:val="right"/>
              <w:ind w:right="114"/>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040" w:type="dxa"/>
            <w:vAlign w:val="bottom"/>
            <w:gridSpan w:val="2"/>
          </w:tcPr>
          <w:p>
            <w:pPr>
              <w:jc w:val="right"/>
              <w:ind w:right="84"/>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235"/>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(4,311)</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31" w:lineRule="exact"/>
        <w:rPr>
          <w:sz w:val="20"/>
          <w:szCs w:val="20"/>
          <w:color w:val="auto"/>
        </w:rPr>
      </w:pPr>
    </w:p>
    <w:p>
      <w:pPr>
        <w:ind w:right="200" w:firstLine="584"/>
        <w:spacing w:after="0" w:line="318" w:lineRule="auto"/>
        <w:rPr>
          <w:sz w:val="20"/>
          <w:szCs w:val="20"/>
          <w:color w:val="auto"/>
        </w:rPr>
      </w:pPr>
      <w:r>
        <w:rPr>
          <w:rFonts w:ascii="Arial" w:cs="Arial" w:eastAsia="Arial" w:hAnsi="Arial"/>
          <w:sz w:val="15"/>
          <w:szCs w:val="15"/>
          <w:color w:val="auto"/>
        </w:rPr>
        <w:t>Our quarterly revenues and operating results of operations have varied in the past and can be expected to vary in the future due to numerous factors. We believe that period-to-period comparisons of our operating results are not necessarily meaningful and should not be relied upon as indications of future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58" w:lineRule="exact"/>
        <w:rPr>
          <w:sz w:val="20"/>
          <w:szCs w:val="20"/>
          <w:color w:val="auto"/>
        </w:rPr>
      </w:pPr>
    </w:p>
    <w:p>
      <w:pPr>
        <w:ind w:right="40" w:firstLine="584"/>
        <w:spacing w:after="0" w:line="268" w:lineRule="auto"/>
        <w:rPr>
          <w:sz w:val="20"/>
          <w:szCs w:val="20"/>
          <w:color w:val="auto"/>
        </w:rPr>
      </w:pPr>
      <w:r>
        <w:rPr>
          <w:rFonts w:ascii="Arial" w:cs="Arial" w:eastAsia="Arial" w:hAnsi="Arial"/>
          <w:sz w:val="16"/>
          <w:szCs w:val="16"/>
          <w:color w:val="auto"/>
        </w:rPr>
        <w:t>Since inception, we have funded our operations primarily through public and private offerings of our equity securities, payments received under our strategic licensing and collaboration arrangements, interest earned on investments and funding from the OCS. At December 31, 2016, we held approximately $35.6 million in cash, cash equivalents and short-term bank deposits. We have invested substantially all of our available cash funds in short-term bank deposits.</w:t>
      </w:r>
    </w:p>
    <w:p>
      <w:pPr>
        <w:spacing w:after="0" w:line="212" w:lineRule="exact"/>
        <w:rPr>
          <w:sz w:val="20"/>
          <w:szCs w:val="20"/>
          <w:color w:val="auto"/>
        </w:rPr>
      </w:pPr>
    </w:p>
    <w:p>
      <w:pPr>
        <w:ind w:right="100" w:firstLine="584"/>
        <w:spacing w:after="0" w:line="268" w:lineRule="auto"/>
        <w:rPr>
          <w:sz w:val="20"/>
          <w:szCs w:val="20"/>
          <w:color w:val="auto"/>
        </w:rPr>
      </w:pPr>
      <w:r>
        <w:rPr>
          <w:rFonts w:ascii="Arial" w:cs="Arial" w:eastAsia="Arial" w:hAnsi="Arial"/>
          <w:sz w:val="16"/>
          <w:szCs w:val="16"/>
          <w:color w:val="auto"/>
        </w:rPr>
        <w:t>Pursuant to the share purchase agreement with LPC signed in May 2014, we may sell, from time to time, and at our discretion, up to $20 million of our ADSs to LPC during the 36-month term of the purchase agreement. From the effective date of the purchase agreement through the date of this annual report, we have sold an aggregate of approximately $7.0 million of our ADSs to LPC, leaving an available balance under the facility of approximately $13.0 million.</w:t>
      </w:r>
    </w:p>
    <w:p>
      <w:pPr>
        <w:spacing w:after="0" w:line="212" w:lineRule="exact"/>
        <w:rPr>
          <w:sz w:val="20"/>
          <w:szCs w:val="20"/>
          <w:color w:val="auto"/>
        </w:rPr>
      </w:pPr>
    </w:p>
    <w:p>
      <w:pPr>
        <w:ind w:right="20" w:firstLine="584"/>
        <w:spacing w:after="0" w:line="294" w:lineRule="auto"/>
        <w:rPr>
          <w:sz w:val="20"/>
          <w:szCs w:val="20"/>
          <w:color w:val="auto"/>
        </w:rPr>
      </w:pPr>
      <w:r>
        <w:rPr>
          <w:rFonts w:ascii="Arial" w:cs="Arial" w:eastAsia="Arial" w:hAnsi="Arial"/>
          <w:sz w:val="15"/>
          <w:szCs w:val="15"/>
          <w:color w:val="auto"/>
        </w:rPr>
        <w:t>Net cash used in operating activities for the year ended December 31, 2016 was $14.5 million, compared to $14.2 million for the year ended December 31, 2015 and $15.8 million for the year ended December 31, 2014. The increase in net cash used in operating activities in 2016 was primarily the result of an increase in our operating loss in 2016. The decrease in net cash used in operating activities in 2015 was primarily the result of a decrease in our operating loss in 2015.</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75" w:name="page76"/>
    <w:bookmarkEnd w:id="75"/>
    <w:p>
      <w:pPr>
        <w:ind w:right="40" w:firstLine="584"/>
        <w:spacing w:after="0" w:line="268" w:lineRule="auto"/>
        <w:rPr>
          <w:sz w:val="20"/>
          <w:szCs w:val="20"/>
          <w:color w:val="auto"/>
        </w:rPr>
      </w:pPr>
      <w:r>
        <w:rPr>
          <w:rFonts w:ascii="Arial" w:cs="Arial" w:eastAsia="Arial" w:hAnsi="Arial"/>
          <w:sz w:val="16"/>
          <w:szCs w:val="16"/>
          <w:color w:val="auto"/>
        </w:rPr>
        <w:t>Net cash provided by investing activities for the year ended December 31, 2016 was $9.3 million, compared to $15.6 million cash used in investing activities for the year ended December 31, 2015 and $19.7 million for the year ended December 31, 2014. The changes in cash flows from investing activities relate primarily to investments in, and maturities of, short-term bank deposits and other investments during the respective periods.</w:t>
      </w:r>
    </w:p>
    <w:p>
      <w:pPr>
        <w:spacing w:after="0" w:line="212" w:lineRule="exact"/>
        <w:rPr>
          <w:sz w:val="20"/>
          <w:szCs w:val="20"/>
          <w:color w:val="auto"/>
        </w:rPr>
      </w:pPr>
    </w:p>
    <w:p>
      <w:pPr>
        <w:ind w:right="20" w:firstLine="584"/>
        <w:spacing w:after="0" w:line="286" w:lineRule="auto"/>
        <w:rPr>
          <w:sz w:val="20"/>
          <w:szCs w:val="20"/>
          <w:color w:val="auto"/>
        </w:rPr>
      </w:pPr>
      <w:r>
        <w:rPr>
          <w:rFonts w:ascii="Arial" w:cs="Arial" w:eastAsia="Arial" w:hAnsi="Arial"/>
          <w:sz w:val="15"/>
          <w:szCs w:val="15"/>
          <w:color w:val="auto"/>
        </w:rPr>
        <w:t>Net cash provided by financing activities for the year ended December 31, 2016 was $2.1 million, compared to $29.5 million for the year ended December 31, 2015, and $32.6 million for the year ended December 31, 2014. The cash flows in 2016 primarily reflect the funding under the share purchase agreement with LPC. The cash flows in 2015 primarily reflect the underwritten public offering of our ADSs in March 2015. The cash flows in 2014 primarily reflect the underwritten public offering of our ADSs in March 2014, as well as the investment made by Novartis pursuant to our strategic collaboration agreement with them signed in December 2014.</w:t>
      </w:r>
    </w:p>
    <w:p>
      <w:pPr>
        <w:spacing w:after="0" w:line="201"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Developing drugs, conducting clinical trials and commercializing products is expensive and we will need to raise substantial additional funds to achieve our strategic objectives. Although we believe our existing cash and other resources will be sufficient to fund our projected cash requirements into 2019, we will require significant additional financing in the future to fund our operations. Additional financing may not be available on acceptable terms, if at all. Our future capital requirements will depend on many factors, including:</w:t>
      </w:r>
    </w:p>
    <w:p>
      <w:pPr>
        <w:spacing w:after="0" w:line="216" w:lineRule="exact"/>
        <w:rPr>
          <w:sz w:val="20"/>
          <w:szCs w:val="20"/>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progress and costs of our preclinical studies, clinical trials and other research and development activities;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scope, prioritization and number of our clinical trials and other research and development programs;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of revenues we receive under our collaboration or licensing arrangements;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the development and expansion of our operational infrastructure;</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and timing of obtaining regulatory approval of our therapeutic candidates;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ability of our collaborators to achieve development milestones, marketing approval and other events or developments under our collaboration agreements;</w:t>
      </w:r>
    </w:p>
    <w:p>
      <w:pPr>
        <w:spacing w:after="0" w:line="277" w:lineRule="exact"/>
        <w:rPr>
          <w:rFonts w:ascii="Arial" w:cs="Arial" w:eastAsia="Arial" w:hAnsi="Arial"/>
          <w:sz w:val="14"/>
          <w:szCs w:val="14"/>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filing, prosecuting, enforcing and defending patent claims and other intellectual property rights;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and timing of securing manufacturing arrangements for clinical or commercial production;</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establishing sales and marketing capabilities or contracting with third parties to provide these capabilities for us;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of acquiring or undertaking development and commercialization efforts for any future product candidates;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magnitude of our general and administrative expenses;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cost that we may incur under current and future licensing arrangements relating to our therapeutic candidates;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payments to the OCS.</w:t>
      </w:r>
    </w:p>
    <w:p>
      <w:pPr>
        <w:spacing w:after="0" w:line="254" w:lineRule="exact"/>
        <w:rPr>
          <w:sz w:val="20"/>
          <w:szCs w:val="20"/>
          <w:color w:val="auto"/>
        </w:rPr>
      </w:pPr>
    </w:p>
    <w:p>
      <w:pPr>
        <w:ind w:right="140" w:firstLine="584"/>
        <w:spacing w:after="0" w:line="318" w:lineRule="auto"/>
        <w:rPr>
          <w:sz w:val="20"/>
          <w:szCs w:val="20"/>
          <w:color w:val="auto"/>
        </w:rPr>
      </w:pPr>
      <w:r>
        <w:rPr>
          <w:rFonts w:ascii="Arial" w:cs="Arial" w:eastAsia="Arial" w:hAnsi="Arial"/>
          <w:sz w:val="15"/>
          <w:szCs w:val="15"/>
          <w:color w:val="auto"/>
        </w:rPr>
        <w:t>Until we can generate significant continuing revenues, we expect to satisfy our future cash needs through payments received under our collaborations, debt or equity financings, or by out-licensing other product candidates. We cannot be certain that additional funding will be available to us on acceptable terms, or at all.</w:t>
      </w:r>
    </w:p>
    <w:p>
      <w:pPr>
        <w:spacing w:after="0" w:line="176" w:lineRule="exact"/>
        <w:rPr>
          <w:sz w:val="20"/>
          <w:szCs w:val="20"/>
          <w:color w:val="auto"/>
        </w:rPr>
      </w:pPr>
    </w:p>
    <w:p>
      <w:pPr>
        <w:ind w:right="1120" w:firstLine="584"/>
        <w:spacing w:after="0" w:line="283" w:lineRule="auto"/>
        <w:rPr>
          <w:sz w:val="20"/>
          <w:szCs w:val="20"/>
          <w:color w:val="auto"/>
        </w:rPr>
      </w:pPr>
      <w:r>
        <w:rPr>
          <w:rFonts w:ascii="Arial" w:cs="Arial" w:eastAsia="Arial" w:hAnsi="Arial"/>
          <w:sz w:val="16"/>
          <w:szCs w:val="16"/>
          <w:color w:val="auto"/>
        </w:rPr>
        <w:t>If funds are not available, we may be required to delay, reduce the scope of, or eliminate one or more of our research or development programs or our commercialization efforts.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58"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Since inception, 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summarizes our significant contractual obligations at December 31, 2016:</w:t>
      </w:r>
    </w:p>
    <w:p>
      <w:pPr>
        <w:spacing w:after="0" w:line="250"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Less than</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 year</w:t>
            </w:r>
          </w:p>
        </w:tc>
        <w:tc>
          <w:tcPr>
            <w:tcW w:w="220" w:type="dxa"/>
            <w:vAlign w:val="bottom"/>
          </w:tcPr>
          <w:p>
            <w:pPr>
              <w:spacing w:after="0"/>
              <w:rPr>
                <w:sz w:val="18"/>
                <w:szCs w:val="18"/>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1-3 years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4-5 years</w:t>
            </w:r>
          </w:p>
        </w:tc>
        <w:tc>
          <w:tcPr>
            <w:tcW w:w="180" w:type="dxa"/>
            <w:vAlign w:val="bottom"/>
          </w:tcPr>
          <w:p>
            <w:pPr>
              <w:spacing w:after="0"/>
              <w:rPr>
                <w:sz w:val="18"/>
                <w:szCs w:val="18"/>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5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(in</w:t>
            </w:r>
          </w:p>
        </w:tc>
        <w:tc>
          <w:tcPr>
            <w:tcW w:w="1280" w:type="dxa"/>
            <w:vAlign w:val="bottom"/>
            <w:gridSpan w:val="2"/>
          </w:tcPr>
          <w:p>
            <w:pPr>
              <w:spacing w:after="0"/>
              <w:rPr>
                <w:sz w:val="20"/>
                <w:szCs w:val="20"/>
                <w:color w:val="auto"/>
              </w:rPr>
            </w:pPr>
            <w:r>
              <w:rPr>
                <w:rFonts w:ascii="Arial" w:cs="Arial" w:eastAsia="Arial" w:hAnsi="Arial"/>
                <w:sz w:val="16"/>
                <w:szCs w:val="16"/>
                <w:color w:val="auto"/>
                <w:w w:val="99"/>
              </w:rPr>
              <w:t>thousands of U.S.</w:t>
            </w:r>
          </w:p>
        </w:tc>
        <w:tc>
          <w:tcPr>
            <w:tcW w:w="420" w:type="dxa"/>
            <w:vAlign w:val="bottom"/>
            <w:gridSpan w:val="2"/>
          </w:tcPr>
          <w:p>
            <w:pPr>
              <w:spacing w:after="0"/>
              <w:rPr>
                <w:sz w:val="20"/>
                <w:szCs w:val="20"/>
                <w:color w:val="auto"/>
              </w:rPr>
            </w:pPr>
            <w:r>
              <w:rPr>
                <w:rFonts w:ascii="Arial" w:cs="Arial" w:eastAsia="Arial" w:hAnsi="Arial"/>
                <w:sz w:val="16"/>
                <w:szCs w:val="16"/>
                <w:color w:val="auto"/>
                <w:w w:val="76"/>
              </w:rPr>
              <w:t>dollars)</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12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Car leasing obligations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228</w:t>
            </w:r>
          </w:p>
        </w:tc>
        <w:tc>
          <w:tcPr>
            <w:tcW w:w="12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456</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Premises leasing obligations</w:t>
            </w:r>
          </w:p>
        </w:tc>
        <w:tc>
          <w:tcPr>
            <w:tcW w:w="1060" w:type="dxa"/>
            <w:vAlign w:val="bottom"/>
          </w:tcPr>
          <w:p>
            <w:pPr>
              <w:jc w:val="right"/>
              <w:spacing w:after="0"/>
              <w:rPr>
                <w:sz w:val="20"/>
                <w:szCs w:val="20"/>
                <w:color w:val="auto"/>
              </w:rPr>
            </w:pPr>
            <w:r>
              <w:rPr>
                <w:rFonts w:ascii="Arial" w:cs="Arial" w:eastAsia="Arial" w:hAnsi="Arial"/>
                <w:sz w:val="16"/>
                <w:szCs w:val="16"/>
                <w:color w:val="auto"/>
              </w:rPr>
              <w:t>315</w:t>
            </w:r>
          </w:p>
        </w:tc>
        <w:tc>
          <w:tcPr>
            <w:tcW w:w="220" w:type="dxa"/>
            <w:vAlign w:val="bottom"/>
          </w:tcPr>
          <w:p>
            <w:pPr>
              <w:spacing w:after="0"/>
              <w:rPr>
                <w:sz w:val="17"/>
                <w:szCs w:val="17"/>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180</w:t>
            </w:r>
          </w:p>
        </w:tc>
        <w:tc>
          <w:tcPr>
            <w:tcW w:w="1280" w:type="dxa"/>
            <w:vAlign w:val="bottom"/>
            <w:gridSpan w:val="2"/>
          </w:tcPr>
          <w:p>
            <w:pPr>
              <w:jc w:val="right"/>
              <w:ind w:right="139"/>
              <w:spacing w:after="0"/>
              <w:rPr>
                <w:sz w:val="20"/>
                <w:szCs w:val="20"/>
                <w:color w:val="auto"/>
              </w:rPr>
            </w:pPr>
            <w:r>
              <w:rPr>
                <w:rFonts w:ascii="Arial" w:cs="Arial" w:eastAsia="Arial" w:hAnsi="Arial"/>
                <w:sz w:val="16"/>
                <w:szCs w:val="16"/>
                <w:color w:val="auto"/>
              </w:rPr>
              <w:t>135</w:t>
            </w: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Purchase commitments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1,399</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w:t>
            </w:r>
          </w:p>
        </w:tc>
        <w:tc>
          <w:tcPr>
            <w:tcW w:w="1060" w:type="dxa"/>
            <w:vAlign w:val="bottom"/>
          </w:tcPr>
          <w:p>
            <w:pPr>
              <w:jc w:val="right"/>
              <w:spacing w:after="0"/>
              <w:rPr>
                <w:sz w:val="20"/>
                <w:szCs w:val="20"/>
                <w:color w:val="auto"/>
              </w:rPr>
            </w:pPr>
            <w:r>
              <w:rPr>
                <w:rFonts w:ascii="Arial" w:cs="Arial" w:eastAsia="Arial" w:hAnsi="Arial"/>
                <w:sz w:val="16"/>
                <w:szCs w:val="16"/>
                <w:color w:val="auto"/>
              </w:rPr>
              <w:t>5,570</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3,444</w:t>
            </w:r>
          </w:p>
        </w:tc>
        <w:tc>
          <w:tcPr>
            <w:tcW w:w="220" w:type="dxa"/>
            <w:vAlign w:val="bottom"/>
          </w:tcPr>
          <w:p>
            <w:pPr>
              <w:spacing w:after="0"/>
              <w:rPr>
                <w:sz w:val="16"/>
                <w:szCs w:val="16"/>
                <w:color w:val="auto"/>
              </w:rPr>
            </w:pPr>
          </w:p>
        </w:tc>
        <w:tc>
          <w:tcPr>
            <w:tcW w:w="1280" w:type="dxa"/>
            <w:vAlign w:val="bottom"/>
            <w:gridSpan w:val="2"/>
          </w:tcPr>
          <w:p>
            <w:pPr>
              <w:jc w:val="right"/>
              <w:ind w:right="139"/>
              <w:spacing w:after="0"/>
              <w:rPr>
                <w:sz w:val="20"/>
                <w:szCs w:val="20"/>
                <w:color w:val="auto"/>
              </w:rPr>
            </w:pPr>
            <w:r>
              <w:rPr>
                <w:rFonts w:ascii="Arial" w:cs="Arial" w:eastAsia="Arial" w:hAnsi="Arial"/>
                <w:sz w:val="16"/>
                <w:szCs w:val="16"/>
                <w:color w:val="auto"/>
              </w:rPr>
              <w:t>1,990</w:t>
            </w:r>
          </w:p>
        </w:tc>
        <w:tc>
          <w:tcPr>
            <w:tcW w:w="2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137</w:t>
            </w:r>
          </w:p>
        </w:tc>
        <w:tc>
          <w:tcPr>
            <w:tcW w:w="11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20" w:firstLine="584"/>
        <w:spacing w:after="0" w:line="261" w:lineRule="auto"/>
        <w:rPr>
          <w:sz w:val="20"/>
          <w:szCs w:val="20"/>
          <w:color w:val="auto"/>
        </w:rPr>
      </w:pPr>
      <w:r>
        <w:rPr>
          <w:rFonts w:ascii="Arial" w:cs="Arial" w:eastAsia="Arial" w:hAnsi="Arial"/>
          <w:sz w:val="16"/>
          <w:szCs w:val="16"/>
          <w:color w:val="auto"/>
        </w:rPr>
        <w:t>The premises leasing obligations in the foregoing table include our commitments under the lease agreement for our facility in Modi'in. See "Item 4. Information on the Company — Property, Plant and Equipment." The term of the lease began on June 15, 2015 and will end June 30, 2020. The lease agreement grants us three options to extend the lease at our discretion, allowing us to continue leasing for an addition 10 years through June 30, 2030. During the lease term, we are obligated to pay initial monthly rental payments of approximately $18,500 and initial monthly parking charges of approximately $1,800. We are furthermore obligated to pay building maintenance charges during the lease term not exceeding approximately $6,700 per month.</w:t>
      </w:r>
    </w:p>
    <w:p>
      <w:pPr>
        <w:spacing w:after="0" w:line="217" w:lineRule="exact"/>
        <w:rPr>
          <w:sz w:val="20"/>
          <w:szCs w:val="20"/>
          <w:color w:val="auto"/>
        </w:rPr>
      </w:pPr>
    </w:p>
    <w:p>
      <w:pPr>
        <w:ind w:right="20" w:firstLine="584"/>
        <w:spacing w:after="0" w:line="278" w:lineRule="auto"/>
        <w:rPr>
          <w:sz w:val="20"/>
          <w:szCs w:val="20"/>
          <w:color w:val="auto"/>
        </w:rPr>
      </w:pPr>
      <w:r>
        <w:rPr>
          <w:rFonts w:ascii="Arial" w:cs="Arial" w:eastAsia="Arial" w:hAnsi="Arial"/>
          <w:sz w:val="15"/>
          <w:szCs w:val="15"/>
          <w:color w:val="auto"/>
        </w:rPr>
        <w:t>The foregoing table does not include our in-licensing agreements. Under our in-licensing agreements, we are obligated to make certain payments to our licensors upon the achievement of agreed upon milestones. We are unable at this time to estimate the actual amount or timing of the costs we will incur in the future under these agreements; however, we do not expect any material milestones to be achieved within the next 12 months. Some of the in-licensing agreements are accompanied by consulting, support and cooperation agreements, pursuant to which we are required to pay the licensors a fixed monthly amount, over a period stipulated in the applicable agreement, for their assistance in the continued research and development under the applicable license. All of our in-licensing agreements are terminable at-will by us upon prior written notice of 30 to 90 days. We are unable at this time to estimate the actual amount or timing of the costs we will incur in the future under these agreements. See "Item 4. Information on the Company — Business Overview — In-Licensing Agreements."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Directors and Senior Management</w:t>
      </w:r>
    </w:p>
    <w:p>
      <w:pPr>
        <w:spacing w:after="0" w:line="258" w:lineRule="exact"/>
        <w:rPr>
          <w:sz w:val="20"/>
          <w:szCs w:val="20"/>
          <w:color w:val="auto"/>
        </w:rPr>
      </w:pPr>
    </w:p>
    <w:p>
      <w:pPr>
        <w:ind w:right="320" w:firstLine="584"/>
        <w:spacing w:after="0" w:line="283" w:lineRule="auto"/>
        <w:rPr>
          <w:sz w:val="20"/>
          <w:szCs w:val="20"/>
          <w:color w:val="auto"/>
        </w:rPr>
      </w:pPr>
      <w:r>
        <w:rPr>
          <w:rFonts w:ascii="Arial" w:cs="Arial" w:eastAsia="Arial" w:hAnsi="Arial"/>
          <w:sz w:val="16"/>
          <w:szCs w:val="16"/>
          <w:color w:val="auto"/>
        </w:rPr>
        <w:t>The following table sets forth information for our executive officers and directors as of March 20, 2017. Unless otherwise stated, the address for our directors and officers is c/o BioLineRx Ltd., 2 HaMa'ayan Street, Modi'in 7177871, Israel.</w:t>
      </w:r>
    </w:p>
    <w:p>
      <w:pPr>
        <w:spacing w:after="0" w:line="19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220" w:type="dxa"/>
            <w:vAlign w:val="bottom"/>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Philip Serlin, CPA, MBA</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56</w:t>
            </w:r>
          </w:p>
        </w:tc>
        <w:tc>
          <w:tcPr>
            <w:tcW w:w="2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Mali Zeevi, CPA</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41</w:t>
            </w:r>
          </w:p>
        </w:tc>
        <w:tc>
          <w:tcPr>
            <w:tcW w:w="2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David Malek, MBA</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39</w:t>
            </w:r>
          </w:p>
        </w:tc>
        <w:tc>
          <w:tcPr>
            <w:tcW w:w="2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Chief Business Officer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Ella Sorani, Ph.D.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49</w:t>
            </w:r>
          </w:p>
        </w:tc>
        <w:tc>
          <w:tcPr>
            <w:tcW w:w="2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Vice President Development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Abi Vainstein-Haras, M.D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42</w:t>
            </w:r>
          </w:p>
        </w:tc>
        <w:tc>
          <w:tcPr>
            <w:tcW w:w="2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Vice President Clinical and Medical Affairs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Aharon Schwartz, Ph.D.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74</w:t>
            </w:r>
          </w:p>
        </w:tc>
        <w:tc>
          <w:tcPr>
            <w:tcW w:w="2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Chairman of the Board</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Michael J. Anghel, Ph.D.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77</w:t>
            </w:r>
          </w:p>
        </w:tc>
        <w:tc>
          <w:tcPr>
            <w:tcW w:w="2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Nurit Benjamini, MBA</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50</w:t>
            </w:r>
          </w:p>
        </w:tc>
        <w:tc>
          <w:tcPr>
            <w:tcW w:w="2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External Director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B.J. Bormann, Ph.D.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58</w:t>
            </w:r>
          </w:p>
        </w:tc>
        <w:tc>
          <w:tcPr>
            <w:tcW w:w="2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Raphael Hofstein, Ph.D.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67</w:t>
            </w:r>
          </w:p>
        </w:tc>
        <w:tc>
          <w:tcPr>
            <w:tcW w:w="2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Avraham Molcho, M.D.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59</w:t>
            </w:r>
          </w:p>
        </w:tc>
        <w:tc>
          <w:tcPr>
            <w:tcW w:w="22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External Director</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Sandra Panem, Ph.D.</w:t>
            </w:r>
          </w:p>
        </w:tc>
        <w:tc>
          <w:tcPr>
            <w:tcW w:w="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70</w:t>
            </w:r>
          </w:p>
        </w:tc>
        <w:tc>
          <w:tcPr>
            <w:tcW w:w="2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0" w:firstLine="584"/>
        <w:spacing w:after="0" w:line="259" w:lineRule="auto"/>
        <w:rPr>
          <w:sz w:val="20"/>
          <w:szCs w:val="20"/>
          <w:color w:val="auto"/>
        </w:rPr>
      </w:pPr>
      <w:r>
        <w:rPr>
          <w:rFonts w:ascii="Arial" w:cs="Arial" w:eastAsia="Arial" w:hAnsi="Arial"/>
          <w:sz w:val="16"/>
          <w:szCs w:val="16"/>
          <w:i w:val="1"/>
          <w:iCs w:val="1"/>
          <w:color w:val="auto"/>
        </w:rPr>
        <w:t xml:space="preserve">Philip Serlin, CPA, MBA, </w:t>
      </w:r>
      <w:r>
        <w:rPr>
          <w:rFonts w:ascii="Arial" w:cs="Arial" w:eastAsia="Arial" w:hAnsi="Arial"/>
          <w:sz w:val="16"/>
          <w:szCs w:val="16"/>
          <w:color w:val="auto"/>
        </w:rPr>
        <w:t>has served as our Chief Executive Officer since October 2016. From May 2009 to October 2016, Mr. Serlin served as our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Operating Officer. From January 2008 to August 2008, Mr. Serlin served as the Chief Financial Officer and Chief Operating Officer of Kayote Networks Inc. From January 2006 to December 2007, he served as the Chief Financial Officer of Tescom Software Systems Testing Ltd., an IT services company publicly traded in both Tel Aviv and London. His background also includes senior positions at Chiaro Networks Ltd. and at Deloitte, where he was head of the SEC and U.S. Accounting Department at the National Office in Tel Aviv, as well as seven years at the SEC at its Washington, D.C., headquarters. Mr. Serlin currently serves as an external director at Vascular Biogenics Ltd. (Nasdaq:VBLT). Mr. Serlin is a CPA and holds a B.Sc. in accounting from Yeshiva University and a Master's degree in economics and public policy from The George Washington University.</w:t>
      </w:r>
    </w:p>
    <w:p>
      <w:pPr>
        <w:spacing w:after="0" w:line="217" w:lineRule="exact"/>
        <w:rPr>
          <w:sz w:val="20"/>
          <w:szCs w:val="20"/>
          <w:color w:val="auto"/>
        </w:rPr>
      </w:pPr>
    </w:p>
    <w:p>
      <w:pPr>
        <w:ind w:right="300" w:firstLine="584"/>
        <w:spacing w:after="0" w:line="286" w:lineRule="auto"/>
        <w:rPr>
          <w:sz w:val="20"/>
          <w:szCs w:val="20"/>
          <w:color w:val="auto"/>
        </w:rPr>
      </w:pPr>
      <w:r>
        <w:rPr>
          <w:rFonts w:ascii="Arial" w:cs="Arial" w:eastAsia="Arial" w:hAnsi="Arial"/>
          <w:sz w:val="15"/>
          <w:szCs w:val="15"/>
          <w:i w:val="1"/>
          <w:iCs w:val="1"/>
          <w:color w:val="auto"/>
        </w:rPr>
        <w:t xml:space="preserve">Mali Zeevi </w:t>
      </w:r>
      <w:r>
        <w:rPr>
          <w:rFonts w:ascii="Arial" w:cs="Arial" w:eastAsia="Arial" w:hAnsi="Arial"/>
          <w:sz w:val="15"/>
          <w:szCs w:val="15"/>
          <w:color w:val="auto"/>
        </w:rPr>
        <w:t>has served as our Chief Financial Officer since October 2016. Prior to becoming Chief Financial Officer, Ms. Zeevi served as our Senior Director of</w:t>
      </w:r>
      <w:r>
        <w:rPr>
          <w:rFonts w:ascii="Arial" w:cs="Arial" w:eastAsia="Arial" w:hAnsi="Arial"/>
          <w:sz w:val="15"/>
          <w:szCs w:val="15"/>
          <w:i w:val="1"/>
          <w:iCs w:val="1"/>
          <w:color w:val="auto"/>
        </w:rPr>
        <w:t xml:space="preserve"> </w:t>
      </w:r>
      <w:r>
        <w:rPr>
          <w:rFonts w:ascii="Arial" w:cs="Arial" w:eastAsia="Arial" w:hAnsi="Arial"/>
          <w:sz w:val="15"/>
          <w:szCs w:val="15"/>
          <w:color w:val="auto"/>
        </w:rPr>
        <w:t>Finance and Reporting beginning in 2011 and as our Director of Finance and Reporting beginning in 2009. Before joining BioLineRx, Ms. Zeevi was employed by Tescom Software Systems Testing Ltd., her last position there being Vice President Finance. Ms. Zeevi also served as a CPA at Kesselman &amp; Kesselman, a member firm of PricewaterhouseCoopers International Limited. She holds a B.A. in business and accountancy from the College of Management Academic Studies in Israel.</w:t>
      </w:r>
    </w:p>
    <w:p>
      <w:pPr>
        <w:spacing w:after="0" w:line="201" w:lineRule="exact"/>
        <w:rPr>
          <w:sz w:val="20"/>
          <w:szCs w:val="20"/>
          <w:color w:val="auto"/>
        </w:rPr>
      </w:pPr>
    </w:p>
    <w:p>
      <w:pPr>
        <w:ind w:right="60" w:firstLine="584"/>
        <w:spacing w:after="0" w:line="286" w:lineRule="auto"/>
        <w:rPr>
          <w:sz w:val="20"/>
          <w:szCs w:val="20"/>
          <w:color w:val="auto"/>
        </w:rPr>
      </w:pPr>
      <w:r>
        <w:rPr>
          <w:rFonts w:ascii="Arial" w:cs="Arial" w:eastAsia="Arial" w:hAnsi="Arial"/>
          <w:sz w:val="15"/>
          <w:szCs w:val="15"/>
          <w:i w:val="1"/>
          <w:iCs w:val="1"/>
          <w:color w:val="auto"/>
        </w:rPr>
        <w:t xml:space="preserve">David Malek, MBA, </w:t>
      </w:r>
      <w:r>
        <w:rPr>
          <w:rFonts w:ascii="Arial" w:cs="Arial" w:eastAsia="Arial" w:hAnsi="Arial"/>
          <w:sz w:val="15"/>
          <w:szCs w:val="15"/>
          <w:color w:val="auto"/>
        </w:rPr>
        <w:t>has served as our Chief Business Officer since January 2016. From October 2011 through December 2015, Mr. Malek served as of Vice President</w:t>
      </w:r>
      <w:r>
        <w:rPr>
          <w:rFonts w:ascii="Arial" w:cs="Arial" w:eastAsia="Arial" w:hAnsi="Arial"/>
          <w:sz w:val="15"/>
          <w:szCs w:val="15"/>
          <w:i w:val="1"/>
          <w:iCs w:val="1"/>
          <w:color w:val="auto"/>
        </w:rPr>
        <w:t xml:space="preserve"> </w:t>
      </w:r>
      <w:r>
        <w:rPr>
          <w:rFonts w:ascii="Arial" w:cs="Arial" w:eastAsia="Arial" w:hAnsi="Arial"/>
          <w:sz w:val="15"/>
          <w:szCs w:val="15"/>
          <w:color w:val="auto"/>
        </w:rPr>
        <w:t>of Business Development. Prior to joining the Company, from 2006 to 2011 Mr. Malek served at Sanofi-Aventis in a number of management positions, including Marketing, Finance and Business Development. Most recently, he served as Director of Oncology - New Products and Business Development. Mr. Malek received an MBA from the Tuck Business School at Dartmouth University and a B.A. in statistics and political science from the University of Haifa.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78" w:name="page79"/>
    <w:bookmarkEnd w:id="78"/>
    <w:p>
      <w:pPr>
        <w:ind w:right="120" w:firstLine="584"/>
        <w:spacing w:after="0" w:line="263" w:lineRule="auto"/>
        <w:rPr>
          <w:sz w:val="20"/>
          <w:szCs w:val="20"/>
          <w:color w:val="auto"/>
        </w:rPr>
      </w:pPr>
      <w:r>
        <w:rPr>
          <w:rFonts w:ascii="Arial" w:cs="Arial" w:eastAsia="Arial" w:hAnsi="Arial"/>
          <w:sz w:val="16"/>
          <w:szCs w:val="16"/>
          <w:i w:val="1"/>
          <w:iCs w:val="1"/>
          <w:color w:val="auto"/>
        </w:rPr>
        <w:t>Ella Sorani, Ph.D.</w:t>
      </w:r>
      <w:r>
        <w:rPr>
          <w:rFonts w:ascii="Arial" w:cs="Arial" w:eastAsia="Arial" w:hAnsi="Arial"/>
          <w:sz w:val="16"/>
          <w:szCs w:val="16"/>
          <w:color w:val="auto"/>
        </w:rPr>
        <w:t>, has served as our Vice President Development since February 2017. Before joining BioLineRx, from 2000 through 2016, Dr. Sorani served in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management positions in the global R&amp;D division at Teva Pharmaceutical Industries Ltd. In her most recent position as Senior Director and Global Project Leader, Dr. Sorani led the development of one of Teva's leading innovative late stage compounds. Dr. Sorani holds a B.Sc. in chemistry and an M.Sc. and Ph.D. in pharmacology, all from Tel Aviv University.</w:t>
      </w:r>
    </w:p>
    <w:p>
      <w:pPr>
        <w:spacing w:after="0" w:line="216" w:lineRule="exact"/>
        <w:rPr>
          <w:sz w:val="20"/>
          <w:szCs w:val="20"/>
          <w:color w:val="auto"/>
        </w:rPr>
      </w:pPr>
    </w:p>
    <w:p>
      <w:pPr>
        <w:jc w:val="both"/>
        <w:ind w:right="160" w:firstLine="584"/>
        <w:spacing w:after="0" w:line="244" w:lineRule="auto"/>
        <w:rPr>
          <w:sz w:val="20"/>
          <w:szCs w:val="20"/>
          <w:color w:val="auto"/>
        </w:rPr>
      </w:pPr>
      <w:r>
        <w:rPr>
          <w:rFonts w:ascii="Arial" w:cs="Arial" w:eastAsia="Arial" w:hAnsi="Arial"/>
          <w:sz w:val="14"/>
          <w:szCs w:val="14"/>
          <w:i w:val="1"/>
          <w:iCs w:val="1"/>
          <w:color w:val="auto"/>
        </w:rPr>
        <w:t>Abi Vainstein-Haras, M.D.</w:t>
      </w:r>
      <w:r>
        <w:rPr>
          <w:rFonts w:ascii="Arial" w:cs="Arial" w:eastAsia="Arial" w:hAnsi="Arial"/>
          <w:sz w:val="14"/>
          <w:szCs w:val="14"/>
          <w:color w:val="auto"/>
        </w:rPr>
        <w:t>, has served as our Vice President Clinical and Medical Affairs since January 2017. From June 2014 to January 2017, Dr. Vainstein-Haras</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our Senior Medical Director responsible for the clinical development of all our clinical phase projects. Prior to joining the Company, from 2012 to 2014, she served as the Director and Clinical Program Leader for COPAXONE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at Teva, and from 2007 to 2012, she served in several medical positions in Innovative R&amp;D at Teva. Dr.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Vainstein-Haras holds an M.D. from University of Buenos Aires and is licensed to practice medicine in Israel.</w:t>
      </w:r>
    </w:p>
    <w:p>
      <w:pPr>
        <w:spacing w:after="0" w:line="240"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i w:val="1"/>
          <w:iCs w:val="1"/>
          <w:color w:val="auto"/>
        </w:rPr>
        <w:t>Aharon Schwartz, Ph.D.</w:t>
      </w:r>
      <w:r>
        <w:rPr>
          <w:rFonts w:ascii="Arial" w:cs="Arial" w:eastAsia="Arial" w:hAnsi="Arial"/>
          <w:sz w:val="16"/>
          <w:szCs w:val="16"/>
          <w:color w:val="auto"/>
        </w:rPr>
        <w:t>, has served as the Chairman of our Board of Directors since 2004. He served in a number of positions in Teva from 1975 through 2011, the</w:t>
      </w:r>
      <w:r>
        <w:rPr>
          <w:rFonts w:ascii="Arial" w:cs="Arial" w:eastAsia="Arial" w:hAnsi="Arial"/>
          <w:sz w:val="16"/>
          <w:szCs w:val="16"/>
          <w:i w:val="1"/>
          <w:iCs w:val="1"/>
          <w:color w:val="auto"/>
        </w:rPr>
        <w:t xml:space="preserve"> </w:t>
      </w:r>
      <w:r>
        <w:rPr>
          <w:rFonts w:ascii="Arial" w:cs="Arial" w:eastAsia="Arial" w:hAnsi="Arial"/>
          <w:sz w:val="16"/>
          <w:szCs w:val="16"/>
          <w:color w:val="auto"/>
        </w:rPr>
        <w:t>most recent being Vice President, Head of Teva Innovative Ventures from 2008. Dr. Schwartz is currently chairman of the boards of numerous life science companies, including D-Pharm Ltd., BioCancell Ltd., CureTech Ltd. and Biomas Ltd. Dr. Schwartz also serves on the board of directors of Protalix Ltd. and as a consultant to Clal Biotechnology Industries Ltd. Dr. Schwartz received his Ph.D. in organic chemistry from the Weizmann Institute, his M.Sc. in organic chemistry from the Technion and a B.Sc. in chemistry and physics from the Hebrew University of Jerusalem. In addition, Dr. Schwartz holds a Ph.D. from the Hebrew University of Jerusalem in the history and philosophy of science.</w:t>
      </w:r>
    </w:p>
    <w:p>
      <w:pPr>
        <w:spacing w:after="0" w:line="217" w:lineRule="exact"/>
        <w:rPr>
          <w:sz w:val="20"/>
          <w:szCs w:val="20"/>
          <w:color w:val="auto"/>
        </w:rPr>
      </w:pPr>
    </w:p>
    <w:p>
      <w:pPr>
        <w:ind w:firstLine="584"/>
        <w:spacing w:after="0" w:line="275" w:lineRule="auto"/>
        <w:rPr>
          <w:sz w:val="20"/>
          <w:szCs w:val="20"/>
          <w:color w:val="auto"/>
        </w:rPr>
      </w:pPr>
      <w:r>
        <w:rPr>
          <w:rFonts w:ascii="Arial" w:cs="Arial" w:eastAsia="Arial" w:hAnsi="Arial"/>
          <w:sz w:val="15"/>
          <w:szCs w:val="15"/>
          <w:i w:val="1"/>
          <w:iCs w:val="1"/>
          <w:color w:val="auto"/>
        </w:rPr>
        <w:t>Michael J. Anghel, Ph.D.</w:t>
      </w:r>
      <w:r>
        <w:rPr>
          <w:rFonts w:ascii="Arial" w:cs="Arial" w:eastAsia="Arial" w:hAnsi="Arial"/>
          <w:sz w:val="15"/>
          <w:szCs w:val="15"/>
          <w:color w:val="auto"/>
        </w:rPr>
        <w:t>, has served on our Board of Directors since 2010 and on our Investment Monitoring Committee since 2010. From 1977 to 1999, he led the</w:t>
      </w:r>
      <w:r>
        <w:rPr>
          <w:rFonts w:ascii="Arial" w:cs="Arial" w:eastAsia="Arial" w:hAnsi="Arial"/>
          <w:sz w:val="15"/>
          <w:szCs w:val="15"/>
          <w:i w:val="1"/>
          <w:iCs w:val="1"/>
          <w:color w:val="auto"/>
        </w:rPr>
        <w:t xml:space="preserve"> </w:t>
      </w:r>
      <w:r>
        <w:rPr>
          <w:rFonts w:ascii="Arial" w:cs="Arial" w:eastAsia="Arial" w:hAnsi="Arial"/>
          <w:sz w:val="15"/>
          <w:szCs w:val="15"/>
          <w:color w:val="auto"/>
        </w:rPr>
        <w:t>Discount Investment Corporation Ltd. (of the IDB Group) activities in the fields of technology and communications. Dr. Anghel was instrumental in founding Tevel, one of the first Israeli cable television operators and later in founding Cellcom Israel Ltd. (NYSE:CEL), the second Israeli cellular operator. In 1999, he founded CAP Ventures, an advanced technology investment company. From 2004 to 2005, Dr. Anghel served as CEO of DCM, the investment banking arm of the Israel Discount Bank (TASE:DSCT). He has been involved in various technology enterprises and has served on the Boards of Directors of various major Israeli corporations and financial institutions including Elron Electronic Industries Ltd. (TASE:ELRN), Elbit Systems Ltd. (Nasdaq:ESLT, TASE:ESLT), Nice Systems (Nasdaq:NICE), Gilat Satellite Networks Ltd. (Nasdaq:GILT), American Israeli Paper Mills (now Hadera Paper Ltd. (AMEX:AIP)), Maalot (the Israeli affiliate of Standard and Poor's) and Hapoalim Capital Markets. He currently serves on the Boards of Directors of Partner Communications Company, Ltd. (Nasdaq:PTNR, TASE:PTNR), Syneron Medical Ltd. (Nasdaq:ELOS), Evogene Ltd. (Nasdaq:EVGN, TASE:EVGN), Dan Hotels Ltd. (TASE:DANH), Orbotech Ltd. (Nasdaq:ORBK, GSM:ORBK) and the Strauss Group Ltd. (TASE:STRS). Until recently, he was also the chairman of the Center for Educational Technology. Prior to launching his business career, Dr. Anghel served as a full-time member of the Recanati Graduate School of Business Administration of the Tel Aviv University, where he taught finance and corporate strategy. He currently serves as Chairman of the Tel Aviv University's Executive Program. Dr. Anghel holds a B.A. (Economics) from the Hebrew University in Jerusalem and an MBA. and Ph.D. (Finance) from Columbia University, New York.</w:t>
      </w:r>
    </w:p>
    <w:p>
      <w:pPr>
        <w:spacing w:after="0" w:line="210" w:lineRule="exact"/>
        <w:rPr>
          <w:sz w:val="20"/>
          <w:szCs w:val="20"/>
          <w:color w:val="auto"/>
        </w:rPr>
      </w:pPr>
    </w:p>
    <w:p>
      <w:pPr>
        <w:ind w:right="120" w:firstLine="584"/>
        <w:spacing w:after="0" w:line="257" w:lineRule="auto"/>
        <w:rPr>
          <w:sz w:val="20"/>
          <w:szCs w:val="20"/>
          <w:color w:val="auto"/>
        </w:rPr>
      </w:pPr>
      <w:r>
        <w:rPr>
          <w:rFonts w:ascii="Arial" w:cs="Arial" w:eastAsia="Arial" w:hAnsi="Arial"/>
          <w:sz w:val="16"/>
          <w:szCs w:val="16"/>
          <w:i w:val="1"/>
          <w:iCs w:val="1"/>
          <w:color w:val="auto"/>
        </w:rPr>
        <w:t>Nurit Benjamini, MBA</w:t>
      </w:r>
      <w:r>
        <w:rPr>
          <w:rFonts w:ascii="Arial" w:cs="Arial" w:eastAsia="Arial" w:hAnsi="Arial"/>
          <w:sz w:val="16"/>
          <w:szCs w:val="16"/>
          <w:color w:val="auto"/>
        </w:rPr>
        <w:t>, has served as an external director on our Board of Directors and as the chairperson of our Audit Committee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2010. In addition, Ms. Benjamini has served on our Investment Monitoring Committee since 2010 and on our Compensation Committee since 2012. Since December 2013, Ms. Benjamini has served as the Chief Financial Officer of TabTale Ltd. a company that develops, designs and manufactures interactive digital content to be displayed on electronic devices. From 2011 to 2013, Ms. Benjamini served as the Chief Financial Officer of Wix.com Ltd.; from 2007 through 2011, she served as the Chief Financial Officer of CopperGate Communications Ltd.; and from 2000 through 2007, she served as the Chief Financial Officer of Compugen Ltd. (Nasdaq: CGEN). Prior to that, from 1993 through 1998, Ms. Benjamini served as the Chief Financial Officer of Aladdin Knowledge Systems Ltd., and from 1998 through 2000, as the Chief Financial Officer of Phone-Or Ltd. Ms. Benjamini serves on the board of directors, and as chairperson of the audit committee, of Allot Communications Ltd. (Nasdaq:ALLT, TASE:ALLT) and of RedHill Biopharma Ltd. (NASDAQ:RDHL, TASE:RDHL). Ms. Benjamini holds a B.A. in economics and business and an M.B.A. in finance, both from Bar Ilan University, Israel.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9" w:name="page80"/>
    <w:bookmarkEnd w:id="79"/>
    <w:p>
      <w:pPr>
        <w:ind w:firstLine="584"/>
        <w:spacing w:after="0" w:line="277" w:lineRule="auto"/>
        <w:rPr>
          <w:sz w:val="20"/>
          <w:szCs w:val="20"/>
          <w:color w:val="auto"/>
        </w:rPr>
      </w:pPr>
      <w:r>
        <w:rPr>
          <w:rFonts w:ascii="Arial" w:cs="Arial" w:eastAsia="Arial" w:hAnsi="Arial"/>
          <w:sz w:val="15"/>
          <w:szCs w:val="15"/>
          <w:i w:val="1"/>
          <w:iCs w:val="1"/>
          <w:color w:val="auto"/>
        </w:rPr>
        <w:t>BJ Bormann, Ph.D</w:t>
      </w:r>
      <w:r>
        <w:rPr>
          <w:rFonts w:ascii="Arial" w:cs="Arial" w:eastAsia="Arial" w:hAnsi="Arial"/>
          <w:sz w:val="15"/>
          <w:szCs w:val="15"/>
          <w:color w:val="auto"/>
        </w:rPr>
        <w:t>., has served on our Board of Directors since August 2013. Dr. Bormann currently serves as the CEO of Supportive Therapeutics, LLC, a Boston</w:t>
      </w:r>
      <w:r>
        <w:rPr>
          <w:rFonts w:ascii="Arial" w:cs="Arial" w:eastAsia="Arial" w:hAnsi="Arial"/>
          <w:sz w:val="15"/>
          <w:szCs w:val="15"/>
          <w:i w:val="1"/>
          <w:iCs w:val="1"/>
          <w:color w:val="auto"/>
        </w:rPr>
        <w:t xml:space="preserve"> </w:t>
      </w:r>
      <w:r>
        <w:rPr>
          <w:rFonts w:ascii="Arial" w:cs="Arial" w:eastAsia="Arial" w:hAnsi="Arial"/>
          <w:sz w:val="15"/>
          <w:szCs w:val="15"/>
          <w:color w:val="auto"/>
        </w:rPr>
        <w:t>based company that is developing two molecules for use in the supportive care of oncology patients. In the past several years Dr. Bormann has held executive positions in several biotechnology companies including NanoMedical Systems (Austen, Texas), Harbour Antibodies (Rotterdam, The Netherlands) and Pivot Pharmaceuticals (PVTF: OTC listed). Prior to these engagements, Dr. Bormann was Senior Vice President responsible for world-wide alliances, licensing and business development at Boehringer Ingelheim Pharmaceuticals, Inc. from 2007 to 2013. From 1996 to 2007, she served in a number of positions at Pfizer, Inc., the last one being Vice President of Pfizer Global Research and Development and world-wide Head of Strategic Alliances. Dr. Bormann serves on the board of directors of various companies, including Supportive Therapeutics, LLC, and the Institute for Pediatric Innovation. Dr. Bormann received her Ph.D. in biomedical science from the University of Connecticut Health Center and her B.Sc. from Fairfield University in biology. Dr. Bormann completed postdoctoral training at Yale Medical School in the department of pathology.</w:t>
      </w:r>
    </w:p>
    <w:p>
      <w:pPr>
        <w:spacing w:after="0" w:line="209" w:lineRule="exact"/>
        <w:rPr>
          <w:sz w:val="20"/>
          <w:szCs w:val="20"/>
          <w:color w:val="auto"/>
        </w:rPr>
      </w:pPr>
    </w:p>
    <w:p>
      <w:pPr>
        <w:ind w:right="40" w:firstLine="584"/>
        <w:spacing w:after="0" w:line="277" w:lineRule="auto"/>
        <w:rPr>
          <w:sz w:val="20"/>
          <w:szCs w:val="20"/>
          <w:color w:val="auto"/>
        </w:rPr>
      </w:pPr>
      <w:r>
        <w:rPr>
          <w:rFonts w:ascii="Arial" w:cs="Arial" w:eastAsia="Arial" w:hAnsi="Arial"/>
          <w:sz w:val="15"/>
          <w:szCs w:val="15"/>
          <w:i w:val="1"/>
          <w:iCs w:val="1"/>
          <w:color w:val="auto"/>
        </w:rPr>
        <w:t xml:space="preserve">Raphael Hofstein, Ph.D., </w:t>
      </w:r>
      <w:r>
        <w:rPr>
          <w:rFonts w:ascii="Arial" w:cs="Arial" w:eastAsia="Arial" w:hAnsi="Arial"/>
          <w:sz w:val="15"/>
          <w:szCs w:val="15"/>
          <w:color w:val="auto"/>
        </w:rPr>
        <w:t>has served on our Board of Directors since 2003, our Audit Committee since 2007 and our Compensation Committee since 2012. Dr.</w:t>
      </w:r>
      <w:r>
        <w:rPr>
          <w:rFonts w:ascii="Arial" w:cs="Arial" w:eastAsia="Arial" w:hAnsi="Arial"/>
          <w:sz w:val="15"/>
          <w:szCs w:val="15"/>
          <w:i w:val="1"/>
          <w:iCs w:val="1"/>
          <w:color w:val="auto"/>
        </w:rPr>
        <w:t xml:space="preserve"> </w:t>
      </w:r>
      <w:r>
        <w:rPr>
          <w:rFonts w:ascii="Arial" w:cs="Arial" w:eastAsia="Arial" w:hAnsi="Arial"/>
          <w:sz w:val="15"/>
          <w:szCs w:val="15"/>
          <w:color w:val="auto"/>
        </w:rPr>
        <w:t>Hofstein has served as the President and Chief Executive Officer of MaRS Innovation (a commercialization company for 15 of Toronto's universities, institutions and research institutes plus the MaRS Discovery District) since June 2009. From 2000 through June 2009, Dr. Hofstein was the President and Chief Executive Officer of Hadasit Medical Research Services and Development Ltd., or Hadasit, the technology transfer company of Hadassah University Hospitals. He has served as chairman of the board of directors of Hadasit since 2006. Prior to joining Hadasit, Dr. Hofstein was the President of Mindsense Biosystems Ltd. and the Business Unit Director of Ecogen Inc. and has held a variety of other positions, including manager of R&amp;D and chief of immunochemistry at the International Genetic Science Partnership. Dr. Hofstein serves on the board of directors of numerous companies, including Hadasit Bio-Holdings Ltd. (TASE:HDST). Dr. Hofstein received his Ph.D. and M.Sc. from the Weizmann Institute of Science, and his B.Sc. in chemistry and physics from the Hebrew University in Jerusalem. Dr. Hofstein completed postdoctoral training at Harvard Medical School in both the departments of biological chemistry and neurobiology.</w:t>
      </w:r>
    </w:p>
    <w:p>
      <w:pPr>
        <w:spacing w:after="0" w:line="205" w:lineRule="exact"/>
        <w:rPr>
          <w:sz w:val="20"/>
          <w:szCs w:val="20"/>
          <w:color w:val="auto"/>
        </w:rPr>
      </w:pPr>
    </w:p>
    <w:p>
      <w:pPr>
        <w:ind w:right="60" w:firstLine="584"/>
        <w:spacing w:after="0" w:line="277" w:lineRule="auto"/>
        <w:rPr>
          <w:sz w:val="20"/>
          <w:szCs w:val="20"/>
          <w:color w:val="auto"/>
        </w:rPr>
      </w:pPr>
      <w:r>
        <w:rPr>
          <w:rFonts w:ascii="Arial" w:cs="Arial" w:eastAsia="Arial" w:hAnsi="Arial"/>
          <w:sz w:val="15"/>
          <w:szCs w:val="15"/>
          <w:i w:val="1"/>
          <w:iCs w:val="1"/>
          <w:color w:val="auto"/>
        </w:rPr>
        <w:t>Avraham Molcho, M.D., MBA</w:t>
      </w:r>
      <w:r>
        <w:rPr>
          <w:rFonts w:ascii="Arial" w:cs="Arial" w:eastAsia="Arial" w:hAnsi="Arial"/>
          <w:sz w:val="15"/>
          <w:szCs w:val="15"/>
          <w:color w:val="auto"/>
        </w:rPr>
        <w:t>, has served as an external director on our Board of Directors and on our Audit Committee since 2010. In addition, Dr. Molcho has</w:t>
      </w:r>
      <w:r>
        <w:rPr>
          <w:rFonts w:ascii="Arial" w:cs="Arial" w:eastAsia="Arial" w:hAnsi="Arial"/>
          <w:sz w:val="15"/>
          <w:szCs w:val="15"/>
          <w:i w:val="1"/>
          <w:iCs w:val="1"/>
          <w:color w:val="auto"/>
        </w:rPr>
        <w:t xml:space="preserve"> </w:t>
      </w:r>
      <w:r>
        <w:rPr>
          <w:rFonts w:ascii="Arial" w:cs="Arial" w:eastAsia="Arial" w:hAnsi="Arial"/>
          <w:sz w:val="15"/>
          <w:szCs w:val="15"/>
          <w:color w:val="auto"/>
        </w:rPr>
        <w:t>served on our Compensation Committee since 2012. Dr. Molcho is the Founder and Chairman of Biolojic Design Ltd., a technology platform that encourages human antibody discoveries, and is a venture partner at Forbion Capital Partners, a Dutch life sciences venture capital firm. In 2012, he became the co-founder, CEO and director of Ayana Pharma Ltd. (formerly DoxoCure), a privately-held company engaged in the manufacturing of liposome-based therapeutics. He currently serves on the board of directors of Circulite Inc. and NovoGI. From 2006 through 2008, Dr. Molcho served as the Chief Executive Officer and Chairman of Neovasc Medical, a privately-held Israeli medical device company. From 2001 through 2006, Dr. Molcho was a managing director and the head of life sciences of Giza Venture Capital and, in that capacity, was involved in the founding of our company. He was also the Deputy Director General of Abarbanel Mental Health Center, the largest acute psychiatric hospital in Israel, from 1999 to 2001. Dr. Molcho holds an M.D. from Tel-Aviv University School of Medicine and an MBA from Tel-Aviv University Recanati Business School.</w:t>
      </w:r>
    </w:p>
    <w:p>
      <w:pPr>
        <w:spacing w:after="0" w:line="209" w:lineRule="exact"/>
        <w:rPr>
          <w:sz w:val="20"/>
          <w:szCs w:val="20"/>
          <w:color w:val="auto"/>
        </w:rPr>
      </w:pPr>
    </w:p>
    <w:p>
      <w:pPr>
        <w:ind w:firstLine="584"/>
        <w:spacing w:after="0" w:line="257" w:lineRule="auto"/>
        <w:rPr>
          <w:sz w:val="20"/>
          <w:szCs w:val="20"/>
          <w:color w:val="auto"/>
        </w:rPr>
      </w:pPr>
      <w:r>
        <w:rPr>
          <w:rFonts w:ascii="Arial" w:cs="Arial" w:eastAsia="Arial" w:hAnsi="Arial"/>
          <w:sz w:val="16"/>
          <w:szCs w:val="16"/>
          <w:i w:val="1"/>
          <w:iCs w:val="1"/>
          <w:color w:val="auto"/>
        </w:rPr>
        <w:t>Sandra Panem, Ph.D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 member of our Board since February 2014. She is currently a managing partner at Cross Atlantic Partners, which she joined in 2000.</w:t>
      </w:r>
      <w:r>
        <w:rPr>
          <w:rFonts w:ascii="Arial" w:cs="Arial" w:eastAsia="Arial" w:hAnsi="Arial"/>
          <w:sz w:val="16"/>
          <w:szCs w:val="16"/>
          <w:i w:val="1"/>
          <w:iCs w:val="1"/>
          <w:color w:val="auto"/>
        </w:rPr>
        <w:t xml:space="preserve"> </w:t>
      </w:r>
      <w:r>
        <w:rPr>
          <w:rFonts w:ascii="Arial" w:cs="Arial" w:eastAsia="Arial" w:hAnsi="Arial"/>
          <w:sz w:val="16"/>
          <w:szCs w:val="16"/>
          <w:color w:val="auto"/>
        </w:rPr>
        <w:t>She is also co-founder and President of NeuroNetworks Fund, a not-for-profit venture capital fund focusing on epilepsy, schizophrenia and autism. From 1994 to 1999, Dr. Panem was President of Vector Fund Management, the then asset management affiliate of Vector Securities International. Prior thereto, Dr. Panem served as Vice President and Portfolio Manager for the Oppenheimer Global BioTech Fund, a mutual fund that invested in public and private biotechnology companies. Previously, she was Vice President at Salomon Brothers Venture Capital, a fund focused on early and later-stage life sciences and technology investments. Dr. Panem was also a Science and Public Policy Fellow in economic studies at the Brookings Institution, and an Assistant Professor of Pathology at the University of Chicago. Dr. Panem currently serves on the boards of directors of Acorda Therapeutics, Inc. (NASDAQ:ACOR) and Labcyte, Inc. Previously, Dr. Panem served on numerous boards of public and private companies, including Martek Biosciences (Nasdaq:MATK), IBAH Pharmaceuticals (Nasdaq:IBAH), Confluent Surgical and Molecular Informatics. She received a B.S. in biochemistry and a Ph.D. in microbiology from the University of Chicago.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0" w:name="page81"/>
    <w:bookmarkEnd w:id="80"/>
    <w:p>
      <w:pPr>
        <w:ind w:left="3" w:right="9680" w:hanging="3"/>
        <w:spacing w:after="0" w:line="656" w:lineRule="auto"/>
        <w:tabs>
          <w:tab w:leader="none" w:pos="192"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Compensation Employment Agreements</w:t>
      </w:r>
    </w:p>
    <w:p>
      <w:pPr>
        <w:spacing w:after="0" w:line="1" w:lineRule="exact"/>
        <w:rPr>
          <w:sz w:val="20"/>
          <w:szCs w:val="20"/>
          <w:color w:val="auto"/>
        </w:rPr>
      </w:pPr>
    </w:p>
    <w:p>
      <w:pPr>
        <w:ind w:left="3" w:right="40" w:firstLine="584"/>
        <w:spacing w:after="0" w:line="263" w:lineRule="auto"/>
        <w:rPr>
          <w:sz w:val="20"/>
          <w:szCs w:val="20"/>
          <w:color w:val="auto"/>
        </w:rPr>
      </w:pPr>
      <w:r>
        <w:rPr>
          <w:rFonts w:ascii="Arial" w:cs="Arial" w:eastAsia="Arial" w:hAnsi="Arial"/>
          <w:sz w:val="16"/>
          <w:szCs w:val="16"/>
          <w:color w:val="auto"/>
        </w:rPr>
        <w:t>We have entered into written employment agreements with each of our executive officers, the terms of which are consistent with the provisions of the of the Company's Compensation Policy for Executives and Directors, or Compensation Policy, which was approved by our shareholders in July 2016. All of these agreements contain customary provisions regarding noncompetition, confidentiality of information and assignment of inventions. However, the enforceability of the noncompetition provisions may be limited under applicable law.</w:t>
      </w:r>
    </w:p>
    <w:p>
      <w:pPr>
        <w:spacing w:after="0" w:line="216" w:lineRule="exact"/>
        <w:rPr>
          <w:sz w:val="20"/>
          <w:szCs w:val="20"/>
          <w:color w:val="auto"/>
        </w:rPr>
      </w:pPr>
    </w:p>
    <w:p>
      <w:pPr>
        <w:ind w:left="3" w:right="20" w:firstLine="584"/>
        <w:spacing w:after="0" w:line="268" w:lineRule="auto"/>
        <w:rPr>
          <w:sz w:val="20"/>
          <w:szCs w:val="20"/>
          <w:color w:val="auto"/>
        </w:rPr>
      </w:pPr>
      <w:r>
        <w:rPr>
          <w:rFonts w:ascii="Arial" w:cs="Arial" w:eastAsia="Arial" w:hAnsi="Arial"/>
          <w:sz w:val="16"/>
          <w:szCs w:val="16"/>
          <w:color w:val="auto"/>
        </w:rPr>
        <w:t>In addition, we have entered into agreements with each executive officer and director pursuant to which we have agreed to indemnify each of them to the fullest extent permitted by law to the extent that these liabilities are not covered by directors' and officers' insurance. The terms of these agreements and of our directors' and officers' insurance are consistent with the provisions of the Compensation Policy.</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Compensation of Directors and Senior Management</w:t>
      </w:r>
    </w:p>
    <w:p>
      <w:pPr>
        <w:spacing w:after="0" w:line="258" w:lineRule="exact"/>
        <w:rPr>
          <w:sz w:val="20"/>
          <w:szCs w:val="20"/>
          <w:color w:val="auto"/>
        </w:rPr>
      </w:pPr>
    </w:p>
    <w:p>
      <w:pPr>
        <w:ind w:left="3" w:right="360" w:firstLine="584"/>
        <w:spacing w:after="0" w:line="358" w:lineRule="auto"/>
        <w:rPr>
          <w:sz w:val="20"/>
          <w:szCs w:val="20"/>
          <w:color w:val="auto"/>
        </w:rPr>
      </w:pPr>
      <w:r>
        <w:rPr>
          <w:rFonts w:ascii="Arial" w:cs="Arial" w:eastAsia="Arial" w:hAnsi="Arial"/>
          <w:sz w:val="14"/>
          <w:szCs w:val="14"/>
          <w:color w:val="auto"/>
        </w:rPr>
        <w:t>The following table presents in the aggregate all compensation we paid to all of our directors and senior management as a group for the year ended December 31, 2016. The table does not include any amounts we paid to reimburse any of such persons for costs incurred in providing us with services during this period.</w:t>
      </w:r>
    </w:p>
    <w:p>
      <w:pPr>
        <w:spacing w:after="0" w:line="149" w:lineRule="exact"/>
        <w:rPr>
          <w:sz w:val="20"/>
          <w:szCs w:val="20"/>
          <w:color w:val="auto"/>
        </w:rPr>
      </w:pPr>
    </w:p>
    <w:tbl>
      <w:tblPr>
        <w:tblLayout w:type="fixed"/>
        <w:tblInd w:w="703"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Salaries, fees,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Pension, retirement,</w:t>
            </w:r>
          </w:p>
        </w:tc>
      </w:tr>
      <w:tr>
        <w:trPr>
          <w:trHeight w:val="195"/>
        </w:trPr>
        <w:tc>
          <w:tcPr>
            <w:tcW w:w="6320" w:type="dxa"/>
            <w:vAlign w:val="bottom"/>
          </w:tcPr>
          <w:p>
            <w:pPr>
              <w:spacing w:after="0"/>
              <w:rPr>
                <w:sz w:val="16"/>
                <w:szCs w:val="16"/>
                <w:color w:val="auto"/>
              </w:rPr>
            </w:pPr>
          </w:p>
        </w:tc>
        <w:tc>
          <w:tcPr>
            <w:tcW w:w="2920" w:type="dxa"/>
            <w:vAlign w:val="bottom"/>
            <w:gridSpan w:val="3"/>
          </w:tcPr>
          <w:p>
            <w:pPr>
              <w:jc w:val="center"/>
              <w:ind w:left="1299"/>
              <w:spacing w:after="0"/>
              <w:rPr>
                <w:sz w:val="20"/>
                <w:szCs w:val="20"/>
                <w:color w:val="auto"/>
              </w:rPr>
            </w:pPr>
            <w:r>
              <w:rPr>
                <w:rFonts w:ascii="Arial" w:cs="Arial" w:eastAsia="Arial" w:hAnsi="Arial"/>
                <w:sz w:val="16"/>
                <w:szCs w:val="16"/>
                <w:b w:val="1"/>
                <w:bCs w:val="1"/>
                <w:color w:val="auto"/>
                <w:w w:val="87"/>
              </w:rPr>
              <w:t>commissions and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options and other</w:t>
            </w:r>
          </w:p>
        </w:tc>
      </w:t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bonuses</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similar benefits</w:t>
            </w:r>
          </w:p>
        </w:tc>
        <w:tc>
          <w:tcPr>
            <w:tcW w:w="100" w:type="dxa"/>
            <w:vAlign w:val="bottom"/>
          </w:tcPr>
          <w:p>
            <w:pPr>
              <w:spacing w:after="0"/>
              <w:rPr>
                <w:sz w:val="18"/>
                <w:szCs w:val="18"/>
                <w:color w:val="auto"/>
              </w:rPr>
            </w:pPr>
          </w:p>
        </w:tc>
      </w:tr>
      <w:tr>
        <w:trPr>
          <w:trHeight w:val="195"/>
        </w:trPr>
        <w:tc>
          <w:tcPr>
            <w:tcW w:w="6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60" w:type="dxa"/>
            <w:vAlign w:val="bottom"/>
            <w:gridSpan w:val="4"/>
          </w:tcPr>
          <w:p>
            <w:pPr>
              <w:ind w:left="700"/>
              <w:spacing w:after="0"/>
              <w:rPr>
                <w:sz w:val="20"/>
                <w:szCs w:val="20"/>
                <w:color w:val="auto"/>
              </w:rPr>
            </w:pPr>
            <w:r>
              <w:rPr>
                <w:rFonts w:ascii="Arial" w:cs="Arial" w:eastAsia="Arial" w:hAnsi="Arial"/>
                <w:sz w:val="16"/>
                <w:szCs w:val="16"/>
                <w:b w:val="1"/>
                <w:bCs w:val="1"/>
                <w:color w:val="auto"/>
              </w:rPr>
              <w:t>(USD in thousands)</w:t>
            </w: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All directors and senior management as a group, consisting of 13 persons</w:t>
            </w:r>
          </w:p>
        </w:tc>
        <w:tc>
          <w:tcPr>
            <w:tcW w:w="2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1,456,285</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772,672</w:t>
            </w:r>
          </w:p>
        </w:tc>
      </w:tr>
    </w:tbl>
    <w:p>
      <w:pPr>
        <w:spacing w:after="0" w:line="231" w:lineRule="exact"/>
        <w:rPr>
          <w:sz w:val="20"/>
          <w:szCs w:val="20"/>
          <w:color w:val="auto"/>
        </w:rPr>
      </w:pPr>
    </w:p>
    <w:p>
      <w:pPr>
        <w:ind w:left="3" w:right="360"/>
        <w:spacing w:after="0" w:line="283" w:lineRule="auto"/>
        <w:rPr>
          <w:sz w:val="20"/>
          <w:szCs w:val="20"/>
          <w:color w:val="auto"/>
        </w:rPr>
      </w:pPr>
      <w:r>
        <w:rPr>
          <w:rFonts w:ascii="Arial" w:cs="Arial" w:eastAsia="Arial" w:hAnsi="Arial"/>
          <w:sz w:val="16"/>
          <w:szCs w:val="16"/>
          <w:color w:val="auto"/>
        </w:rPr>
        <w:t>In accordance with the Companies Law, the following table presents information regarding compensation actually received by our five most highly paid executive officers during the year ended December 31, 2016.</w:t>
      </w:r>
    </w:p>
    <w:p>
      <w:pPr>
        <w:spacing w:after="0" w:line="192" w:lineRule="exact"/>
        <w:rPr>
          <w:sz w:val="20"/>
          <w:szCs w:val="20"/>
          <w:color w:val="auto"/>
        </w:rPr>
      </w:pPr>
    </w:p>
    <w:tbl>
      <w:tblPr>
        <w:tblLayout w:type="fixed"/>
        <w:tblInd w:w="13" w:type="dxa"/>
        <w:tblCellMar>
          <w:top w:w="0" w:type="dxa"/>
          <w:left w:w="0" w:type="dxa"/>
          <w:bottom w:w="0" w:type="dxa"/>
          <w:right w:w="0" w:type="dxa"/>
        </w:tblCellMar>
      </w:tblPr>
      <w:tr>
        <w:trPr>
          <w:trHeight w:val="219"/>
        </w:trPr>
        <w:tc>
          <w:tcPr>
            <w:tcW w:w="2620" w:type="dxa"/>
            <w:vAlign w:val="bottom"/>
            <w:tcBorders>
              <w:top w:val="single" w:sz="8" w:color="auto"/>
              <w:left w:val="single" w:sz="8" w:color="auto"/>
              <w:right w:val="single" w:sz="8" w:color="auto"/>
            </w:tcBorders>
            <w:vMerge w:val="restart"/>
          </w:tcPr>
          <w:p>
            <w:pPr>
              <w:ind w:left="660"/>
              <w:spacing w:after="0"/>
              <w:rPr>
                <w:sz w:val="20"/>
                <w:szCs w:val="20"/>
                <w:color w:val="auto"/>
              </w:rPr>
            </w:pPr>
            <w:r>
              <w:rPr>
                <w:rFonts w:ascii="Arial" w:cs="Arial" w:eastAsia="Arial" w:hAnsi="Arial"/>
                <w:sz w:val="16"/>
                <w:szCs w:val="16"/>
                <w:b w:val="1"/>
                <w:bCs w:val="1"/>
                <w:color w:val="auto"/>
              </w:rPr>
              <w:t>Name and Position</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5"/>
              </w:rPr>
              <w:t>Salary</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Social benefits</w:t>
            </w:r>
            <w:r>
              <w:rPr>
                <w:rFonts w:ascii="Arial" w:cs="Arial" w:eastAsia="Arial" w:hAnsi="Arial"/>
                <w:sz w:val="27"/>
                <w:szCs w:val="27"/>
                <w:b w:val="1"/>
                <w:bCs w:val="1"/>
                <w:color w:val="auto"/>
                <w:w w:val="85"/>
                <w:vertAlign w:val="superscript"/>
              </w:rPr>
              <w:t>(1)</w:t>
            </w:r>
          </w:p>
        </w:tc>
        <w:tc>
          <w:tcPr>
            <w:tcW w:w="1240" w:type="dxa"/>
            <w:vAlign w:val="bottom"/>
            <w:tcBorders>
              <w:top w:val="single" w:sz="8" w:color="auto"/>
              <w:right w:val="single" w:sz="8" w:color="auto"/>
            </w:tcBorders>
            <w:gridSpan w:val="2"/>
            <w:vMerge w:val="restart"/>
          </w:tcPr>
          <w:p>
            <w:pPr>
              <w:ind w:left="320"/>
              <w:spacing w:after="0"/>
              <w:rPr>
                <w:sz w:val="20"/>
                <w:szCs w:val="20"/>
                <w:color w:val="auto"/>
              </w:rPr>
            </w:pPr>
            <w:r>
              <w:rPr>
                <w:rFonts w:ascii="Arial" w:cs="Arial" w:eastAsia="Arial" w:hAnsi="Arial"/>
                <w:sz w:val="16"/>
                <w:szCs w:val="16"/>
                <w:b w:val="1"/>
                <w:bCs w:val="1"/>
                <w:color w:val="auto"/>
              </w:rPr>
              <w:t>Bonuses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Value of Options</w:t>
            </w:r>
          </w:p>
        </w:tc>
        <w:tc>
          <w:tcPr>
            <w:tcW w:w="260" w:type="dxa"/>
            <w:vAlign w:val="bottom"/>
            <w:tcBorders>
              <w:top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7"/>
              </w:rPr>
              <w:t>All Other</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1"/>
        </w:trPr>
        <w:tc>
          <w:tcPr>
            <w:tcW w:w="2620" w:type="dxa"/>
            <w:vAlign w:val="bottom"/>
            <w:tcBorders>
              <w:left w:val="single" w:sz="8" w:color="auto"/>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gridSpan w:val="2"/>
            <w:vMerge w:val="continue"/>
          </w:tcPr>
          <w:p>
            <w:pPr>
              <w:spacing w:after="0"/>
              <w:rPr>
                <w:sz w:val="14"/>
                <w:szCs w:val="14"/>
                <w:color w:val="auto"/>
              </w:rPr>
            </w:pPr>
          </w:p>
        </w:tc>
        <w:tc>
          <w:tcPr>
            <w:tcW w:w="1480" w:type="dxa"/>
            <w:vAlign w:val="bottom"/>
            <w:tcBorders>
              <w:right w:val="single" w:sz="8" w:color="auto"/>
            </w:tcBorders>
            <w:vMerge w:val="restart"/>
          </w:tcPr>
          <w:p>
            <w:pPr>
              <w:jc w:val="center"/>
              <w:spacing w:after="0" w:line="244" w:lineRule="exact"/>
              <w:rPr>
                <w:sz w:val="20"/>
                <w:szCs w:val="20"/>
                <w:color w:val="auto"/>
              </w:rPr>
            </w:pPr>
            <w:r>
              <w:rPr>
                <w:rFonts w:ascii="Arial" w:cs="Arial" w:eastAsia="Arial" w:hAnsi="Arial"/>
                <w:sz w:val="16"/>
                <w:szCs w:val="16"/>
                <w:b w:val="1"/>
                <w:bCs w:val="1"/>
                <w:color w:val="auto"/>
                <w:w w:val="88"/>
              </w:rPr>
              <w:t>Granted</w:t>
            </w:r>
            <w:r>
              <w:rPr>
                <w:rFonts w:ascii="Arial" w:cs="Arial" w:eastAsia="Arial" w:hAnsi="Arial"/>
                <w:sz w:val="27"/>
                <w:szCs w:val="27"/>
                <w:b w:val="1"/>
                <w:bCs w:val="1"/>
                <w:color w:val="auto"/>
                <w:w w:val="88"/>
                <w:vertAlign w:val="superscript"/>
              </w:rPr>
              <w:t>(2)</w:t>
            </w:r>
          </w:p>
        </w:tc>
        <w:tc>
          <w:tcPr>
            <w:tcW w:w="260" w:type="dxa"/>
            <w:vAlign w:val="bottom"/>
          </w:tcPr>
          <w:p>
            <w:pPr>
              <w:spacing w:after="0"/>
              <w:rPr>
                <w:sz w:val="14"/>
                <w:szCs w:val="14"/>
                <w:color w:val="auto"/>
              </w:rPr>
            </w:pPr>
          </w:p>
        </w:tc>
        <w:tc>
          <w:tcPr>
            <w:tcW w:w="1880" w:type="dxa"/>
            <w:vAlign w:val="bottom"/>
            <w:tcBorders>
              <w:right w:val="single" w:sz="8" w:color="auto"/>
            </w:tcBorders>
            <w:vMerge w:val="restart"/>
          </w:tcPr>
          <w:p>
            <w:pPr>
              <w:jc w:val="center"/>
              <w:ind w:right="219"/>
              <w:spacing w:after="0" w:line="244" w:lineRule="exact"/>
              <w:rPr>
                <w:sz w:val="20"/>
                <w:szCs w:val="20"/>
                <w:color w:val="auto"/>
              </w:rPr>
            </w:pPr>
            <w:r>
              <w:rPr>
                <w:rFonts w:ascii="Arial" w:cs="Arial" w:eastAsia="Arial" w:hAnsi="Arial"/>
                <w:sz w:val="16"/>
                <w:szCs w:val="16"/>
                <w:b w:val="1"/>
                <w:bCs w:val="1"/>
                <w:color w:val="auto"/>
                <w:w w:val="85"/>
              </w:rPr>
              <w:t>Compensation</w:t>
            </w:r>
            <w:r>
              <w:rPr>
                <w:rFonts w:ascii="Arial" w:cs="Arial" w:eastAsia="Arial" w:hAnsi="Arial"/>
                <w:sz w:val="27"/>
                <w:szCs w:val="27"/>
                <w:b w:val="1"/>
                <w:bCs w:val="1"/>
                <w:color w:val="auto"/>
                <w:w w:val="85"/>
                <w:vertAlign w:val="superscript"/>
              </w:rPr>
              <w:t>(3)</w:t>
            </w:r>
          </w:p>
        </w:tc>
        <w:tc>
          <w:tcPr>
            <w:tcW w:w="13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2620" w:type="dxa"/>
            <w:vAlign w:val="bottom"/>
            <w:tcBorders>
              <w:left w:val="single" w:sz="8" w:color="auto"/>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8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gridSpan w:val="3"/>
          </w:tcPr>
          <w:p>
            <w:pPr>
              <w:ind w:left="60"/>
              <w:spacing w:after="0"/>
              <w:rPr>
                <w:sz w:val="20"/>
                <w:szCs w:val="20"/>
                <w:color w:val="auto"/>
              </w:rPr>
            </w:pPr>
            <w:r>
              <w:rPr>
                <w:rFonts w:ascii="Arial" w:cs="Arial" w:eastAsia="Arial" w:hAnsi="Arial"/>
                <w:sz w:val="16"/>
                <w:szCs w:val="16"/>
                <w:i w:val="1"/>
                <w:iCs w:val="1"/>
                <w:color w:val="auto"/>
              </w:rPr>
              <w:t>(in thousands of U.S. dollars)</w:t>
            </w:r>
          </w:p>
        </w:tc>
        <w:tc>
          <w:tcPr>
            <w:tcW w:w="1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Kinneret Savitsky,</w:t>
            </w:r>
          </w:p>
        </w:tc>
        <w:tc>
          <w:tcPr>
            <w:tcW w:w="11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Chief Executive Officer (until October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184</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39</w:t>
            </w:r>
          </w:p>
        </w:tc>
        <w:tc>
          <w:tcPr>
            <w:tcW w:w="780" w:type="dxa"/>
            <w:vAlign w:val="bottom"/>
          </w:tcPr>
          <w:p>
            <w:pPr>
              <w:jc w:val="center"/>
              <w:ind w:left="359"/>
              <w:spacing w:after="0"/>
              <w:rPr>
                <w:sz w:val="20"/>
                <w:szCs w:val="20"/>
                <w:color w:val="auto"/>
              </w:rPr>
            </w:pPr>
            <w:r>
              <w:rPr>
                <w:rFonts w:ascii="Arial" w:cs="Arial" w:eastAsia="Arial" w:hAnsi="Arial"/>
                <w:sz w:val="16"/>
                <w:szCs w:val="16"/>
                <w:color w:val="auto"/>
              </w:rPr>
              <w:t>40</w:t>
            </w:r>
          </w:p>
        </w:tc>
        <w:tc>
          <w:tcPr>
            <w:tcW w:w="46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24</w:t>
            </w:r>
          </w:p>
        </w:tc>
        <w:tc>
          <w:tcPr>
            <w:tcW w:w="260" w:type="dxa"/>
            <w:vAlign w:val="bottom"/>
          </w:tcPr>
          <w:p>
            <w:pPr>
              <w:spacing w:after="0"/>
              <w:rPr>
                <w:sz w:val="16"/>
                <w:szCs w:val="16"/>
                <w:color w:val="auto"/>
              </w:rPr>
            </w:pPr>
          </w:p>
        </w:tc>
        <w:tc>
          <w:tcPr>
            <w:tcW w:w="1880" w:type="dxa"/>
            <w:vAlign w:val="bottom"/>
            <w:tcBorders>
              <w:right w:val="single" w:sz="8" w:color="auto"/>
            </w:tcBorders>
          </w:tcPr>
          <w:p>
            <w:pPr>
              <w:jc w:val="center"/>
              <w:ind w:right="219"/>
              <w:spacing w:after="0"/>
              <w:rPr>
                <w:sz w:val="20"/>
                <w:szCs w:val="20"/>
                <w:color w:val="auto"/>
              </w:rPr>
            </w:pPr>
            <w:r>
              <w:rPr>
                <w:rFonts w:ascii="Arial" w:cs="Arial" w:eastAsia="Arial" w:hAnsi="Arial"/>
                <w:sz w:val="16"/>
                <w:szCs w:val="16"/>
                <w:color w:val="auto"/>
              </w:rPr>
              <w:t>94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381</w:t>
            </w:r>
          </w:p>
        </w:tc>
        <w:tc>
          <w:tcPr>
            <w:tcW w:w="0" w:type="dxa"/>
            <w:vAlign w:val="bottom"/>
          </w:tcPr>
          <w:p>
            <w:pPr>
              <w:spacing w:after="0"/>
              <w:rPr>
                <w:sz w:val="1"/>
                <w:szCs w:val="1"/>
                <w:color w:val="auto"/>
              </w:rPr>
            </w:pPr>
          </w:p>
        </w:tc>
      </w:tr>
      <w:tr>
        <w:trPr>
          <w:trHeight w:val="20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9, 2016)</w:t>
            </w:r>
          </w:p>
        </w:tc>
        <w:tc>
          <w:tcPr>
            <w:tcW w:w="11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Philip Serlin, Chief Executive Officer</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188</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50</w:t>
            </w:r>
          </w:p>
        </w:tc>
        <w:tc>
          <w:tcPr>
            <w:tcW w:w="780" w:type="dxa"/>
            <w:vAlign w:val="bottom"/>
            <w:vMerge w:val="restart"/>
          </w:tcPr>
          <w:p>
            <w:pPr>
              <w:jc w:val="center"/>
              <w:ind w:left="359"/>
              <w:spacing w:after="0"/>
              <w:rPr>
                <w:sz w:val="20"/>
                <w:szCs w:val="20"/>
                <w:color w:val="auto"/>
              </w:rPr>
            </w:pPr>
            <w:r>
              <w:rPr>
                <w:rFonts w:ascii="Arial" w:cs="Arial" w:eastAsia="Arial" w:hAnsi="Arial"/>
                <w:sz w:val="16"/>
                <w:szCs w:val="16"/>
                <w:color w:val="auto"/>
                <w:w w:val="82"/>
              </w:rPr>
              <w:t>116</w:t>
            </w:r>
          </w:p>
        </w:tc>
        <w:tc>
          <w:tcPr>
            <w:tcW w:w="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105</w:t>
            </w:r>
          </w:p>
        </w:tc>
        <w:tc>
          <w:tcPr>
            <w:tcW w:w="260" w:type="dxa"/>
            <w:vAlign w:val="bottom"/>
          </w:tcPr>
          <w:p>
            <w:pPr>
              <w:spacing w:after="0"/>
              <w:rPr>
                <w:sz w:val="17"/>
                <w:szCs w:val="17"/>
                <w:color w:val="auto"/>
              </w:rPr>
            </w:pPr>
          </w:p>
        </w:tc>
        <w:tc>
          <w:tcPr>
            <w:tcW w:w="1880" w:type="dxa"/>
            <w:vAlign w:val="bottom"/>
            <w:tcBorders>
              <w:right w:val="single" w:sz="8" w:color="auto"/>
            </w:tcBorders>
            <w:vMerge w:val="restart"/>
          </w:tcPr>
          <w:p>
            <w:pPr>
              <w:jc w:val="center"/>
              <w:ind w:right="219"/>
              <w:spacing w:after="0"/>
              <w:rPr>
                <w:sz w:val="20"/>
                <w:szCs w:val="20"/>
                <w:color w:val="auto"/>
              </w:rPr>
            </w:pPr>
            <w:r>
              <w:rPr>
                <w:rFonts w:ascii="Arial" w:cs="Arial" w:eastAsia="Arial" w:hAnsi="Arial"/>
                <w:sz w:val="16"/>
                <w:szCs w:val="16"/>
                <w:color w:val="auto"/>
              </w:rPr>
              <w:t>24</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483</w:t>
            </w:r>
          </w:p>
        </w:tc>
        <w:tc>
          <w:tcPr>
            <w:tcW w:w="0" w:type="dxa"/>
            <w:vAlign w:val="bottom"/>
          </w:tcPr>
          <w:p>
            <w:pPr>
              <w:spacing w:after="0"/>
              <w:rPr>
                <w:sz w:val="1"/>
                <w:szCs w:val="1"/>
                <w:color w:val="auto"/>
              </w:rPr>
            </w:pPr>
          </w:p>
        </w:tc>
      </w:tr>
      <w:tr>
        <w:trPr>
          <w:trHeight w:val="109"/>
        </w:trPr>
        <w:tc>
          <w:tcPr>
            <w:tcW w:w="2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(beginning October 10, 2016)</w:t>
            </w:r>
          </w:p>
        </w:tc>
        <w:tc>
          <w:tcPr>
            <w:tcW w:w="118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620" w:type="dxa"/>
            <w:vAlign w:val="bottom"/>
            <w:tcBorders>
              <w:left w:val="single" w:sz="8" w:color="auto"/>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David Malek, Chief Business Officer</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151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36</w:t>
            </w:r>
          </w:p>
        </w:tc>
        <w:tc>
          <w:tcPr>
            <w:tcW w:w="780" w:type="dxa"/>
            <w:vAlign w:val="bottom"/>
          </w:tcPr>
          <w:p>
            <w:pPr>
              <w:jc w:val="center"/>
              <w:ind w:left="359"/>
              <w:spacing w:after="0"/>
              <w:rPr>
                <w:sz w:val="20"/>
                <w:szCs w:val="20"/>
                <w:color w:val="auto"/>
              </w:rPr>
            </w:pPr>
            <w:r>
              <w:rPr>
                <w:rFonts w:ascii="Arial" w:cs="Arial" w:eastAsia="Arial" w:hAnsi="Arial"/>
                <w:sz w:val="16"/>
                <w:szCs w:val="16"/>
                <w:color w:val="auto"/>
              </w:rPr>
              <w:t>93</w:t>
            </w:r>
          </w:p>
        </w:tc>
        <w:tc>
          <w:tcPr>
            <w:tcW w:w="4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90</w:t>
            </w:r>
          </w:p>
        </w:tc>
        <w:tc>
          <w:tcPr>
            <w:tcW w:w="260" w:type="dxa"/>
            <w:vAlign w:val="bottom"/>
          </w:tcPr>
          <w:p>
            <w:pPr>
              <w:spacing w:after="0"/>
              <w:rPr>
                <w:sz w:val="18"/>
                <w:szCs w:val="18"/>
                <w:color w:val="auto"/>
              </w:rPr>
            </w:pPr>
          </w:p>
        </w:tc>
        <w:tc>
          <w:tcPr>
            <w:tcW w:w="1880" w:type="dxa"/>
            <w:vAlign w:val="bottom"/>
            <w:tcBorders>
              <w:right w:val="single" w:sz="8" w:color="auto"/>
            </w:tcBorders>
          </w:tcPr>
          <w:p>
            <w:pPr>
              <w:jc w:val="center"/>
              <w:ind w:right="219"/>
              <w:spacing w:after="0"/>
              <w:rPr>
                <w:sz w:val="20"/>
                <w:szCs w:val="20"/>
                <w:color w:val="auto"/>
              </w:rPr>
            </w:pPr>
            <w:r>
              <w:rPr>
                <w:rFonts w:ascii="Arial" w:cs="Arial" w:eastAsia="Arial" w:hAnsi="Arial"/>
                <w:sz w:val="16"/>
                <w:szCs w:val="16"/>
                <w:color w:val="auto"/>
              </w:rPr>
              <w:t>17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387</w:t>
            </w:r>
          </w:p>
        </w:tc>
        <w:tc>
          <w:tcPr>
            <w:tcW w:w="0" w:type="dxa"/>
            <w:vAlign w:val="bottom"/>
          </w:tcPr>
          <w:p>
            <w:pPr>
              <w:spacing w:after="0"/>
              <w:rPr>
                <w:sz w:val="1"/>
                <w:szCs w:val="1"/>
                <w:color w:val="auto"/>
              </w:rPr>
            </w:pPr>
          </w:p>
        </w:tc>
      </w:tr>
      <w:tr>
        <w:trPr>
          <w:trHeight w:val="29"/>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Arnon Aharon, Vice President of</w:t>
            </w:r>
          </w:p>
        </w:tc>
        <w:tc>
          <w:tcPr>
            <w:tcW w:w="11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Medical Affairs (until November 30,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129</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41</w:t>
            </w:r>
          </w:p>
        </w:tc>
        <w:tc>
          <w:tcPr>
            <w:tcW w:w="780" w:type="dxa"/>
            <w:vAlign w:val="bottom"/>
          </w:tcPr>
          <w:p>
            <w:pPr>
              <w:jc w:val="center"/>
              <w:ind w:left="359"/>
              <w:spacing w:after="0"/>
              <w:rPr>
                <w:sz w:val="20"/>
                <w:szCs w:val="20"/>
                <w:color w:val="auto"/>
              </w:rPr>
            </w:pPr>
            <w:r>
              <w:rPr>
                <w:rFonts w:ascii="Arial" w:cs="Arial" w:eastAsia="Arial" w:hAnsi="Arial"/>
                <w:sz w:val="16"/>
                <w:szCs w:val="16"/>
                <w:color w:val="auto"/>
              </w:rPr>
              <w:t>−</w:t>
            </w:r>
          </w:p>
        </w:tc>
        <w:tc>
          <w:tcPr>
            <w:tcW w:w="46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71</w:t>
            </w:r>
          </w:p>
        </w:tc>
        <w:tc>
          <w:tcPr>
            <w:tcW w:w="260" w:type="dxa"/>
            <w:vAlign w:val="bottom"/>
          </w:tcPr>
          <w:p>
            <w:pPr>
              <w:spacing w:after="0"/>
              <w:rPr>
                <w:sz w:val="16"/>
                <w:szCs w:val="16"/>
                <w:color w:val="auto"/>
              </w:rPr>
            </w:pPr>
          </w:p>
        </w:tc>
        <w:tc>
          <w:tcPr>
            <w:tcW w:w="1880" w:type="dxa"/>
            <w:vAlign w:val="bottom"/>
            <w:tcBorders>
              <w:right w:val="single" w:sz="8" w:color="auto"/>
            </w:tcBorders>
          </w:tcPr>
          <w:p>
            <w:pPr>
              <w:jc w:val="center"/>
              <w:ind w:right="219"/>
              <w:spacing w:after="0"/>
              <w:rPr>
                <w:sz w:val="20"/>
                <w:szCs w:val="20"/>
                <w:color w:val="auto"/>
              </w:rPr>
            </w:pPr>
            <w:r>
              <w:rPr>
                <w:rFonts w:ascii="Arial" w:cs="Arial" w:eastAsia="Arial" w:hAnsi="Arial"/>
                <w:sz w:val="16"/>
                <w:szCs w:val="16"/>
                <w:color w:val="auto"/>
              </w:rPr>
              <w:t>29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270</w:t>
            </w:r>
          </w:p>
        </w:tc>
        <w:tc>
          <w:tcPr>
            <w:tcW w:w="0" w:type="dxa"/>
            <w:vAlign w:val="bottom"/>
          </w:tcPr>
          <w:p>
            <w:pPr>
              <w:spacing w:after="0"/>
              <w:rPr>
                <w:sz w:val="1"/>
                <w:szCs w:val="1"/>
                <w:color w:val="auto"/>
              </w:rPr>
            </w:pPr>
          </w:p>
        </w:tc>
      </w:tr>
      <w:tr>
        <w:trPr>
          <w:trHeight w:val="236"/>
        </w:trPr>
        <w:tc>
          <w:tcPr>
            <w:tcW w:w="2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2016)</w:t>
            </w:r>
          </w:p>
        </w:tc>
        <w:tc>
          <w:tcPr>
            <w:tcW w:w="11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Mali Zeevi, Chief Financial Officer</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113</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33</w:t>
            </w:r>
          </w:p>
        </w:tc>
        <w:tc>
          <w:tcPr>
            <w:tcW w:w="780" w:type="dxa"/>
            <w:vAlign w:val="bottom"/>
            <w:vMerge w:val="restart"/>
          </w:tcPr>
          <w:p>
            <w:pPr>
              <w:jc w:val="center"/>
              <w:ind w:left="359"/>
              <w:spacing w:after="0"/>
              <w:rPr>
                <w:sz w:val="20"/>
                <w:szCs w:val="20"/>
                <w:color w:val="auto"/>
              </w:rPr>
            </w:pPr>
            <w:r>
              <w:rPr>
                <w:rFonts w:ascii="Arial" w:cs="Arial" w:eastAsia="Arial" w:hAnsi="Arial"/>
                <w:sz w:val="16"/>
                <w:szCs w:val="16"/>
                <w:color w:val="auto"/>
              </w:rPr>
              <w:t>21</w:t>
            </w:r>
          </w:p>
        </w:tc>
        <w:tc>
          <w:tcPr>
            <w:tcW w:w="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53</w:t>
            </w:r>
          </w:p>
        </w:tc>
        <w:tc>
          <w:tcPr>
            <w:tcW w:w="260" w:type="dxa"/>
            <w:vAlign w:val="bottom"/>
          </w:tcPr>
          <w:p>
            <w:pPr>
              <w:spacing w:after="0"/>
              <w:rPr>
                <w:sz w:val="17"/>
                <w:szCs w:val="17"/>
                <w:color w:val="auto"/>
              </w:rPr>
            </w:pPr>
          </w:p>
        </w:tc>
        <w:tc>
          <w:tcPr>
            <w:tcW w:w="1880" w:type="dxa"/>
            <w:vAlign w:val="bottom"/>
            <w:tcBorders>
              <w:right w:val="single" w:sz="8" w:color="auto"/>
            </w:tcBorders>
            <w:vMerge w:val="restart"/>
          </w:tcPr>
          <w:p>
            <w:pPr>
              <w:jc w:val="center"/>
              <w:ind w:right="219"/>
              <w:spacing w:after="0"/>
              <w:rPr>
                <w:sz w:val="20"/>
                <w:szCs w:val="20"/>
                <w:color w:val="auto"/>
              </w:rPr>
            </w:pPr>
            <w:r>
              <w:rPr>
                <w:rFonts w:ascii="Arial" w:cs="Arial" w:eastAsia="Arial" w:hAnsi="Arial"/>
                <w:sz w:val="16"/>
                <w:szCs w:val="16"/>
                <w:color w:val="auto"/>
              </w:rPr>
              <w:t>19</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239</w:t>
            </w:r>
          </w:p>
        </w:tc>
        <w:tc>
          <w:tcPr>
            <w:tcW w:w="0" w:type="dxa"/>
            <w:vAlign w:val="bottom"/>
          </w:tcPr>
          <w:p>
            <w:pPr>
              <w:spacing w:after="0"/>
              <w:rPr>
                <w:sz w:val="1"/>
                <w:szCs w:val="1"/>
                <w:color w:val="auto"/>
              </w:rPr>
            </w:pPr>
          </w:p>
        </w:tc>
      </w:tr>
      <w:tr>
        <w:trPr>
          <w:trHeight w:val="109"/>
        </w:trPr>
        <w:tc>
          <w:tcPr>
            <w:tcW w:w="26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(beginning October 10, 2016)</w:t>
            </w:r>
          </w:p>
        </w:tc>
        <w:tc>
          <w:tcPr>
            <w:tcW w:w="118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620" w:type="dxa"/>
            <w:vAlign w:val="bottom"/>
            <w:tcBorders>
              <w:left w:val="single" w:sz="8" w:color="auto"/>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63" w:right="20" w:hanging="363"/>
        <w:spacing w:after="0" w:line="283" w:lineRule="auto"/>
        <w:tabs>
          <w:tab w:leader="none" w:pos="363" w:val="left"/>
        </w:tabs>
        <w:numPr>
          <w:ilvl w:val="0"/>
          <w:numId w:val="36"/>
        </w:numPr>
        <w:rPr>
          <w:rFonts w:ascii="Arial" w:cs="Arial" w:eastAsia="Arial" w:hAnsi="Arial"/>
          <w:sz w:val="16"/>
          <w:szCs w:val="16"/>
          <w:color w:val="auto"/>
        </w:rPr>
      </w:pPr>
      <w:r>
        <w:rPr>
          <w:rFonts w:ascii="Arial" w:cs="Arial" w:eastAsia="Arial" w:hAnsi="Arial"/>
          <w:sz w:val="16"/>
          <w:szCs w:val="16"/>
          <w:color w:val="auto"/>
        </w:rPr>
        <w:t>"Social Benefits" include payments to the National Insurance Institute, advanced education funds, managers' insurance and pension funds; vacation pay; and recuperation pay as mandated by Israeli law.</w:t>
      </w:r>
    </w:p>
    <w:p>
      <w:pPr>
        <w:spacing w:after="0" w:line="35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81" w:name="page82"/>
    <w:bookmarkEnd w:id="81"/>
    <w:p>
      <w:pPr>
        <w:ind w:left="363" w:hanging="363"/>
        <w:spacing w:after="0"/>
        <w:tabs>
          <w:tab w:leader="none" w:pos="363"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Consists of amounts recognized as share-based compensation expense on the Company's statement of comprehensive loss for the year ended December 31, 2016.</w:t>
      </w:r>
    </w:p>
    <w:p>
      <w:pPr>
        <w:spacing w:after="0" w:line="265" w:lineRule="exact"/>
        <w:rPr>
          <w:rFonts w:ascii="Arial" w:cs="Arial" w:eastAsia="Arial" w:hAnsi="Arial"/>
          <w:sz w:val="15"/>
          <w:szCs w:val="15"/>
          <w:color w:val="auto"/>
        </w:rPr>
      </w:pPr>
    </w:p>
    <w:p>
      <w:pPr>
        <w:ind w:left="363" w:hanging="363"/>
        <w:spacing w:after="0" w:line="283" w:lineRule="auto"/>
        <w:tabs>
          <w:tab w:leader="none" w:pos="3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Other Compensation" includesautomobile-related expenses pursuant to the Company's automobile leasing program, telephone, basic health insurance and holiday presents.</w:t>
      </w:r>
    </w:p>
    <w:p>
      <w:pPr>
        <w:spacing w:after="0" w:line="199" w:lineRule="exact"/>
        <w:rPr>
          <w:sz w:val="20"/>
          <w:szCs w:val="20"/>
          <w:color w:val="auto"/>
        </w:rPr>
      </w:pPr>
    </w:p>
    <w:p>
      <w:pPr>
        <w:ind w:left="583"/>
        <w:spacing w:after="0"/>
        <w:rPr>
          <w:sz w:val="20"/>
          <w:szCs w:val="20"/>
          <w:color w:val="auto"/>
        </w:rPr>
      </w:pPr>
      <w:r>
        <w:rPr>
          <w:rFonts w:ascii="Arial" w:cs="Arial" w:eastAsia="Arial" w:hAnsi="Arial"/>
          <w:sz w:val="15"/>
          <w:szCs w:val="15"/>
          <w:color w:val="auto"/>
        </w:rPr>
        <w:t>For additional information concerning our equity compensation plan, see "— Beneficial Ownership of Executive Officers and Directors — Equity Compensation</w:t>
      </w:r>
    </w:p>
    <w:p>
      <w:pPr>
        <w:spacing w:after="0" w:line="34" w:lineRule="exact"/>
        <w:rPr>
          <w:sz w:val="20"/>
          <w:szCs w:val="20"/>
          <w:color w:val="auto"/>
        </w:rPr>
      </w:pPr>
    </w:p>
    <w:p>
      <w:pPr>
        <w:ind w:left="3"/>
        <w:spacing w:after="0"/>
        <w:rPr>
          <w:sz w:val="20"/>
          <w:szCs w:val="20"/>
          <w:color w:val="auto"/>
        </w:rPr>
      </w:pPr>
      <w:r>
        <w:rPr>
          <w:rFonts w:ascii="Arial" w:cs="Arial" w:eastAsia="Arial" w:hAnsi="Arial"/>
          <w:sz w:val="16"/>
          <w:szCs w:val="16"/>
          <w:color w:val="auto"/>
        </w:rPr>
        <w:t>Plan</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3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 Board Practices</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Board of Directors</w:t>
      </w:r>
    </w:p>
    <w:p>
      <w:pPr>
        <w:spacing w:after="0" w:line="258" w:lineRule="exact"/>
        <w:rPr>
          <w:sz w:val="20"/>
          <w:szCs w:val="20"/>
          <w:color w:val="auto"/>
        </w:rPr>
      </w:pPr>
    </w:p>
    <w:p>
      <w:pPr>
        <w:ind w:left="3" w:right="100" w:firstLine="584"/>
        <w:spacing w:after="0" w:line="263" w:lineRule="auto"/>
        <w:rPr>
          <w:sz w:val="20"/>
          <w:szCs w:val="20"/>
          <w:color w:val="auto"/>
        </w:rPr>
      </w:pPr>
      <w:r>
        <w:rPr>
          <w:rFonts w:ascii="Arial" w:cs="Arial" w:eastAsia="Arial" w:hAnsi="Arial"/>
          <w:sz w:val="16"/>
          <w:szCs w:val="16"/>
          <w:color w:val="auto"/>
        </w:rPr>
        <w:t>According to the Companies Law, the management of our business is vested in our Board of Directors. Our Board of Directors may exercise all powers and may take all actions that are not specifically granted to our shareholders. Our executive officers are responsible for our day-to-day management and have individual responsibilities established by our Board of Directors. Executive officers are appointed by and serve at the discretion of our Board of Directors, subject to any applicable employment agreements we have entered into with the executive officers.</w:t>
      </w:r>
    </w:p>
    <w:p>
      <w:pPr>
        <w:spacing w:after="0" w:line="216" w:lineRule="exact"/>
        <w:rPr>
          <w:sz w:val="20"/>
          <w:szCs w:val="20"/>
          <w:color w:val="auto"/>
        </w:rPr>
      </w:pPr>
    </w:p>
    <w:p>
      <w:pPr>
        <w:jc w:val="both"/>
        <w:ind w:left="3" w:right="460" w:firstLine="584"/>
        <w:spacing w:after="0" w:line="268" w:lineRule="auto"/>
        <w:rPr>
          <w:sz w:val="20"/>
          <w:szCs w:val="20"/>
          <w:color w:val="auto"/>
        </w:rPr>
      </w:pPr>
      <w:r>
        <w:rPr>
          <w:rFonts w:ascii="Arial" w:cs="Arial" w:eastAsia="Arial" w:hAnsi="Arial"/>
          <w:sz w:val="16"/>
          <w:szCs w:val="16"/>
          <w:color w:val="auto"/>
        </w:rPr>
        <w:t>Under the Companies Law, we are not required to have a majority of independent directors. We are required to appoint at least two external directors, unless we qualify as an Eligible Company (</w:t>
      </w:r>
      <w:r>
        <w:rPr>
          <w:rFonts w:ascii="Arial" w:cs="Arial" w:eastAsia="Arial" w:hAnsi="Arial"/>
          <w:sz w:val="16"/>
          <w:szCs w:val="16"/>
          <w:i w:val="1"/>
          <w:iCs w:val="1"/>
          <w:color w:val="auto"/>
        </w:rPr>
        <w:t>as defined below</w:t>
      </w:r>
      <w:r>
        <w:rPr>
          <w:rFonts w:ascii="Arial" w:cs="Arial" w:eastAsia="Arial" w:hAnsi="Arial"/>
          <w:sz w:val="16"/>
          <w:szCs w:val="16"/>
          <w:color w:val="auto"/>
        </w:rPr>
        <w:t>) and opt to follow an exemption provided under the Amendment to the Relief Regulations (</w:t>
      </w:r>
      <w:r>
        <w:rPr>
          <w:rFonts w:ascii="Arial" w:cs="Arial" w:eastAsia="Arial" w:hAnsi="Arial"/>
          <w:sz w:val="16"/>
          <w:szCs w:val="16"/>
          <w:i w:val="1"/>
          <w:iCs w:val="1"/>
          <w:color w:val="auto"/>
        </w:rPr>
        <w:t>as defined below</w:t>
      </w:r>
      <w:r>
        <w:rPr>
          <w:rFonts w:ascii="Arial" w:cs="Arial" w:eastAsia="Arial" w:hAnsi="Arial"/>
          <w:sz w:val="16"/>
          <w:szCs w:val="16"/>
          <w:color w:val="auto"/>
        </w:rPr>
        <w:t>). See "— External Directors."</w:t>
      </w:r>
    </w:p>
    <w:p>
      <w:pPr>
        <w:spacing w:after="0" w:line="212" w:lineRule="exact"/>
        <w:rPr>
          <w:sz w:val="20"/>
          <w:szCs w:val="20"/>
          <w:color w:val="auto"/>
        </w:rPr>
      </w:pPr>
    </w:p>
    <w:p>
      <w:pPr>
        <w:ind w:left="3" w:right="60" w:firstLine="584"/>
        <w:spacing w:after="0" w:line="296" w:lineRule="auto"/>
        <w:rPr>
          <w:sz w:val="20"/>
          <w:szCs w:val="20"/>
          <w:color w:val="auto"/>
        </w:rPr>
      </w:pPr>
      <w:r>
        <w:rPr>
          <w:rFonts w:ascii="Arial" w:cs="Arial" w:eastAsia="Arial" w:hAnsi="Arial"/>
          <w:sz w:val="14"/>
          <w:szCs w:val="14"/>
          <w:color w:val="auto"/>
        </w:rPr>
        <w:t>According to our Articles of Association, our Board of Directors must consist of at least five and not more than 10 directors, including external directors. Currently, our Board of Directors consists of seven directors, including two external directors as required by the Companies Law. Pursuant to our Articles of Association, other than the external directors, for whom special election requirements apply under the Companies Law (unless the company is an Eligible Company and opted to follow the exemption provided under the Amendment to the Relief Regulations regarding appointment of external directors and composition of the audit and compensation committees) as detailed below, our directors are elected at a general or special meeting of our shareholders and serve on the Board of Directors until they are removed by the majority of our shareholders at a general or special meeting of our shareholders or upon the occurrence of certain events, in accordance with the Companies Law and our Articles of Association. In addition, our Articles of Association allow our Board of Directors to appoint directors, other than external directors, to fill vacancies on the Board of Directors to serve until the next general meeting or special meeting, or earlier if required by our Articles of Association or applicable law. We have held elections for each of our non-external directors at each annual meeting of our shareholders since our initial public offering in Israel. External directors are elected for an initial term of three years and may be elected, under certain conditions, to two additional terms, although the term of office for external directors for Israeli companies traded on certain foreign stock exchanges, including the Nasdaq, may be further extended under certain conditions. External directors may be removed from office only pursuant to the terms of the Companies Law. Our last annual meeting of shareholders was held in July 2016. For additional information concerning external directors, see "— External Directors."</w:t>
      </w:r>
    </w:p>
    <w:p>
      <w:pPr>
        <w:spacing w:after="0" w:line="150" w:lineRule="exact"/>
        <w:rPr>
          <w:sz w:val="20"/>
          <w:szCs w:val="20"/>
          <w:color w:val="auto"/>
        </w:rPr>
      </w:pPr>
    </w:p>
    <w:p>
      <w:pPr>
        <w:jc w:val="both"/>
        <w:ind w:left="3" w:right="100" w:firstLine="584"/>
        <w:spacing w:after="0" w:line="313" w:lineRule="auto"/>
        <w:rPr>
          <w:sz w:val="20"/>
          <w:szCs w:val="20"/>
          <w:color w:val="auto"/>
        </w:rPr>
      </w:pPr>
      <w:r>
        <w:rPr>
          <w:rFonts w:ascii="Arial" w:cs="Arial" w:eastAsia="Arial" w:hAnsi="Arial"/>
          <w:sz w:val="14"/>
          <w:szCs w:val="14"/>
          <w:color w:val="auto"/>
        </w:rPr>
        <w:t>The Companies Law provides that an Israeli company may, under certain circumstances, exculpate an office holder from liability with respect to a breach of his duty of care toward the company if appropriate provisions allowing such exculpation are included in its articles of association. See "— Exculpation, insurance and indemnification of office holders." Our Articles of Association contain such provisions, and we have entered into agreements with each of our office holders undertaking to indemnify them to the fullest extent permitted by law, including with respect to liabilities resulting from this offering to the extent that these liabilities are not covered by insurance.</w:t>
      </w:r>
    </w:p>
    <w:p>
      <w:pPr>
        <w:spacing w:after="0" w:line="183" w:lineRule="exact"/>
        <w:rPr>
          <w:sz w:val="20"/>
          <w:szCs w:val="20"/>
          <w:color w:val="auto"/>
        </w:rPr>
      </w:pPr>
    </w:p>
    <w:p>
      <w:pPr>
        <w:ind w:left="3" w:right="160" w:firstLine="584"/>
        <w:spacing w:after="0" w:line="263" w:lineRule="auto"/>
        <w:rPr>
          <w:sz w:val="20"/>
          <w:szCs w:val="20"/>
          <w:color w:val="auto"/>
        </w:rPr>
      </w:pPr>
      <w:r>
        <w:rPr>
          <w:rFonts w:ascii="Arial" w:cs="Arial" w:eastAsia="Arial" w:hAnsi="Arial"/>
          <w:sz w:val="16"/>
          <w:szCs w:val="16"/>
          <w:color w:val="auto"/>
        </w:rPr>
        <w:t>In accordance with the exemption available to foreign private issuers under applicable Nasdaq rules, we do not follow the requirements of the Nasdaq rules with regard to the process of nominating directors, and instead follow Israeli law and practice, in accordance with which our Board of Directors is authorized to recommend to our shareholders director nominees for election, and, in some circumstances, our shareholders may nominate candidates for election as directors by the shareholders' general meeting.</w:t>
      </w:r>
    </w:p>
    <w:p>
      <w:pPr>
        <w:spacing w:after="0" w:line="37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82" w:name="page83"/>
    <w:bookmarkEnd w:id="82"/>
    <w:p>
      <w:pPr>
        <w:ind w:firstLine="584"/>
        <w:spacing w:after="0" w:line="259" w:lineRule="auto"/>
        <w:rPr>
          <w:sz w:val="20"/>
          <w:szCs w:val="20"/>
          <w:color w:val="auto"/>
        </w:rPr>
      </w:pPr>
      <w:r>
        <w:rPr>
          <w:rFonts w:ascii="Arial" w:cs="Arial" w:eastAsia="Arial" w:hAnsi="Arial"/>
          <w:sz w:val="16"/>
          <w:szCs w:val="16"/>
          <w:color w:val="auto"/>
        </w:rPr>
        <w:t>In addition, under the Companies Law, our Board of Directors must determine the minimum number of directors who are required to have financial and accounting expertise. Under applicable regulations, a director with financial and accounting expertise is a director who, by reason of his or her education, professional experience and skill, has a high level of proficiency in and understanding of business accounting matters and financial statements. He or she must be able to thoroughly comprehend the financial statements of the listed company and initiate debate regarding the manner in which financial information is presented. In determining the number of directors required to have such expertise, a company's board of directors must consider, among other things, the type and size of the company and the scope and complexity of its operations. Our Board of Directors has determined that we require at least one director with the requisite financial and accounting expertise. Ms. Nurit Benjamini and Dr. Michael J. Anghel have such financial and accounting expertise.</w:t>
      </w:r>
    </w:p>
    <w:p>
      <w:pPr>
        <w:spacing w:after="0" w:line="217" w:lineRule="exact"/>
        <w:rPr>
          <w:sz w:val="20"/>
          <w:szCs w:val="20"/>
          <w:color w:val="auto"/>
        </w:rPr>
      </w:pPr>
    </w:p>
    <w:p>
      <w:pPr>
        <w:ind w:right="120" w:firstLine="584"/>
        <w:spacing w:after="0" w:line="324" w:lineRule="auto"/>
        <w:rPr>
          <w:sz w:val="20"/>
          <w:szCs w:val="20"/>
          <w:color w:val="auto"/>
        </w:rPr>
      </w:pPr>
      <w:r>
        <w:rPr>
          <w:rFonts w:ascii="Arial" w:cs="Arial" w:eastAsia="Arial" w:hAnsi="Arial"/>
          <w:sz w:val="14"/>
          <w:szCs w:val="14"/>
          <w:color w:val="auto"/>
        </w:rPr>
        <w:t>The term office holder is defined in the Companies Law as a general manager, chief business manager, deputy general manager, vice general manager, executive vice president, vice president, or any other person assuming the responsibilities of any of the foregoing positions, without regard to such person's title, or a director or any other manager directly subordinate to the general manager. Each person listed above under "Executive Officers and Directors" is an office holder under the Companies Law.</w:t>
      </w:r>
    </w:p>
    <w:p>
      <w:pPr>
        <w:spacing w:after="0" w:line="176" w:lineRule="exact"/>
        <w:rPr>
          <w:sz w:val="20"/>
          <w:szCs w:val="20"/>
          <w:color w:val="auto"/>
        </w:rPr>
      </w:pPr>
    </w:p>
    <w:p>
      <w:pPr>
        <w:ind w:right="100" w:firstLine="584"/>
        <w:spacing w:after="0" w:line="286" w:lineRule="auto"/>
        <w:rPr>
          <w:sz w:val="20"/>
          <w:szCs w:val="20"/>
          <w:color w:val="auto"/>
        </w:rPr>
      </w:pPr>
      <w:r>
        <w:rPr>
          <w:rFonts w:ascii="Arial" w:cs="Arial" w:eastAsia="Arial" w:hAnsi="Arial"/>
          <w:sz w:val="15"/>
          <w:szCs w:val="15"/>
          <w:i w:val="1"/>
          <w:iCs w:val="1"/>
          <w:color w:val="auto"/>
        </w:rPr>
        <w:t xml:space="preserve">Chairman of the Board. </w:t>
      </w:r>
      <w:r>
        <w:rPr>
          <w:rFonts w:ascii="Arial" w:cs="Arial" w:eastAsia="Arial" w:hAnsi="Arial"/>
          <w:sz w:val="15"/>
          <w:szCs w:val="15"/>
          <w:color w:val="auto"/>
        </w:rPr>
        <w:t>Under the Companies Law, a person cannot hold the role of both chairman of the board of directors and chief executive officer of a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shareholder approval by special majority and for periods of time not exceeding three years each. Furthermore, a person who is directly or indirectly subordinate to a chief executive officer of a company may not serve as the chairman of the board of directors of that company and the chairman of the board of directors may not otherwise serve in any other capacity in a company or in a subsidiary of that company other than as the chairman of the board of directors of such a subsidiary.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Directors</w:t>
      </w:r>
    </w:p>
    <w:p>
      <w:pPr>
        <w:spacing w:after="0" w:line="258" w:lineRule="exact"/>
        <w:rPr>
          <w:sz w:val="20"/>
          <w:szCs w:val="20"/>
          <w:color w:val="auto"/>
        </w:rPr>
      </w:pPr>
    </w:p>
    <w:p>
      <w:pPr>
        <w:ind w:right="340" w:firstLine="584"/>
        <w:spacing w:after="0" w:line="294" w:lineRule="auto"/>
        <w:rPr>
          <w:sz w:val="20"/>
          <w:szCs w:val="20"/>
          <w:color w:val="auto"/>
        </w:rPr>
      </w:pPr>
      <w:r>
        <w:rPr>
          <w:rFonts w:ascii="Arial" w:cs="Arial" w:eastAsia="Arial" w:hAnsi="Arial"/>
          <w:sz w:val="15"/>
          <w:szCs w:val="15"/>
          <w:color w:val="auto"/>
        </w:rPr>
        <w:t>Under Israeli law, the boards of directors of companies whose shares are publicly traded are required to include at least two members who qualify as external directors. Each of our current external directors, Dr. Avraham Molcho and Ms. Nurit Benjamini, was elected as an external director by our shareholders in July 2010. Their second terms expired in July 2016, at which time they were each re-elected by the shareholders of the Company for a third three-year term as external directors.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External directors must be elected by majority vote of the shares present and voting at a shareholders meeting, provided that either:</w:t>
      </w:r>
    </w:p>
    <w:p>
      <w:pPr>
        <w:spacing w:after="0" w:line="254" w:lineRule="exact"/>
        <w:rPr>
          <w:sz w:val="20"/>
          <w:szCs w:val="20"/>
          <w:color w:val="auto"/>
        </w:rPr>
      </w:pPr>
    </w:p>
    <w:p>
      <w:pPr>
        <w:jc w:val="both"/>
        <w:ind w:left="1160" w:right="280" w:hanging="578"/>
        <w:spacing w:after="0" w:line="268" w:lineRule="auto"/>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majority of the shares that are voted at the meeting, including at least a majority of the shares held by non-controlling shareholders who do not have a personal interest in the election of the external director (other than a personal interest not deriving from a relationship with a controlling shareholder) who voted at the meeting, excluding abstentions, vote in favor of the election of the external director; or</w:t>
      </w:r>
    </w:p>
    <w:p>
      <w:pPr>
        <w:spacing w:after="0" w:line="211" w:lineRule="exact"/>
        <w:rPr>
          <w:rFonts w:ascii="Arial" w:cs="Arial" w:eastAsia="Arial" w:hAnsi="Arial"/>
          <w:sz w:val="16"/>
          <w:szCs w:val="16"/>
          <w:color w:val="auto"/>
        </w:rPr>
      </w:pPr>
    </w:p>
    <w:p>
      <w:pPr>
        <w:ind w:left="1160" w:right="40" w:hanging="578"/>
        <w:spacing w:after="0" w:line="283" w:lineRule="auto"/>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total number of shares held by non-controlling, disinterested shareholders (as described in the preceding bullet point) that are voted against the election of the external director does not exceed 2% of the aggregate voting rights in the company.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83" w:name="page84"/>
    <w:bookmarkEnd w:id="83"/>
    <w:p>
      <w:pPr>
        <w:ind w:firstLine="584"/>
        <w:spacing w:after="0" w:line="293" w:lineRule="auto"/>
        <w:rPr>
          <w:sz w:val="20"/>
          <w:szCs w:val="20"/>
          <w:color w:val="auto"/>
        </w:rPr>
      </w:pPr>
      <w:r>
        <w:rPr>
          <w:rFonts w:ascii="Arial" w:cs="Arial" w:eastAsia="Arial" w:hAnsi="Arial"/>
          <w:sz w:val="14"/>
          <w:szCs w:val="14"/>
          <w:color w:val="auto"/>
        </w:rPr>
        <w:t>After an initial term of three years, external directors may be re-elected to serve in that capacity for up to two additional terms of three years provided that either (a) the board of directors has recommended such re-election and such re-election is approved by a majority vote at a shareholders' meeting, subject to the conditions described above for election of external directors, (b) (1) the re-election has been recommended by one or more shareholders holding at least 1% of the company's voting rights and is approved by a majority of non-controlling, disinterested shareholders who hold among them at least 2% of the company's voting rights; and (2) the external director who has been nominated in such fashion by the shareholders is not a linked or competing shareholder, and does not have or has not had, on or within the two years preceding the date of such person's appointment to serve as another term as external director, any affiliation with a linked or competing shareholder, or (c) the external director has proposed himself for reappointment and the reappointment was approved by the majority described in (b)(1) above. The term "linked or competing shareholder" means the shareholder(s) who nominated the external director for reappointment or a material shareholder of the company holding more than 5% of the shares in the company, provided that at the time of the reappointment, such shareholder(s) of the company, the controlling shareholder of such shareholder(s) of the company, or a company under such shareholder(s) of the company's control, has a business relationship with the company or are competitors of the company; the Israeli Minister of Justice, in consultation with the Israeli Securities Authority, or ISA, may determine that certain matters will not constitute a business relationship or competition with the company. The term of office for external directors for Israeli companies traded on certain foreign stock exchanges, including the Nasdaq, may be extended beyond the initial three terms permitted under the Companies Law indefinitely in increments of additional three-year terms, provided in each case that the following conditions are met: (a) the audit committee and the board of directors confirm that, in light of the external director's expertise and special contribution to the work of the board of directors and its committees, the re-election for such additional period(s) is beneficial to the company; (b) the re-election is approved by the shareholders by a special majority required for the re-election of external directors; and (c) the term of office of the external director, and the considerations of the audit committee and the board of directors in deciding to recommend re-election of the external director for such additional term of office, are presented to the shareholders prior to the vote on re-election. External directors may be removed from office by the same percentage of shareholders required for their election or by a court, in each case, only under limited circumstances, including ceasing to meet the statutory qualification for appointment or violating the duty of loyalty to the company. If an external directorship becomes vacant and there are less than two external directors on the board of directors at the time, then the board of directors is required under the Companies Law to call a shareholders' meeting immediately to appoint a replacement external director. Each committee of the board of directors that exercises the powers of the board of directors must include at least one external director (unless the company is an Eligible Company and opted to follow the exemption provided under the Amendment to the Relief Regulations regarding appointment of external directors and composition of the audit and compensation committees). Under the Companies Law external directors of a company are prohibited from receiving, directly or indirectly, any compensation from the company other than for their services as external directors pursuant to the provisions and limitations set forth in regulations promulgated under the Companies Law.</w:t>
      </w:r>
    </w:p>
    <w:p>
      <w:pPr>
        <w:spacing w:after="0" w:line="350"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A person may not serve as an external director if (a) the person is a relative of a controlling shareholder of a company or (b) at the date of the person's appointment or within the prior two years, the person, the person's relatives, entities under the person's control, the person's partner, the person's employer, or anyone to whom that person is subordinate, whether directly or indirectly, have or have had any affiliation with (1) a company, (2) a company's controlling shareholder at the time of such person's appointment or (3) any entity that is either controlled by the company or under common control with the company at the time of such appointment or during the prior two years. If a company does not have a controlling shareholder or a shareholder who holds company shares entitling him to vote at least 25% of the votes in a shareholders meeting, then a person may not serve as an external director if, such person or such person's relative, partner, employer or any entity under the person's control, has or had, on or within the two years preceding the date of the person's appointment to serve as external director, any affiliation with the chairman of the company's board, chief executive officer, a substantial shareholder who holds at least 5% of the issued and outstanding shares of the company or voting rights which entitle him to vote at least 5% of the votes in a shareholders meeting, or the chief financial officer of the company.</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term "affiliation" includes:</w:t>
      </w:r>
    </w:p>
    <w:p>
      <w:pPr>
        <w:spacing w:after="0" w:line="254" w:lineRule="exact"/>
        <w:rPr>
          <w:sz w:val="20"/>
          <w:szCs w:val="20"/>
          <w:color w:val="auto"/>
        </w:rPr>
      </w:pPr>
    </w:p>
    <w:p>
      <w:pPr>
        <w:ind w:left="1160" w:hanging="578"/>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employment relationship;</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control; and</w:t>
      </w:r>
    </w:p>
    <w:p>
      <w:pPr>
        <w:spacing w:after="0" w:line="254" w:lineRule="exact"/>
        <w:rPr>
          <w:rFonts w:ascii="Arial" w:cs="Arial" w:eastAsia="Arial" w:hAnsi="Arial"/>
          <w:sz w:val="16"/>
          <w:szCs w:val="16"/>
          <w:color w:val="auto"/>
        </w:rPr>
      </w:pPr>
    </w:p>
    <w:p>
      <w:pPr>
        <w:ind w:left="1160" w:right="500" w:hanging="578"/>
        <w:spacing w:after="0" w:line="283"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term "relative" is defined as a spouse, sibling, parent, grandparent or descendant; a spouse's sibling, parent or descendant; and the spouse of each of such persons.</w:t>
      </w:r>
    </w:p>
    <w:p>
      <w:pPr>
        <w:spacing w:after="0" w:line="277" w:lineRule="exact"/>
        <w:rPr>
          <w:sz w:val="20"/>
          <w:szCs w:val="20"/>
          <w:color w:val="auto"/>
        </w:rPr>
      </w:pPr>
    </w:p>
    <w:p>
      <w:pPr>
        <w:ind w:right="60" w:firstLine="584"/>
        <w:spacing w:after="0" w:line="282" w:lineRule="auto"/>
        <w:rPr>
          <w:sz w:val="20"/>
          <w:szCs w:val="20"/>
          <w:color w:val="auto"/>
        </w:rPr>
      </w:pPr>
      <w:r>
        <w:rPr>
          <w:rFonts w:ascii="Arial" w:cs="Arial" w:eastAsia="Arial" w:hAnsi="Arial"/>
          <w:sz w:val="15"/>
          <w:szCs w:val="15"/>
          <w:color w:val="auto"/>
        </w:rPr>
        <w:t>In addition, no person may serve as an external director if that person's professional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Furthermore, a person may not continue to serve as an external director if he or she received direct or indirect compensation from us for his or her role as a director. This prohibition does not apply to compensation paid or given for service as an external director in accordance with regulations promulgated under the Companies Law or amounts paid pursuant to indemnification and/or exculpation contracts or commitments and insurance coverage.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4" w:name="page85"/>
    <w:bookmarkEnd w:id="84"/>
    <w:p>
      <w:pPr>
        <w:ind w:left="3" w:right="160" w:firstLine="584"/>
        <w:spacing w:after="0" w:line="261" w:lineRule="auto"/>
        <w:rPr>
          <w:sz w:val="20"/>
          <w:szCs w:val="20"/>
          <w:color w:val="auto"/>
        </w:rPr>
      </w:pPr>
      <w:r>
        <w:rPr>
          <w:rFonts w:ascii="Arial" w:cs="Arial" w:eastAsia="Arial" w:hAnsi="Arial"/>
          <w:sz w:val="16"/>
          <w:szCs w:val="16"/>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to serve as an executive officer or director of the company or a company controlled by its controlling shareholder or employment by, or providing services to, any such company for consideration, either directly or indirectly, including through a corporation controlled by the former external director, for a period of two years (and for a period of one year with respect to relatives of the former external director).</w:t>
      </w:r>
    </w:p>
    <w:p>
      <w:pPr>
        <w:spacing w:after="0" w:line="217" w:lineRule="exact"/>
        <w:rPr>
          <w:sz w:val="20"/>
          <w:szCs w:val="20"/>
          <w:color w:val="auto"/>
        </w:rPr>
      </w:pPr>
    </w:p>
    <w:p>
      <w:pPr>
        <w:jc w:val="both"/>
        <w:ind w:left="3" w:right="520" w:firstLine="584"/>
        <w:spacing w:after="0" w:line="268" w:lineRule="auto"/>
        <w:rPr>
          <w:sz w:val="20"/>
          <w:szCs w:val="20"/>
          <w:color w:val="auto"/>
        </w:rPr>
      </w:pPr>
      <w:r>
        <w:rPr>
          <w:rFonts w:ascii="Arial" w:cs="Arial" w:eastAsia="Arial" w:hAnsi="Arial"/>
          <w:sz w:val="16"/>
          <w:szCs w:val="16"/>
          <w:color w:val="auto"/>
        </w:rPr>
        <w:t>If at the time an external director is appointed all members of the board of directors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212" w:lineRule="exact"/>
        <w:rPr>
          <w:sz w:val="20"/>
          <w:szCs w:val="20"/>
          <w:color w:val="auto"/>
        </w:rPr>
      </w:pPr>
    </w:p>
    <w:p>
      <w:pPr>
        <w:ind w:left="3" w:firstLine="584"/>
        <w:spacing w:after="0" w:line="294" w:lineRule="auto"/>
        <w:rPr>
          <w:sz w:val="20"/>
          <w:szCs w:val="20"/>
          <w:color w:val="auto"/>
        </w:rPr>
      </w:pPr>
      <w:r>
        <w:rPr>
          <w:rFonts w:ascii="Arial" w:cs="Arial" w:eastAsia="Arial" w:hAnsi="Arial"/>
          <w:sz w:val="14"/>
          <w:szCs w:val="14"/>
          <w:color w:val="auto"/>
        </w:rPr>
        <w:t>The Companies Law provides that an external director must meet certain professional qualifications or have financial and accounting expertise and that at least one external director must have financial and accounting expertise. However, if at least one of our other directors (1) meets the independence requirements of the Exchange Act, (2) meets the standards of the Nasdaq Marketplace Rules for membership on the audit committee and (3) has financial and accounting expertise as defined in the Companies Law and applicable regulations, then neither of our external directors is required to possess financial and accounting expertise as long as both possess other requisite professional qualifications. Our Board of Directors is required to determine whether a director possesses financial and accounting expertise by examining whether, due to the director's education, experience and qualifications, the director is highly proficient and knowledgeable with regard to business-accounting issues and financial statements, to the extent that the director is able to engage in a discussion concerning the presentation of financial information in the company's financial statements, among others. Furthermore, our Board of Directors is also required to take into consideration a director's education, experience and knowledge in any of the following: (1) accounting issues and accounting control issues characteristic to the segment in which the company operates and to companies of the size and complexity of the company, (2) the functions of the external auditor and the obligations imposed on such auditor, and (3) preparation of financial reports and their approval in accordance with the Companies Law and the Israeli Securities Law, 5728-1968 (the "Israeli Securities Law").The regulations define a director with the requisite professional qualifications as a director who satisfies one of the following requirements: (1) the director holds an academic degree in either economics, business administration, accounting, law or public administration; (2) the director either holds an academic degree in any other field or has completed another form of higher education in the company's primary field of business or in an area which is relevant to the office of an external director; or (3) the director has at least five years of experience serving in any one of the following, or at least five years of cumulative experience serving in two or more of the following capacities: (1) a senior business management position in a corporation with a substantial scope of business; (2) a senior position in the company's primary field of business; or (3) a senior position in public administration. Our Board of Directors has determined that Nurit Benjamini possesses "accounting and financial" expertise, and that both of our external directors possess the requisite professional qualifications.</w:t>
      </w:r>
    </w:p>
    <w:p>
      <w:pPr>
        <w:spacing w:after="0" w:line="400" w:lineRule="exact"/>
        <w:rPr>
          <w:sz w:val="20"/>
          <w:szCs w:val="20"/>
          <w:color w:val="auto"/>
        </w:rPr>
      </w:pPr>
    </w:p>
    <w:p>
      <w:pPr>
        <w:ind w:left="3" w:right="20" w:firstLine="584"/>
        <w:spacing w:after="0" w:line="292" w:lineRule="auto"/>
        <w:rPr>
          <w:sz w:val="20"/>
          <w:szCs w:val="20"/>
          <w:color w:val="auto"/>
        </w:rPr>
      </w:pPr>
      <w:r>
        <w:rPr>
          <w:rFonts w:ascii="Arial" w:cs="Arial" w:eastAsia="Arial" w:hAnsi="Arial"/>
          <w:sz w:val="14"/>
          <w:szCs w:val="14"/>
          <w:color w:val="auto"/>
        </w:rPr>
        <w:t>In addition, a recent amendment to the Companies Regulations (Relief for Companies the Shares of which are Registered for Trading Outside of Israel) – 2000, (the "Amendment to the Relief Regulations"), provides an exemption for companies the shares of which are listed for trading on specified exchanges outside of Israel, including the Nasdaq, provided that: (i) such company does not have a controlling shareholder; and (ii) the company complies with the requirements of the foreign securities laws and stock exchange regulations applicable to companies which are incorporated under the laws of such foreign countries with regard to appointing independent directors and composition of the audit and compensation committees (collectively, "Eligible Companies"). Any Eligible Company which opts to comply with the applicable foreign securities laws and stock exchange regulations, shall be exempt from the following rules under the Companies Law: (i) the requirement to have at least two external directors appointed to serve in a public company; (ii) that at least one of the external directors is required to have financial and accounting expertise and the rest are required to have professional expertise;</w:t>
      </w:r>
    </w:p>
    <w:p>
      <w:pPr>
        <w:spacing w:after="0" w:line="4" w:lineRule="exact"/>
        <w:rPr>
          <w:sz w:val="20"/>
          <w:szCs w:val="20"/>
          <w:color w:val="auto"/>
        </w:rPr>
      </w:pPr>
    </w:p>
    <w:p>
      <w:pPr>
        <w:ind w:left="3" w:right="180" w:hanging="3"/>
        <w:spacing w:after="0" w:line="258" w:lineRule="auto"/>
        <w:tabs>
          <w:tab w:leader="none" w:pos="28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that the external directors shall be appointed by the general meeting and subject to certain voting thresholds; (iv) that if all of the board members who are not controlling shareholders are of one gender, the appointed external director shall be of the other gender; (v) that all of the board committees which are empowered and authorized to exercise any of the board's authorities must consist of at least one external director. The exemption from these rules under the Amendment to the Relief Regulations requires that the board be composed of both male and female directors.</w:t>
      </w:r>
    </w:p>
    <w:p>
      <w:pPr>
        <w:spacing w:after="0" w:line="1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Audit Committee</w:t>
      </w:r>
    </w:p>
    <w:p>
      <w:pPr>
        <w:spacing w:after="0" w:line="258" w:lineRule="exact"/>
        <w:rPr>
          <w:sz w:val="20"/>
          <w:szCs w:val="20"/>
          <w:color w:val="auto"/>
        </w:rPr>
      </w:pPr>
    </w:p>
    <w:p>
      <w:pPr>
        <w:jc w:val="both"/>
        <w:ind w:right="360" w:firstLine="584"/>
        <w:spacing w:after="0" w:line="268" w:lineRule="auto"/>
        <w:rPr>
          <w:sz w:val="20"/>
          <w:szCs w:val="20"/>
          <w:color w:val="auto"/>
        </w:rPr>
      </w:pPr>
      <w:r>
        <w:rPr>
          <w:rFonts w:ascii="Arial" w:cs="Arial" w:eastAsia="Arial" w:hAnsi="Arial"/>
          <w:sz w:val="16"/>
          <w:szCs w:val="16"/>
          <w:color w:val="auto"/>
        </w:rPr>
        <w:t>Under the Companies Law, the board of directors of a public company must appoint an audit committee. The audit committee must be comprised of at least three directors, including all of the external directors, and one of the external directors must serve as chairperson of the committee. The audit committee of a company may not include:</w:t>
      </w:r>
    </w:p>
    <w:p>
      <w:pPr>
        <w:spacing w:after="0" w:line="212" w:lineRule="exact"/>
        <w:rPr>
          <w:sz w:val="20"/>
          <w:szCs w:val="20"/>
          <w:color w:val="auto"/>
        </w:rPr>
      </w:pPr>
    </w:p>
    <w:p>
      <w:pPr>
        <w:ind w:left="1160" w:hanging="578"/>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chairman of the company's board of directors;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controlling shareholder or a relative of a controlling shareholder of the company (as each such term is defined in the Companies Law); or</w:t>
      </w:r>
    </w:p>
    <w:p>
      <w:pPr>
        <w:spacing w:after="0" w:line="254" w:lineRule="exact"/>
        <w:rPr>
          <w:rFonts w:ascii="Arial" w:cs="Arial" w:eastAsia="Arial" w:hAnsi="Arial"/>
          <w:sz w:val="16"/>
          <w:szCs w:val="16"/>
          <w:color w:val="auto"/>
        </w:rPr>
      </w:pPr>
    </w:p>
    <w:p>
      <w:pPr>
        <w:ind w:left="1160" w:right="40" w:hanging="578"/>
        <w:spacing w:after="0" w:line="263"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director employed by the company, by a controlling shareholder of the company or by any other entity controlled by a controlling shareholder of the company, or any director who provides services to the company, to a controlling shareholder of the company or to any other entity controlled by a controlling shareholder of the company on a regular basis (other than as a member of the board of directors), or any other director whose main source of income derives from a controlling shareholder of the company.</w:t>
      </w:r>
    </w:p>
    <w:p>
      <w:pPr>
        <w:spacing w:after="0" w:line="216" w:lineRule="exact"/>
        <w:rPr>
          <w:sz w:val="20"/>
          <w:szCs w:val="20"/>
          <w:color w:val="auto"/>
        </w:rPr>
      </w:pPr>
    </w:p>
    <w:p>
      <w:pPr>
        <w:jc w:val="both"/>
        <w:ind w:right="260" w:firstLine="584"/>
        <w:spacing w:after="0" w:line="268" w:lineRule="auto"/>
        <w:rPr>
          <w:sz w:val="20"/>
          <w:szCs w:val="20"/>
          <w:color w:val="auto"/>
        </w:rPr>
      </w:pPr>
      <w:r>
        <w:rPr>
          <w:rFonts w:ascii="Arial" w:cs="Arial" w:eastAsia="Arial" w:hAnsi="Arial"/>
          <w:sz w:val="16"/>
          <w:szCs w:val="16"/>
          <w:color w:val="auto"/>
        </w:rPr>
        <w:t>The term "controlling shareholder" is defined in the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w:t>
      </w:r>
    </w:p>
    <w:p>
      <w:pPr>
        <w:spacing w:after="0" w:line="212" w:lineRule="exact"/>
        <w:rPr>
          <w:sz w:val="20"/>
          <w:szCs w:val="20"/>
          <w:color w:val="auto"/>
        </w:rPr>
      </w:pPr>
    </w:p>
    <w:p>
      <w:pPr>
        <w:ind w:right="580" w:firstLine="584"/>
        <w:spacing w:after="0" w:line="358" w:lineRule="auto"/>
        <w:rPr>
          <w:sz w:val="20"/>
          <w:szCs w:val="20"/>
          <w:color w:val="auto"/>
        </w:rPr>
      </w:pPr>
      <w:r>
        <w:rPr>
          <w:rFonts w:ascii="Arial" w:cs="Arial" w:eastAsia="Arial" w:hAnsi="Arial"/>
          <w:sz w:val="14"/>
          <w:szCs w:val="14"/>
          <w:color w:val="auto"/>
        </w:rPr>
        <w:t>A majority of the total number of then-serving members of an audit committee shall constitute a quorum for the transaction of business at the audit committee meetings, provided, that the majority of the members present at such meeting are unaffiliated directors and at least one of such members is an external director.</w:t>
      </w:r>
    </w:p>
    <w:p>
      <w:pPr>
        <w:spacing w:after="0" w:line="153" w:lineRule="exact"/>
        <w:rPr>
          <w:sz w:val="20"/>
          <w:szCs w:val="20"/>
          <w:color w:val="auto"/>
        </w:rPr>
      </w:pPr>
    </w:p>
    <w:p>
      <w:pPr>
        <w:ind w:right="480" w:firstLine="584"/>
        <w:spacing w:after="0" w:line="283" w:lineRule="auto"/>
        <w:rPr>
          <w:sz w:val="20"/>
          <w:szCs w:val="20"/>
          <w:color w:val="auto"/>
        </w:rPr>
      </w:pPr>
      <w:r>
        <w:rPr>
          <w:rFonts w:ascii="Arial" w:cs="Arial" w:eastAsia="Arial" w:hAnsi="Arial"/>
          <w:sz w:val="16"/>
          <w:szCs w:val="16"/>
          <w:color w:val="auto"/>
        </w:rPr>
        <w:t>The audit committee of a publicly-traded company must consist of a majority of unaffiliated directors. An "unaffiliated director" is defined as either an external director or as a director who meets the following criteria:</w:t>
      </w:r>
    </w:p>
    <w:p>
      <w:pPr>
        <w:spacing w:after="0" w:line="199" w:lineRule="exact"/>
        <w:rPr>
          <w:sz w:val="20"/>
          <w:szCs w:val="20"/>
          <w:color w:val="auto"/>
        </w:rPr>
      </w:pPr>
    </w:p>
    <w:p>
      <w:pPr>
        <w:jc w:val="both"/>
        <w:ind w:left="1160" w:hanging="578"/>
        <w:spacing w:after="0" w:line="268" w:lineRule="auto"/>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he or she meets the qualifications for being appointed as an external director, except for (i) the requirement that the director be an Israeli resident (which does not apply to companies such as ours whose securities have been offered outside of Israel or are listed outside of Israel) and (ii) the requirement for accounting and financial expertise or professional qualifications; and</w:t>
      </w:r>
    </w:p>
    <w:p>
      <w:pPr>
        <w:spacing w:after="0" w:line="211" w:lineRule="exact"/>
        <w:rPr>
          <w:rFonts w:ascii="Arial" w:cs="Arial" w:eastAsia="Arial" w:hAnsi="Arial"/>
          <w:sz w:val="16"/>
          <w:szCs w:val="16"/>
          <w:color w:val="auto"/>
        </w:rPr>
      </w:pPr>
    </w:p>
    <w:p>
      <w:pPr>
        <w:ind w:left="1160" w:right="260" w:hanging="578"/>
        <w:spacing w:after="0" w:line="283" w:lineRule="auto"/>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99" w:lineRule="exact"/>
        <w:rPr>
          <w:sz w:val="20"/>
          <w:szCs w:val="20"/>
          <w:color w:val="auto"/>
        </w:rPr>
      </w:pPr>
    </w:p>
    <w:p>
      <w:pPr>
        <w:ind w:right="280" w:firstLine="584"/>
        <w:spacing w:after="0" w:line="313" w:lineRule="auto"/>
        <w:rPr>
          <w:sz w:val="20"/>
          <w:szCs w:val="20"/>
          <w:color w:val="auto"/>
        </w:rPr>
      </w:pPr>
      <w:r>
        <w:rPr>
          <w:rFonts w:ascii="Arial" w:cs="Arial" w:eastAsia="Arial" w:hAnsi="Arial"/>
          <w:sz w:val="14"/>
          <w:szCs w:val="14"/>
          <w:color w:val="auto"/>
        </w:rPr>
        <w:t>Any person who is not eligible to serve on the audit committee is further restricted from participating in its meetings and votes, unless the chairman of the audit committee determines that such person's presence is necessary in order to present a certain matter, provided however, that company employees who are not controlling shareholders or relatives of such shareholders may be present in the meetings but not for the actual votes, and likewise, company counsel or company secretary who are not controlling shareholders or relatives of such shareholders may be present in the meetings and for the decisions if such presence is requested by the audit committee.</w:t>
      </w:r>
    </w:p>
    <w:p>
      <w:pPr>
        <w:spacing w:after="0" w:line="183"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The members of our Audit Committee are Nurit Benjamini (Chairperson), Dr. Avraham Molcho and Dr. Raphael Hofstein. Pursuant to the Marketplace Rules of the Nasdaq Stock Market, our Board of Directors may appoint one director to our Audit Committee who (1) is not an Independent Director as defined in Nasdaq Marketplace Rule 5605(a)(2), (2) meets the criteria set forth in Section 10A(m)(3) under the Exchange Act, and (3) is not one of our current officers or employees or "family member," as defined in Nasdaq Marketplace Rule 5605(a)(2), of an officer or employee, if our Board of Directors, under exceptional and limited circumstances, determines that the appointment is in our best interests and the best interest of our shareholders, and our Board of Directors discloses, in our next annual report subsequent to the determination, the nature of the relationship and the reasons for that determination.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6" w:name="page87"/>
    <w:bookmarkEnd w:id="86"/>
    <w:p>
      <w:pPr>
        <w:ind w:left="580"/>
        <w:spacing w:after="0"/>
        <w:rPr>
          <w:sz w:val="20"/>
          <w:szCs w:val="20"/>
          <w:color w:val="auto"/>
        </w:rPr>
      </w:pPr>
      <w:r>
        <w:rPr>
          <w:rFonts w:ascii="Arial" w:cs="Arial" w:eastAsia="Arial" w:hAnsi="Arial"/>
          <w:sz w:val="16"/>
          <w:szCs w:val="16"/>
          <w:color w:val="auto"/>
        </w:rPr>
        <w:t>Our Board of Directors has determined that Nurit Benjamini (Chairman) qualifies as an audit committee financial expert as defined by rules of the SEC.</w:t>
      </w:r>
    </w:p>
    <w:p>
      <w:pPr>
        <w:spacing w:after="0" w:line="254" w:lineRule="exact"/>
        <w:rPr>
          <w:sz w:val="20"/>
          <w:szCs w:val="20"/>
          <w:color w:val="auto"/>
        </w:rPr>
      </w:pPr>
    </w:p>
    <w:p>
      <w:pPr>
        <w:jc w:val="both"/>
        <w:ind w:right="200" w:firstLine="584"/>
        <w:spacing w:after="0" w:line="358" w:lineRule="auto"/>
        <w:rPr>
          <w:sz w:val="20"/>
          <w:szCs w:val="20"/>
          <w:color w:val="auto"/>
        </w:rPr>
      </w:pPr>
      <w:r>
        <w:rPr>
          <w:rFonts w:ascii="Arial" w:cs="Arial" w:eastAsia="Arial" w:hAnsi="Arial"/>
          <w:sz w:val="14"/>
          <w:szCs w:val="14"/>
          <w:color w:val="auto"/>
        </w:rPr>
        <w:t>In November 2012, our Board of Directors adopted an audit committee charter that added to the responsibilities of our Audit Committee under the Companies Law, setting forth the responsibilities of the audit committee consistent with the rules of the SEC and the Marketplace Rules of the Nasdaq Stock Market, including the following:</w:t>
      </w:r>
    </w:p>
    <w:p>
      <w:pPr>
        <w:spacing w:after="0" w:line="153" w:lineRule="exact"/>
        <w:rPr>
          <w:sz w:val="20"/>
          <w:szCs w:val="20"/>
          <w:color w:val="auto"/>
        </w:rPr>
      </w:pPr>
    </w:p>
    <w:p>
      <w:pPr>
        <w:ind w:left="1160" w:hanging="578"/>
        <w:spacing w:after="0" w:line="283" w:lineRule="auto"/>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oversight of the company's independent registered public accounting firm and recommending the engagement, compensation or termination of engagement of the our independent registered public accounting firm to our Board of Directors in accordance with Israeli law;</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recommending the engagement or termination of the office of the our internal auditor;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reviewing and pre-approving the terms of audit and non-audit services provided by our independent auditors.</w:t>
      </w:r>
    </w:p>
    <w:p>
      <w:pPr>
        <w:spacing w:after="0" w:line="254" w:lineRule="exact"/>
        <w:rPr>
          <w:sz w:val="20"/>
          <w:szCs w:val="20"/>
          <w:color w:val="auto"/>
        </w:rPr>
      </w:pPr>
    </w:p>
    <w:p>
      <w:pPr>
        <w:ind w:firstLine="584"/>
        <w:spacing w:after="0" w:line="294" w:lineRule="auto"/>
        <w:rPr>
          <w:sz w:val="20"/>
          <w:szCs w:val="20"/>
          <w:color w:val="auto"/>
        </w:rPr>
      </w:pPr>
      <w:r>
        <w:rPr>
          <w:rFonts w:ascii="Arial" w:cs="Arial" w:eastAsia="Arial" w:hAnsi="Arial"/>
          <w:sz w:val="14"/>
          <w:szCs w:val="14"/>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it deems necessary to satisfy itself that the accountants are independent of management. Pursuant to the Companies Law, the audit committee of a company shall be responsible for: (i) determining whether there are delinquencies in the business management practices of a company, including in consultation with an internal auditor or independent auditor, and making recommendations to the company's board of directors to improve such practices; (ii) determining whether to approve certain related party transactions (including compensation of office holders or transactions in which an office holder has a personal interest and whether such transaction is material or otherwise an extraordinary transaction); (iii) where the company's board of directors approves the working plan of the internal auditor, examining such working plan before its submission to the board and proposing amendments thereto; (iv) examining internal controls and the internal auditor's performance, including whether the internal auditor has sufficient resources and tools to dispose of his responsibilities (taking into consideration the special needs and size of a company); (v) examining the scope of the auditor's work and compensation and submitting its recommendation with respect thereto to the corporate body considering the appointment thereof (either the board or the general meeting of shareholders); and (vi) establishing procedures for the handling of employees' complaints as to the management of the business and the protection to be provided to such employees. Pursuant to Amendment 22, effective as of January 10, 2014, the responsibilities of the audit committee under the Companies Law also include the following matters: (i) the establishment of procedures to be followed in respect of related party transactions with a controlling shareholder (where such are not extraordinary transactions), which may include, where applicable, the establishment of a competitive process for such transaction, under the supervision of the audit committee, or individual, or other committee or body selected by the audit committee, in accordance with criteria determined by the audit committee; and (ii) to determine procedures for approving certain related party transactions with a controlling shareholder, which having been determined by the audit committee not to be extraordinary transactions, were also determined by the audit committee not to be negligible transactions. Under the Companies Law, the approval of the audit committee is required for specified actions and transactions with office holders and controlling shareholders. See "— Approval of Related Party Transactions under Israeli Law."</w:t>
      </w:r>
    </w:p>
    <w:p>
      <w:pPr>
        <w:spacing w:after="0" w:line="395" w:lineRule="exact"/>
        <w:rPr>
          <w:sz w:val="20"/>
          <w:szCs w:val="20"/>
          <w:color w:val="auto"/>
        </w:rPr>
      </w:pPr>
    </w:p>
    <w:p>
      <w:pPr>
        <w:ind w:right="40" w:firstLine="584"/>
        <w:spacing w:after="0" w:line="278" w:lineRule="auto"/>
        <w:rPr>
          <w:sz w:val="20"/>
          <w:szCs w:val="20"/>
          <w:color w:val="auto"/>
        </w:rPr>
      </w:pPr>
      <w:r>
        <w:rPr>
          <w:rFonts w:ascii="Arial" w:cs="Arial" w:eastAsia="Arial" w:hAnsi="Arial"/>
          <w:sz w:val="15"/>
          <w:szCs w:val="15"/>
          <w:color w:val="auto"/>
        </w:rPr>
        <w:t>Pursuant to the Amendment to the Relief Regulations, companies the shares of which are listed for trading on specified exchanges outside of Israel, including the Nasdaq, and which qualify as Eligible Companies, are exempt from the following rules regarding the audit committee under the Companies Law: (i) the committee shall be comprised of at least three members, who shall include all of the external directors, and the majority of the members shall be independent; (ii) certain persons may not be members of the audit committee; (iii) the controlling shareholder or his relatives shall not be members of the audit committee; (iv) the chairman of the audit committee shall be an external director; (v) a person who is prohibited from being a member of the audit committee shall not be present at the committee's meetings; (vi) if the committee also serves as a financial reports committee, the rules applicable to the financial reports committee shall apply; and (vii) the legal quorum shall be the majority of the committee members, provided that the majority of directors present are independent, at least one of whom is an external director.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Compensation Committee</w:t>
      </w:r>
    </w:p>
    <w:p>
      <w:pPr>
        <w:spacing w:after="0" w:line="258" w:lineRule="exact"/>
        <w:rPr>
          <w:sz w:val="20"/>
          <w:szCs w:val="20"/>
          <w:color w:val="auto"/>
        </w:rPr>
      </w:pPr>
    </w:p>
    <w:p>
      <w:pPr>
        <w:ind w:right="60" w:firstLine="584"/>
        <w:spacing w:after="0" w:line="268" w:lineRule="auto"/>
        <w:rPr>
          <w:sz w:val="20"/>
          <w:szCs w:val="20"/>
          <w:color w:val="auto"/>
        </w:rPr>
      </w:pPr>
      <w:r>
        <w:rPr>
          <w:rFonts w:ascii="Arial" w:cs="Arial" w:eastAsia="Arial" w:hAnsi="Arial"/>
          <w:sz w:val="16"/>
          <w:szCs w:val="16"/>
          <w:color w:val="auto"/>
        </w:rPr>
        <w:t>In December 2012, Amendment 20 to the Companies Law, or Amendment 20, went into effect. Amendment 20 requires, among other things, that the board of directors of Israeli publicly-traded companies appoint a compensation committee comprised of at least three members, including all of the external directors of a company, and one of the external directors must serve as chairman of the committee. Such compensation committee may not include:</w:t>
      </w:r>
    </w:p>
    <w:p>
      <w:pPr>
        <w:spacing w:after="0" w:line="212" w:lineRule="exact"/>
        <w:rPr>
          <w:sz w:val="20"/>
          <w:szCs w:val="20"/>
          <w:color w:val="auto"/>
        </w:rPr>
      </w:pPr>
    </w:p>
    <w:p>
      <w:pPr>
        <w:ind w:left="1160" w:hanging="578"/>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chairman of the company's board of directors;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controlling shareholder or a relative of a controlling shareholder of the company (as each such term is defined in the Companies Law); or</w:t>
      </w:r>
    </w:p>
    <w:p>
      <w:pPr>
        <w:spacing w:after="0" w:line="254" w:lineRule="exact"/>
        <w:rPr>
          <w:rFonts w:ascii="Arial" w:cs="Arial" w:eastAsia="Arial" w:hAnsi="Arial"/>
          <w:sz w:val="16"/>
          <w:szCs w:val="16"/>
          <w:color w:val="auto"/>
        </w:rPr>
      </w:pPr>
    </w:p>
    <w:p>
      <w:pPr>
        <w:ind w:left="1160" w:hanging="578"/>
        <w:spacing w:after="0" w:line="263" w:lineRule="auto"/>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director employed by the company, by a controlling shareholder of the company or by any other entity controlled by a controlling shareholder of the company, or any director who provides services to the company on a permanent basis, to a controlling shareholder of the company or to any other entity controlled by a controlling shareholder of the company on a regular basis (other than as a member of the board of directors), or any other director whose main source of income derives from a controlling shareholder of the company.</w:t>
      </w:r>
    </w:p>
    <w:p>
      <w:pPr>
        <w:spacing w:after="0" w:line="216" w:lineRule="exact"/>
        <w:rPr>
          <w:sz w:val="20"/>
          <w:szCs w:val="20"/>
          <w:color w:val="auto"/>
        </w:rPr>
      </w:pPr>
    </w:p>
    <w:p>
      <w:pPr>
        <w:jc w:val="both"/>
        <w:ind w:right="260" w:firstLine="584"/>
        <w:spacing w:after="0" w:line="268" w:lineRule="auto"/>
        <w:rPr>
          <w:sz w:val="20"/>
          <w:szCs w:val="20"/>
          <w:color w:val="auto"/>
        </w:rPr>
      </w:pPr>
      <w:r>
        <w:rPr>
          <w:rFonts w:ascii="Arial" w:cs="Arial" w:eastAsia="Arial" w:hAnsi="Arial"/>
          <w:sz w:val="16"/>
          <w:szCs w:val="16"/>
          <w:color w:val="auto"/>
        </w:rPr>
        <w:t>The term "controlling shareholder" is defined in the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w:t>
      </w:r>
    </w:p>
    <w:p>
      <w:pPr>
        <w:spacing w:after="0" w:line="212"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color w:val="auto"/>
        </w:rPr>
        <w:t>A majority of the total number of then-serving members of a compensation committee shall constitute a quorum for the transaction of business at the compensation committee meetings. The compensation committee of a publicly-traded company must consist of a majority of external directors.</w:t>
      </w:r>
    </w:p>
    <w:p>
      <w:pPr>
        <w:spacing w:after="0" w:line="199" w:lineRule="exact"/>
        <w:rPr>
          <w:sz w:val="20"/>
          <w:szCs w:val="20"/>
          <w:color w:val="auto"/>
        </w:rPr>
      </w:pPr>
    </w:p>
    <w:p>
      <w:pPr>
        <w:ind w:right="140" w:firstLine="584"/>
        <w:spacing w:after="0" w:line="313" w:lineRule="auto"/>
        <w:rPr>
          <w:sz w:val="20"/>
          <w:szCs w:val="20"/>
          <w:color w:val="auto"/>
        </w:rPr>
      </w:pPr>
      <w:r>
        <w:rPr>
          <w:rFonts w:ascii="Arial" w:cs="Arial" w:eastAsia="Arial" w:hAnsi="Arial"/>
          <w:sz w:val="14"/>
          <w:szCs w:val="14"/>
          <w:color w:val="auto"/>
        </w:rPr>
        <w:t>Pursuant to the Amendment to the Relief Regulations, companies the shares of which are listed for trading on specified exchanges outside of Israel, including the Nasdaq and qualify as Eligible Companies are exempt from the following rules regarding the Compensation Committee under the Companies Law: (i) the board of a public company is required to appoint a compensation committee; (ii) the compensation committee shall be comprised of at least three members, all of the external directors shall be members and shall constitute the majority of its members and the rest of the members shall be members whose terms of service are as required under the Companies Law.</w:t>
      </w:r>
    </w:p>
    <w:p>
      <w:pPr>
        <w:spacing w:after="0" w:line="134" w:lineRule="exact"/>
        <w:rPr>
          <w:sz w:val="20"/>
          <w:szCs w:val="20"/>
          <w:color w:val="auto"/>
        </w:rPr>
      </w:pPr>
    </w:p>
    <w:p>
      <w:pPr>
        <w:ind w:right="60" w:firstLine="584"/>
        <w:spacing w:after="0" w:line="313" w:lineRule="auto"/>
        <w:rPr>
          <w:sz w:val="20"/>
          <w:szCs w:val="20"/>
          <w:color w:val="auto"/>
        </w:rPr>
      </w:pPr>
      <w:r>
        <w:rPr>
          <w:rFonts w:ascii="Arial" w:cs="Arial" w:eastAsia="Arial" w:hAnsi="Arial"/>
          <w:sz w:val="14"/>
          <w:szCs w:val="14"/>
          <w:color w:val="auto"/>
        </w:rPr>
        <w:t>Any person who is not eligible to serve on the compensation committee is further restricted from participating in its meetings and votes, unless the chairman of the compensation committee determines that such person's presence is necessary in order to present a certain matter, provided however, that company employees who are not controlling shareholders or relatives of such shareholders may be present in the meetings but not for the actual votes, and likewise, company counsel and secretary who are not controlling shareholders or relatives of such shareholders may be present in the meetings and for the decisions if such presence is requested by the compensation committee.</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responsibilities of the compensation committee include the following:</w:t>
      </w:r>
    </w:p>
    <w:p>
      <w:pPr>
        <w:spacing w:after="0" w:line="254" w:lineRule="exact"/>
        <w:rPr>
          <w:sz w:val="20"/>
          <w:szCs w:val="20"/>
          <w:color w:val="auto"/>
        </w:rPr>
      </w:pPr>
    </w:p>
    <w:p>
      <w:pPr>
        <w:ind w:left="1160" w:right="280" w:hanging="590"/>
        <w:spacing w:after="0" w:line="283" w:lineRule="auto"/>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make recommendations to the board of directors as to a compensation policy for officers, as well as to recommend once every three years to extend the compensation policy, subject to receipt of the required corporate approvals;</w:t>
      </w:r>
    </w:p>
    <w:p>
      <w:pPr>
        <w:spacing w:after="0" w:line="199" w:lineRule="exact"/>
        <w:rPr>
          <w:rFonts w:ascii="Arial" w:cs="Arial" w:eastAsia="Arial" w:hAnsi="Arial"/>
          <w:sz w:val="16"/>
          <w:szCs w:val="16"/>
          <w:color w:val="auto"/>
        </w:rPr>
      </w:pPr>
    </w:p>
    <w:p>
      <w:pPr>
        <w:ind w:left="1160" w:hanging="590"/>
        <w:spacing w:after="0"/>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make recommendations to the board of directors as to any updates to the compensation policy which may be required;</w:t>
      </w:r>
    </w:p>
    <w:p>
      <w:pPr>
        <w:spacing w:after="0" w:line="254" w:lineRule="exact"/>
        <w:rPr>
          <w:rFonts w:ascii="Arial" w:cs="Arial" w:eastAsia="Arial" w:hAnsi="Arial"/>
          <w:sz w:val="16"/>
          <w:szCs w:val="16"/>
          <w:color w:val="auto"/>
        </w:rPr>
      </w:pPr>
    </w:p>
    <w:p>
      <w:pPr>
        <w:ind w:left="1160" w:hanging="590"/>
        <w:spacing w:after="0"/>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review the implementation of the compensation policy by the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8" w:name="page89"/>
    <w:bookmarkEnd w:id="88"/>
    <w:p>
      <w:pPr>
        <w:ind w:left="1160" w:right="520" w:hanging="590"/>
        <w:spacing w:after="0" w:line="283"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approve transactions relating to terms of office and employment of certain company office holders, which require the approval of the compensation committee pursuant to the Companies Law;</w:t>
      </w:r>
    </w:p>
    <w:p>
      <w:pPr>
        <w:spacing w:after="0" w:line="199" w:lineRule="exact"/>
        <w:rPr>
          <w:rFonts w:ascii="Arial" w:cs="Arial" w:eastAsia="Arial" w:hAnsi="Arial"/>
          <w:sz w:val="16"/>
          <w:szCs w:val="16"/>
          <w:color w:val="auto"/>
        </w:rPr>
      </w:pPr>
    </w:p>
    <w:p>
      <w:pPr>
        <w:ind w:left="1160" w:right="520" w:hanging="590"/>
        <w:spacing w:after="0" w:line="283"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exempt, under certain circumstances, a transaction relating to terms of office and employment from the requirement of approval of the shareholders meeting; and</w:t>
      </w:r>
    </w:p>
    <w:p>
      <w:pPr>
        <w:spacing w:after="0" w:line="199" w:lineRule="exact"/>
        <w:rPr>
          <w:sz w:val="20"/>
          <w:szCs w:val="20"/>
          <w:color w:val="auto"/>
        </w:rPr>
      </w:pPr>
    </w:p>
    <w:p>
      <w:pPr>
        <w:ind w:right="180" w:firstLine="573"/>
        <w:spacing w:after="0" w:line="358" w:lineRule="auto"/>
        <w:rPr>
          <w:sz w:val="20"/>
          <w:szCs w:val="20"/>
          <w:color w:val="auto"/>
        </w:rPr>
      </w:pPr>
      <w:r>
        <w:rPr>
          <w:rFonts w:ascii="Arial" w:cs="Arial" w:eastAsia="Arial" w:hAnsi="Arial"/>
          <w:sz w:val="14"/>
          <w:szCs w:val="14"/>
          <w:color w:val="auto"/>
        </w:rPr>
        <w:t>In November 2012, in order to comply with the requirements of Amendment 20, our Board of Directors established a Compensation Committee, comprised of Nurit Benjamini and Dr. Avraham Molcho, our two external directors, and Dr. Raphael Hofstein. Nurit Benjamini serves as the Chairperson of our Compensation Committee.</w:t>
      </w:r>
    </w:p>
    <w:p>
      <w:pPr>
        <w:spacing w:after="0" w:line="153" w:lineRule="exact"/>
        <w:rPr>
          <w:sz w:val="20"/>
          <w:szCs w:val="20"/>
          <w:color w:val="auto"/>
        </w:rPr>
      </w:pPr>
    </w:p>
    <w:p>
      <w:pPr>
        <w:jc w:val="both"/>
        <w:ind w:right="400" w:firstLine="573"/>
        <w:spacing w:after="0" w:line="268" w:lineRule="auto"/>
        <w:rPr>
          <w:sz w:val="20"/>
          <w:szCs w:val="20"/>
          <w:color w:val="auto"/>
        </w:rPr>
      </w:pPr>
      <w:r>
        <w:rPr>
          <w:rFonts w:ascii="Arial" w:cs="Arial" w:eastAsia="Arial" w:hAnsi="Arial"/>
          <w:sz w:val="16"/>
          <w:szCs w:val="16"/>
          <w:color w:val="auto"/>
        </w:rPr>
        <w:t>Under Amendment 20, a board of directors of an Israeli publicly-traded company, following the recommendation of the compensation committee, is required to establish a compensation policy, to be approved by the shareholders of the company, and pursuant to which the terms of office and compensation of the company's officer holders will be decided.</w:t>
      </w:r>
    </w:p>
    <w:p>
      <w:pPr>
        <w:spacing w:after="0" w:line="212" w:lineRule="exact"/>
        <w:rPr>
          <w:sz w:val="20"/>
          <w:szCs w:val="20"/>
          <w:color w:val="auto"/>
        </w:rPr>
      </w:pPr>
    </w:p>
    <w:p>
      <w:pPr>
        <w:ind w:firstLine="576"/>
        <w:spacing w:after="0" w:line="283" w:lineRule="auto"/>
        <w:rPr>
          <w:sz w:val="20"/>
          <w:szCs w:val="20"/>
          <w:color w:val="auto"/>
        </w:rPr>
      </w:pPr>
      <w:r>
        <w:rPr>
          <w:rFonts w:ascii="Arial" w:cs="Arial" w:eastAsia="Arial" w:hAnsi="Arial"/>
          <w:sz w:val="16"/>
          <w:szCs w:val="16"/>
          <w:color w:val="auto"/>
        </w:rPr>
        <w:t>A company's compensation policy shall be determined based on, and take into account, certain parameters set forth in Section 267B(a) and Parts A and B of Annex 1A of the Companies Law, which were legislated as part of Amendment 20.</w:t>
      </w:r>
    </w:p>
    <w:p>
      <w:pPr>
        <w:spacing w:after="0" w:line="199" w:lineRule="exact"/>
        <w:rPr>
          <w:sz w:val="20"/>
          <w:szCs w:val="20"/>
          <w:color w:val="auto"/>
        </w:rPr>
      </w:pPr>
    </w:p>
    <w:p>
      <w:pPr>
        <w:ind w:right="460" w:firstLine="576"/>
        <w:spacing w:after="0" w:line="268" w:lineRule="auto"/>
        <w:rPr>
          <w:sz w:val="20"/>
          <w:szCs w:val="20"/>
          <w:color w:val="auto"/>
        </w:rPr>
      </w:pPr>
      <w:r>
        <w:rPr>
          <w:rFonts w:ascii="Arial" w:cs="Arial" w:eastAsia="Arial" w:hAnsi="Arial"/>
          <w:sz w:val="16"/>
          <w:szCs w:val="16"/>
          <w:color w:val="auto"/>
        </w:rPr>
        <w:t>The board of directors of a publicly-traded company is obligated to adopt a compensation policy after considering the recommendations of the compensation committee. The final adoption of the compensation policy is subject to the approval of the shareholders of the company, which such approval is subject to certain special majority requirements, as set forth in Amendment 20, pursuant to which one of the following must be met:</w:t>
      </w:r>
    </w:p>
    <w:p>
      <w:pPr>
        <w:spacing w:after="0" w:line="212" w:lineRule="exact"/>
        <w:rPr>
          <w:sz w:val="20"/>
          <w:szCs w:val="20"/>
          <w:color w:val="auto"/>
        </w:rPr>
      </w:pPr>
    </w:p>
    <w:p>
      <w:pPr>
        <w:ind w:left="1160" w:right="80" w:hanging="578"/>
        <w:spacing w:after="0" w:line="268" w:lineRule="auto"/>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majority of the votes includes at least a majority of all the votes of shareholders who are not controlling shareholders of the company or who do not have a personal interest in the compensation policy and participating in the vote; abstentions shall not be included in the total of the votes of the aforesaid shareholders; or</w:t>
      </w:r>
    </w:p>
    <w:p>
      <w:pPr>
        <w:spacing w:after="0" w:line="207" w:lineRule="exact"/>
        <w:rPr>
          <w:rFonts w:ascii="Arial" w:cs="Arial" w:eastAsia="Arial" w:hAnsi="Arial"/>
          <w:sz w:val="16"/>
          <w:szCs w:val="16"/>
          <w:color w:val="auto"/>
        </w:rPr>
      </w:pPr>
    </w:p>
    <w:p>
      <w:pPr>
        <w:ind w:left="1160" w:hanging="578"/>
        <w:spacing w:after="0"/>
        <w:tabs>
          <w:tab w:leader="none" w:pos="11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total of opposing votes from among the shareholders described in subsection (i) above does not exceed 2% of all the voting rights in the company</w:t>
      </w:r>
      <w:r>
        <w:rPr>
          <w:rFonts w:ascii="Arial" w:cs="Arial" w:eastAsia="Arial" w:hAnsi="Arial"/>
          <w:sz w:val="15"/>
          <w:szCs w:val="15"/>
          <w:b w:val="1"/>
          <w:bCs w:val="1"/>
          <w:color w:val="auto"/>
        </w:rPr>
        <w:t>.</w:t>
      </w:r>
    </w:p>
    <w:p>
      <w:pPr>
        <w:spacing w:after="0" w:line="270" w:lineRule="exact"/>
        <w:rPr>
          <w:sz w:val="20"/>
          <w:szCs w:val="20"/>
          <w:color w:val="auto"/>
        </w:rPr>
      </w:pPr>
    </w:p>
    <w:p>
      <w:pPr>
        <w:ind w:right="280" w:firstLine="576"/>
        <w:spacing w:after="0" w:line="268" w:lineRule="auto"/>
        <w:rPr>
          <w:sz w:val="20"/>
          <w:szCs w:val="20"/>
          <w:color w:val="auto"/>
        </w:rPr>
      </w:pPr>
      <w:r>
        <w:rPr>
          <w:rFonts w:ascii="Arial" w:cs="Arial" w:eastAsia="Arial" w:hAnsi="Arial"/>
          <w:sz w:val="16"/>
          <w:szCs w:val="16"/>
          <w:color w:val="auto"/>
        </w:rPr>
        <w:t>Nonetheless, even if the shareholders of the company do not approve the compensation policy, the board of directors of a company may approve the compensation policy, provided that the compensation committee and, thereafter, the board of directors resolved, based on detailed, documented, reasons and after a second review of the compensation policy, that the approval of the compensation policy is for the benefit of the company.</w:t>
      </w:r>
    </w:p>
    <w:p>
      <w:pPr>
        <w:spacing w:after="0" w:line="212" w:lineRule="exact"/>
        <w:rPr>
          <w:sz w:val="20"/>
          <w:szCs w:val="20"/>
          <w:color w:val="auto"/>
        </w:rPr>
      </w:pPr>
    </w:p>
    <w:p>
      <w:pPr>
        <w:ind w:firstLine="576"/>
        <w:spacing w:after="0" w:line="261" w:lineRule="auto"/>
        <w:rPr>
          <w:sz w:val="20"/>
          <w:szCs w:val="20"/>
          <w:color w:val="auto"/>
        </w:rPr>
      </w:pPr>
      <w:r>
        <w:rPr>
          <w:rFonts w:ascii="Arial" w:cs="Arial" w:eastAsia="Arial" w:hAnsi="Arial"/>
          <w:sz w:val="16"/>
          <w:szCs w:val="16"/>
          <w:color w:val="auto"/>
        </w:rPr>
        <w:t>In December 2013, a general meeting of our shareholders approved the Executive Compensation Policy which had been recommended by our Compensation Committee and approved by our Board of Directors. The term of this initial policy was for three years from the date of its approval, or until December 2016. In July 2016, a general meeting of our shareholders approved an extension and revision of the initial policy, which has been renamed the Compensation Policy for Executives and Directors, or Compensation Policy. The Compensation Policy governs the terms of compensation for our directors and office holders, in accordance with the requirements of the Companies Law. Below is a summary discussion of the provisions of the Compensation Policy:</w:t>
      </w:r>
    </w:p>
    <w:p>
      <w:pPr>
        <w:spacing w:after="0" w:line="217" w:lineRule="exact"/>
        <w:rPr>
          <w:sz w:val="20"/>
          <w:szCs w:val="20"/>
          <w:color w:val="auto"/>
        </w:rPr>
      </w:pPr>
    </w:p>
    <w:p>
      <w:pPr>
        <w:ind w:right="260" w:firstLine="576"/>
        <w:spacing w:after="0" w:line="283" w:lineRule="auto"/>
        <w:rPr>
          <w:sz w:val="20"/>
          <w:szCs w:val="20"/>
          <w:color w:val="auto"/>
        </w:rPr>
      </w:pPr>
      <w:r>
        <w:rPr>
          <w:rFonts w:ascii="Arial" w:cs="Arial" w:eastAsia="Arial" w:hAnsi="Arial"/>
          <w:sz w:val="16"/>
          <w:szCs w:val="16"/>
          <w:color w:val="auto"/>
        </w:rPr>
        <w:t>The Compensation Policy includes, among other issues prescribed by the Companies Law, a framework for establishing the terms of office and employment of our office holders, a recoupment policy and guidelines with respect to the structure of the variable pay of our office holders.</w:t>
      </w:r>
    </w:p>
    <w:p>
      <w:pPr>
        <w:spacing w:after="0" w:line="199" w:lineRule="exact"/>
        <w:rPr>
          <w:sz w:val="20"/>
          <w:szCs w:val="20"/>
          <w:color w:val="auto"/>
        </w:rPr>
      </w:pPr>
    </w:p>
    <w:p>
      <w:pPr>
        <w:ind w:right="180" w:firstLine="576"/>
        <w:spacing w:after="0" w:line="268" w:lineRule="auto"/>
        <w:rPr>
          <w:sz w:val="20"/>
          <w:szCs w:val="20"/>
          <w:color w:val="auto"/>
        </w:rPr>
      </w:pPr>
      <w:r>
        <w:rPr>
          <w:rFonts w:ascii="Arial" w:cs="Arial" w:eastAsia="Arial" w:hAnsi="Arial"/>
          <w:sz w:val="16"/>
          <w:szCs w:val="16"/>
          <w:color w:val="auto"/>
        </w:rPr>
        <w:t>Compensation is considered performance-based to the extent that a direct link is maintained between compensation and performance and that rewards are consistent with long-term stakeholder value creation. At the company level, we analyze the overall compensation trends of the market in order to make informed decisions about our compensation approach.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9" w:name="page90"/>
    <w:bookmarkEnd w:id="89"/>
    <w:p>
      <w:pPr>
        <w:ind w:firstLine="576"/>
        <w:spacing w:after="0" w:line="257" w:lineRule="auto"/>
        <w:rPr>
          <w:sz w:val="20"/>
          <w:szCs w:val="20"/>
          <w:color w:val="auto"/>
        </w:rPr>
      </w:pPr>
      <w:r>
        <w:rPr>
          <w:rFonts w:ascii="Arial" w:cs="Arial" w:eastAsia="Arial" w:hAnsi="Arial"/>
          <w:sz w:val="16"/>
          <w:szCs w:val="16"/>
          <w:color w:val="auto"/>
        </w:rPr>
        <w:t>According to the Compensation Policy, the fixed components of our office holder compensation will be examined at least every two years and compared to the market. Our Board of Directors may change the amount of the fixed components for one or more of our office holders after receiving a recommendation for such from our compensation committee. The change may be made if our Board of Directors concludes that such a change would promote our goals, operating plans and objectives and after taking into account the business and legal implications of the proposed change and its impact on our internal labor relations. Any such changes are subject to formal approval by the relevant parties. The fixed component of compensation remunerates the specific role covered and scope of responsibilities. It also reflects the experience and skills required for each position, as well as the level of excellence demonstrated and the overall quality of the office holder's contribution to our business. The weighting of fixed compensation within the overall package is designed to reduce the risk of excessively risk-oriented behavior, to discourage initiatives focused on short-term results which might jeopardize our mid and long-term business sustainability and value creation, and to allow us a flexible compensation approach. We offer our employees benefit plans based on common practice in the local labor market of the office holder.</w:t>
      </w:r>
    </w:p>
    <w:p>
      <w:pPr>
        <w:spacing w:after="0" w:line="224" w:lineRule="exact"/>
        <w:rPr>
          <w:sz w:val="20"/>
          <w:szCs w:val="20"/>
          <w:color w:val="auto"/>
        </w:rPr>
      </w:pPr>
    </w:p>
    <w:p>
      <w:pPr>
        <w:jc w:val="both"/>
        <w:ind w:right="80" w:firstLine="576"/>
        <w:spacing w:after="0" w:line="296" w:lineRule="auto"/>
        <w:rPr>
          <w:sz w:val="20"/>
          <w:szCs w:val="20"/>
          <w:color w:val="auto"/>
        </w:rPr>
      </w:pPr>
      <w:r>
        <w:rPr>
          <w:rFonts w:ascii="Arial" w:cs="Arial" w:eastAsia="Arial" w:hAnsi="Arial"/>
          <w:sz w:val="14"/>
          <w:szCs w:val="14"/>
          <w:color w:val="auto"/>
        </w:rPr>
        <w:t>As for the variable components of compensation, the types and amounts of such components will be determined with an aim at creating maximum matching between the Compensation Policy and our operating plan and objectives. Variable components of compensation will be primarily based on measurable long-term criteria. Nevertheless, we are allowed to base a non-material part of variable compensation on qualitative non-measurable criteria which focus on the office holder's contribution to the Company.</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Our variable compensation aims to remunerate for achievements by directly linking pay to performance outcomes in the short and long term. To strengthen the alignment of shareholder interests and the interests of management and employees, performance measurements reflect our actual results overall, as well as of the individual office holder. To support the aforementioned principles, we provide two types of variable compensation: short-term - annual bonus; and long-term - stock option plans.</w:t>
      </w:r>
    </w:p>
    <w:p>
      <w:pPr>
        <w:spacing w:after="0" w:line="200" w:lineRule="exact"/>
        <w:rPr>
          <w:sz w:val="20"/>
          <w:szCs w:val="20"/>
          <w:color w:val="auto"/>
        </w:rPr>
      </w:pPr>
    </w:p>
    <w:p>
      <w:pPr>
        <w:ind w:right="200" w:firstLine="576"/>
        <w:spacing w:after="0" w:line="301" w:lineRule="auto"/>
        <w:rPr>
          <w:sz w:val="20"/>
          <w:szCs w:val="20"/>
          <w:color w:val="auto"/>
        </w:rPr>
      </w:pPr>
      <w:r>
        <w:rPr>
          <w:rFonts w:ascii="Arial" w:cs="Arial" w:eastAsia="Arial" w:hAnsi="Arial"/>
          <w:sz w:val="14"/>
          <w:szCs w:val="14"/>
          <w:color w:val="auto"/>
        </w:rPr>
        <w:t>Annual bonuses will be based on achievement of the business goals set out in our annual operating plan approved by the board of directors at the beginning of each year. The operating plan encompasses all aspects of our activities and as such sets the business targets for each member of the management team. Consequently, our compensation committee and board should be able to judge the suitability of a bonus payment by deliberating retrospectively at year end and comparing actual performance and target achievements against the forecasted operating plan. The annual bonus mechanism will be directly tied to meeting objectives - both our business objectives and the office holder's personal objectives. The board's satisfaction with the officer's performance will also affect the bonus amount. Annual bonus payments are subject to the limitations set out in the Compensation Policy and also subject to the discretion of our compensation committee and approval by the board of directors. In order to maintain some measure of flexibility, after calculating the compensation amount, the board of directors may exercise discretion about the final amount of the bonus.</w:t>
      </w:r>
    </w:p>
    <w:p>
      <w:pPr>
        <w:spacing w:after="0" w:line="194" w:lineRule="exact"/>
        <w:rPr>
          <w:sz w:val="20"/>
          <w:szCs w:val="20"/>
          <w:color w:val="auto"/>
        </w:rPr>
      </w:pPr>
    </w:p>
    <w:p>
      <w:pPr>
        <w:ind w:firstLine="576"/>
        <w:spacing w:after="0" w:line="277" w:lineRule="auto"/>
        <w:rPr>
          <w:sz w:val="20"/>
          <w:szCs w:val="20"/>
          <w:color w:val="auto"/>
        </w:rPr>
      </w:pPr>
      <w:r>
        <w:rPr>
          <w:rFonts w:ascii="Arial" w:cs="Arial" w:eastAsia="Arial" w:hAnsi="Arial"/>
          <w:sz w:val="15"/>
          <w:szCs w:val="15"/>
          <w:color w:val="auto"/>
        </w:rPr>
        <w:t>Equity-based compensation may be granted in any form permitted under our share incentive plan in effect from time to time and shall be made in accordance with the terms of such share incentive plan. Equity-based compensation to office holders shall be granted from time to time and be individually determined and awarded according to the performance, educational background, prior business experience, qualifications, role and the personal responsibilities of each officer. The vesting period will generally be four years, with the vesting schedule to be determined in accordance with market compensation trends. Our policy is to grant equity-based compensation with exercise prices at market value. Furthermore, in order to create a ceiling for the variable compensation: (1) the aggregate value of annual grants to any one office holder (based on the Black Scholes calculation on the date of grant) will be no more than the higher of 2% of our market capitalization at the end of the measurement period or $1.5 million; and (2) it is our intention that the maximum outstanding equity awards under its share incentive plan will not exceed 12% of our total fully-diluted share capital. Our board of directors may, following approval by our compensation committee, make provisions with respect to the acceleration of the vesting period of any office holder's awards, including, without limitation, in connection with a corporate transaction involving a change of control.</w:t>
      </w:r>
    </w:p>
    <w:p>
      <w:pPr>
        <w:spacing w:after="0" w:line="205" w:lineRule="exact"/>
        <w:rPr>
          <w:sz w:val="20"/>
          <w:szCs w:val="20"/>
          <w:color w:val="auto"/>
        </w:rPr>
      </w:pPr>
    </w:p>
    <w:p>
      <w:pPr>
        <w:ind w:right="160" w:firstLine="576"/>
        <w:spacing w:after="0" w:line="268" w:lineRule="auto"/>
        <w:rPr>
          <w:sz w:val="20"/>
          <w:szCs w:val="20"/>
          <w:color w:val="auto"/>
        </w:rPr>
      </w:pPr>
      <w:r>
        <w:rPr>
          <w:rFonts w:ascii="Arial" w:cs="Arial" w:eastAsia="Arial" w:hAnsi="Arial"/>
          <w:sz w:val="16"/>
          <w:szCs w:val="16"/>
          <w:color w:val="auto"/>
        </w:rPr>
        <w:t>We have also established a defined ratio between the variable and the fixed components of compensation, as well as a maximum amount for all variable components as of the date on which they are paid (or as of the grant date for non-cash variable equity components), and subject to the limitations on variable compensation components which are set out in the Compensation Policy.</w:t>
      </w:r>
    </w:p>
    <w:p>
      <w:pPr>
        <w:spacing w:after="0" w:line="212" w:lineRule="exact"/>
        <w:rPr>
          <w:sz w:val="20"/>
          <w:szCs w:val="20"/>
          <w:color w:val="auto"/>
        </w:rPr>
      </w:pPr>
    </w:p>
    <w:p>
      <w:pPr>
        <w:ind w:right="160" w:firstLine="576"/>
        <w:spacing w:after="0" w:line="294" w:lineRule="auto"/>
        <w:rPr>
          <w:sz w:val="20"/>
          <w:szCs w:val="20"/>
          <w:color w:val="auto"/>
        </w:rPr>
      </w:pPr>
      <w:r>
        <w:rPr>
          <w:rFonts w:ascii="Arial" w:cs="Arial" w:eastAsia="Arial" w:hAnsi="Arial"/>
          <w:sz w:val="15"/>
          <w:szCs w:val="15"/>
          <w:color w:val="auto"/>
        </w:rPr>
        <w:t>In addition, we have established guidelines under which an office holder will refund to us part of the compensation received, if it was paid based on information that was retroactively restated in our financial reports. Office holders shall be required to make restitution for any payments made based on our operating performance, if such payments were based on false or restated financial statements prepared at any time during the three years preceding discovery of the error.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0" w:name="page91"/>
    <w:bookmarkEnd w:id="90"/>
    <w:p>
      <w:pPr>
        <w:ind w:right="260" w:firstLine="576"/>
        <w:spacing w:after="0" w:line="261" w:lineRule="auto"/>
        <w:rPr>
          <w:sz w:val="20"/>
          <w:szCs w:val="20"/>
          <w:color w:val="auto"/>
        </w:rPr>
      </w:pPr>
      <w:r>
        <w:rPr>
          <w:rFonts w:ascii="Arial" w:cs="Arial" w:eastAsia="Arial" w:hAnsi="Arial"/>
          <w:sz w:val="16"/>
          <w:szCs w:val="16"/>
          <w:color w:val="auto"/>
        </w:rPr>
        <w:t>All compensation arrangements of office holders are to be approved in the manner prescribed by applicable law. Our Compensation Committee will review the Compensation Policy on an annual basis, and monitor its implementation, and recommend to our Board of Directors and shareholders to amend the Policy as it deems necessary from time to time. The term of the Compensation Policy is three years from the date of its adoption, or July 5, 2019. Following such three-year term, the Compensation Policy, including any revisions recommended by our Compensation Committee and approved by our Board of Directors, as applicable, will be brought once again to the shareholders for approval.</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Committee</w:t>
      </w:r>
    </w:p>
    <w:p>
      <w:pPr>
        <w:spacing w:after="0" w:line="258" w:lineRule="exact"/>
        <w:rPr>
          <w:sz w:val="20"/>
          <w:szCs w:val="20"/>
          <w:color w:val="auto"/>
        </w:rPr>
      </w:pPr>
    </w:p>
    <w:p>
      <w:pPr>
        <w:ind w:right="260" w:firstLine="584"/>
        <w:spacing w:after="0" w:line="283" w:lineRule="auto"/>
        <w:rPr>
          <w:sz w:val="20"/>
          <w:szCs w:val="20"/>
          <w:color w:val="auto"/>
        </w:rPr>
      </w:pPr>
      <w:r>
        <w:rPr>
          <w:rFonts w:ascii="Arial" w:cs="Arial" w:eastAsia="Arial" w:hAnsi="Arial"/>
          <w:sz w:val="16"/>
          <w:szCs w:val="16"/>
          <w:color w:val="auto"/>
        </w:rPr>
        <w:t>Our Board of Directors does not currently have a nominating committee, having availed BioLineRx of the exemption available to foreign private issuers under the Marketplace Rules of the Nasdaq Stock Market. See "Item 16G.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Monitoring Committee</w:t>
      </w:r>
    </w:p>
    <w:p>
      <w:pPr>
        <w:spacing w:after="0" w:line="258"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Our Board of Directors has established an Investment Monitoring Committee which until the end of 2016 consisted of the following four members: Directors Michael Anghel (Chairman) and Nurit Benjamini; Philip Serlin, our Chief Executive Officer; and Raziel Fried, our Budget Control Manager and Treasurer. Beginning in 2017, Mali Zeevi, our Chief Financial Officer, replaced Mr. Serlin as member of the Committee. The function of the Investment Monitoring Committee includes providing recommendations to our Board of Directors regarding investment guidelines and performing an on-going review of the fulfillment of established investment guidelines. The Investment Monitoring Committee convenes for a meeting in accordance with our needs, but in any event at least twice per year. The Investment Monitoring Committee reports to our Board of Directors on a semi-annual basis.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Auditor</w:t>
      </w:r>
    </w:p>
    <w:p>
      <w:pPr>
        <w:spacing w:after="0" w:line="258" w:lineRule="exact"/>
        <w:rPr>
          <w:sz w:val="20"/>
          <w:szCs w:val="20"/>
          <w:color w:val="auto"/>
        </w:rPr>
      </w:pPr>
    </w:p>
    <w:p>
      <w:pPr>
        <w:ind w:right="80" w:firstLine="584"/>
        <w:spacing w:after="0" w:line="283" w:lineRule="auto"/>
        <w:rPr>
          <w:sz w:val="20"/>
          <w:szCs w:val="20"/>
          <w:color w:val="auto"/>
        </w:rPr>
      </w:pPr>
      <w:r>
        <w:rPr>
          <w:rFonts w:ascii="Arial" w:cs="Arial" w:eastAsia="Arial" w:hAnsi="Arial"/>
          <w:sz w:val="16"/>
          <w:szCs w:val="16"/>
          <w:color w:val="auto"/>
        </w:rPr>
        <w:t>Under the Companies Law, the board of directors of an Israeli public company must appoint an internal auditor recommended by the audit committee and nominated by the board of directors. An internal auditor may not be:</w:t>
      </w:r>
    </w:p>
    <w:p>
      <w:pPr>
        <w:spacing w:after="0" w:line="199" w:lineRule="exact"/>
        <w:rPr>
          <w:sz w:val="20"/>
          <w:szCs w:val="20"/>
          <w:color w:val="auto"/>
        </w:rPr>
      </w:pPr>
    </w:p>
    <w:p>
      <w:pPr>
        <w:ind w:left="1160" w:hanging="578"/>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person (or a relative of a person) who holds more than 5% of the company's shares;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executive officer or director of the company; or</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member of the company's independent accounting firm.</w:t>
      </w:r>
    </w:p>
    <w:p>
      <w:pPr>
        <w:spacing w:after="0" w:line="254" w:lineRule="exact"/>
        <w:rPr>
          <w:sz w:val="20"/>
          <w:szCs w:val="20"/>
          <w:color w:val="auto"/>
        </w:rPr>
      </w:pPr>
    </w:p>
    <w:p>
      <w:pPr>
        <w:ind w:right="120" w:firstLine="584"/>
        <w:spacing w:after="0" w:line="283" w:lineRule="auto"/>
        <w:rPr>
          <w:sz w:val="20"/>
          <w:szCs w:val="20"/>
          <w:color w:val="auto"/>
        </w:rPr>
      </w:pPr>
      <w:r>
        <w:rPr>
          <w:rFonts w:ascii="Arial" w:cs="Arial" w:eastAsia="Arial" w:hAnsi="Arial"/>
          <w:sz w:val="16"/>
          <w:szCs w:val="16"/>
          <w:color w:val="auto"/>
        </w:rPr>
        <w:t>The role of the internal auditor is to examine, among other things, our compliance with applicable law and orderly business procedures. Our internal auditor is Linur Dloomy, CPA (Israel), a partner of Brightman Almagor Zohar &amp; Co. (a member firm of Deloitte Touche Tohmatsu Limited).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Fiduciary duties of office holders</w:t>
      </w:r>
    </w:p>
    <w:p>
      <w:pPr>
        <w:spacing w:after="0" w:line="254"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The Companies Law imposes a duty of care and a duty of loyalty on all office holders of a company. The duty of care of an office holder is based on the duty of care set forth in connection with the tort of negligence under the Israeli Torts Ordinance (New Version) 5728-1968. This duty of care requires an office holder to act with the degree of proficiency with which a reasonable office holder in the same position would have acted under the same circumstances. The duty of care includes a duty to use reasonable means, in light of the circumstances, to obtain:</w:t>
      </w:r>
    </w:p>
    <w:p>
      <w:pPr>
        <w:spacing w:after="0" w:line="216" w:lineRule="exact"/>
        <w:rPr>
          <w:sz w:val="20"/>
          <w:szCs w:val="20"/>
          <w:color w:val="auto"/>
        </w:rPr>
      </w:pPr>
    </w:p>
    <w:p>
      <w:pPr>
        <w:ind w:left="1160" w:hanging="578"/>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other important information pertaining to these actions.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91" w:name="page92"/>
    <w:bookmarkEnd w:id="91"/>
    <w:p>
      <w:pPr>
        <w:ind w:left="580"/>
        <w:spacing w:after="0"/>
        <w:rPr>
          <w:sz w:val="20"/>
          <w:szCs w:val="20"/>
          <w:color w:val="auto"/>
        </w:rPr>
      </w:pPr>
      <w:r>
        <w:rPr>
          <w:rFonts w:ascii="Arial" w:cs="Arial" w:eastAsia="Arial" w:hAnsi="Arial"/>
          <w:sz w:val="16"/>
          <w:szCs w:val="16"/>
          <w:color w:val="auto"/>
        </w:rPr>
        <w:t>The duty of loyalty requires an office holder to act in good faith and for the benefit of the company, and includes the duty to:</w:t>
      </w:r>
    </w:p>
    <w:p>
      <w:pPr>
        <w:spacing w:after="0" w:line="254" w:lineRule="exact"/>
        <w:rPr>
          <w:sz w:val="20"/>
          <w:szCs w:val="20"/>
          <w:color w:val="auto"/>
        </w:rPr>
      </w:pPr>
    </w:p>
    <w:p>
      <w:pPr>
        <w:ind w:left="1160" w:right="480" w:hanging="578"/>
        <w:spacing w:after="0" w:line="283" w:lineRule="auto"/>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refrain from any act involving a conflict of interest between the performance of his or her duties in the company and his or her other duties or personal affairs;</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refrain from any activity that is competitive with the business of the company;</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refrain from exploiting any business opportunity of the company for the purpose of gaining a personal advantage for himself or herself or others; and</w:t>
      </w:r>
    </w:p>
    <w:p>
      <w:pPr>
        <w:spacing w:after="0" w:line="265" w:lineRule="exact"/>
        <w:rPr>
          <w:rFonts w:ascii="Arial" w:cs="Arial" w:eastAsia="Arial" w:hAnsi="Arial"/>
          <w:sz w:val="15"/>
          <w:szCs w:val="15"/>
          <w:color w:val="auto"/>
        </w:rPr>
      </w:pPr>
    </w:p>
    <w:p>
      <w:pPr>
        <w:ind w:left="1160" w:right="180" w:hanging="578"/>
        <w:spacing w:after="0" w:line="283" w:lineRule="auto"/>
        <w:tabs>
          <w:tab w:leader="none" w:pos="11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disclose to the company any information or documents relating to the company's affairs which the office holder received as a result of his or her position as an office holder.</w:t>
      </w:r>
    </w:p>
    <w:p>
      <w:pPr>
        <w:spacing w:after="0" w:line="199"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color w:val="auto"/>
        </w:rPr>
        <w:t>We may approve an act performed in breach of the duty of loyalty of an office holder provided that the office holder acted in good faith, the act or its approval does not harm the company, and the office holder discloses his or her personal interest, as described below.</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Disclosure of personal interests of an office holder and approval of acts and transactions</w:t>
      </w:r>
    </w:p>
    <w:p>
      <w:pPr>
        <w:spacing w:after="0" w:line="254" w:lineRule="exact"/>
        <w:rPr>
          <w:sz w:val="20"/>
          <w:szCs w:val="20"/>
          <w:color w:val="auto"/>
        </w:rPr>
      </w:pPr>
    </w:p>
    <w:p>
      <w:pPr>
        <w:ind w:firstLine="584"/>
        <w:spacing w:after="0" w:line="286" w:lineRule="auto"/>
        <w:rPr>
          <w:sz w:val="20"/>
          <w:szCs w:val="20"/>
          <w:color w:val="auto"/>
        </w:rPr>
      </w:pPr>
      <w:r>
        <w:rPr>
          <w:rFonts w:ascii="Arial" w:cs="Arial" w:eastAsia="Arial" w:hAnsi="Arial"/>
          <w:sz w:val="15"/>
          <w:szCs w:val="15"/>
          <w:color w:val="auto"/>
        </w:rPr>
        <w:t>The Companies Law requires that an office holder promptly disclose to the company any personal interest that he or she may have and all related material information or documents relating to any existing or proposed transaction by the company. An interested office holder's disclosure must be made promptly and in any event no later than the first meeting of the board of directors at which the transaction is considered. An office holder is not obliged to disclose such information if the personal interest of the office holder derives solely from the personal interest of his or her relative in a transaction that is not considered as an extraordinary transaction.</w:t>
      </w:r>
    </w:p>
    <w:p>
      <w:pPr>
        <w:spacing w:after="0" w:line="201" w:lineRule="exact"/>
        <w:rPr>
          <w:sz w:val="20"/>
          <w:szCs w:val="20"/>
          <w:color w:val="auto"/>
        </w:rPr>
      </w:pPr>
    </w:p>
    <w:p>
      <w:pPr>
        <w:ind w:right="40" w:firstLine="584"/>
        <w:spacing w:after="0" w:line="260" w:lineRule="auto"/>
        <w:rPr>
          <w:sz w:val="20"/>
          <w:szCs w:val="20"/>
          <w:color w:val="auto"/>
        </w:rPr>
      </w:pPr>
      <w:r>
        <w:rPr>
          <w:rFonts w:ascii="Arial" w:cs="Arial" w:eastAsia="Arial" w:hAnsi="Arial"/>
          <w:sz w:val="16"/>
          <w:szCs w:val="16"/>
          <w:color w:val="auto"/>
        </w:rPr>
        <w:t>The term personal interest is defined under the Companies Law to include the personal interest of a person in an action or in the business of a company, including the personal interest of such person's relative or the interest of any corporation in which the person is an interested party, but excluding a personal interest stemming solely from the fact of holding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his or her relative in a transaction that is not considered an extraordinary transaction.</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Under the Companies Law, an extraordinary transaction which requires approval is defined as any of the following:</w:t>
      </w:r>
    </w:p>
    <w:p>
      <w:pPr>
        <w:spacing w:after="0" w:line="254" w:lineRule="exact"/>
        <w:rPr>
          <w:sz w:val="20"/>
          <w:szCs w:val="20"/>
          <w:color w:val="auto"/>
        </w:rPr>
      </w:pPr>
    </w:p>
    <w:p>
      <w:pPr>
        <w:ind w:left="1160" w:hanging="578"/>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transaction other than in the ordinary course of business;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transaction that is not on market terms; or</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transaction that may have a material impact on the company's profitability, assets or liabilities.</w:t>
      </w:r>
    </w:p>
    <w:p>
      <w:pPr>
        <w:spacing w:after="0" w:line="254"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Under the Companies Law, once an office holder has complied with the disclosure requirement described above, a company may approve a transaction between the company and the office holder or a third party in which the office holder has a personal interest, or approve an action by the office holder that would otherwise be deemed a breach of duty of loyalty. However, a company may not approve a transaction or action that is adverse to the company's interest or that is not performed by the office holder in good faith.</w:t>
      </w:r>
    </w:p>
    <w:p>
      <w:pPr>
        <w:spacing w:after="0" w:line="216" w:lineRule="exact"/>
        <w:rPr>
          <w:sz w:val="20"/>
          <w:szCs w:val="20"/>
          <w:color w:val="auto"/>
        </w:rPr>
      </w:pPr>
    </w:p>
    <w:p>
      <w:pPr>
        <w:ind w:right="20" w:firstLine="584"/>
        <w:spacing w:after="0" w:line="261" w:lineRule="auto"/>
        <w:rPr>
          <w:sz w:val="20"/>
          <w:szCs w:val="20"/>
          <w:color w:val="auto"/>
        </w:rPr>
      </w:pPr>
      <w:r>
        <w:rPr>
          <w:rFonts w:ascii="Arial" w:cs="Arial" w:eastAsia="Arial" w:hAnsi="Arial"/>
          <w:sz w:val="16"/>
          <w:szCs w:val="16"/>
          <w:color w:val="auto"/>
        </w:rPr>
        <w:t>Under the Companies Law, unless the articles of association of a company provide otherwise, a transaction with an office holder, a transaction with a third party in which the office holder has a personal interest, and an action of an office holder that would otherwise be deemed a breach of duty of loyalty requires approval by the board of directors. Our Articles of Association do not provide otherwise. If the transaction or action considered is (i) an extraordinary transaction or (ii) an action of an office holder that would otherwise be deemed a breach of duty of loyalty and may have a material impact on a company's profitability, assets or liabilities, then audit committee approval is required prior to approval by the board of directors.</w:t>
      </w:r>
    </w:p>
    <w:p>
      <w:pPr>
        <w:spacing w:after="0" w:line="217" w:lineRule="exact"/>
        <w:rPr>
          <w:sz w:val="20"/>
          <w:szCs w:val="20"/>
          <w:color w:val="auto"/>
        </w:rPr>
      </w:pPr>
    </w:p>
    <w:p>
      <w:pPr>
        <w:ind w:right="140" w:firstLine="584"/>
        <w:spacing w:after="0" w:line="282" w:lineRule="auto"/>
        <w:rPr>
          <w:sz w:val="20"/>
          <w:szCs w:val="20"/>
          <w:color w:val="auto"/>
        </w:rPr>
      </w:pPr>
      <w:r>
        <w:rPr>
          <w:rFonts w:ascii="Arial" w:cs="Arial" w:eastAsia="Arial" w:hAnsi="Arial"/>
          <w:sz w:val="15"/>
          <w:szCs w:val="15"/>
          <w:color w:val="auto"/>
        </w:rPr>
        <w:t>Under Amendment 20, a transaction with an office holder in a public company regarding his or her terms of office and employment should be determined in accordance with the company's compensation policy. Nonetheless, provisions were established that allow a company, under special circumstances, to approve terms of office and employment that are not in line with the approved compensation policy. Accordingly, pursuant to Amendment 20, the approval requirements for the compensation and/or terms of office of a specific office holder may require the approval of each of the compensation committee, board of directors and the shareholders, in that order. As such, under Amendment 20, the following approvals are required for the following transactions: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2" w:name="page93"/>
    <w:bookmarkEnd w:id="92"/>
    <w:p>
      <w:pPr>
        <w:ind w:firstLine="584"/>
        <w:spacing w:after="0" w:line="277" w:lineRule="auto"/>
        <w:rPr>
          <w:sz w:val="20"/>
          <w:szCs w:val="20"/>
          <w:color w:val="auto"/>
        </w:rPr>
      </w:pPr>
      <w:r>
        <w:rPr>
          <w:rFonts w:ascii="Arial" w:cs="Arial" w:eastAsia="Arial" w:hAnsi="Arial"/>
          <w:sz w:val="15"/>
          <w:szCs w:val="15"/>
          <w:color w:val="auto"/>
        </w:rPr>
        <w:t>A transaction with an office holder in a public company that is neither a director nor the Chief Executive Officer regarding his or her terms of office and employment requires approval by the (i) compensation committee; and (ii) the board of directors. Approval of terms of office and employment for such officers which do not comply with the compensation policy may nonetheless be approved subject to two cumulative conditions: (i) the compensation committee and thereafter the board of directors, approved the terms after having taken into account the various considerations and mandatory requirements set forth in Amendment 20 with respect to office holder compensation, and (ii) the shareholders of the company have approved the terms by means of the following special majority requirements (the "Special Majority Requirements"), as set forth in Amendment 20, pursuant to which the shareholder approval must either include at least one-half of the shares held by non-controlling and disinterested shareholders who actively participate in the voting process (without taking abstaining votes into account), or, alternatively, the total shareholdings of the non-controlling and disinterested shareholders who vote against the transaction must not represent more than two percent of the voting rights in the company.</w:t>
      </w:r>
    </w:p>
    <w:p>
      <w:pPr>
        <w:spacing w:after="0" w:line="209" w:lineRule="exact"/>
        <w:rPr>
          <w:sz w:val="20"/>
          <w:szCs w:val="20"/>
          <w:color w:val="auto"/>
        </w:rPr>
      </w:pPr>
    </w:p>
    <w:p>
      <w:pPr>
        <w:ind w:right="40" w:firstLine="584"/>
        <w:spacing w:after="0" w:line="260" w:lineRule="auto"/>
        <w:rPr>
          <w:sz w:val="20"/>
          <w:szCs w:val="20"/>
          <w:color w:val="auto"/>
        </w:rPr>
      </w:pPr>
      <w:r>
        <w:rPr>
          <w:rFonts w:ascii="Arial" w:cs="Arial" w:eastAsia="Arial" w:hAnsi="Arial"/>
          <w:sz w:val="16"/>
          <w:szCs w:val="16"/>
          <w:color w:val="auto"/>
        </w:rPr>
        <w:t>A transaction with the chief executive officer in a public company regarding his or her terms of office and employment requires approval by the (i) compensation committee; (ii) the board of directors and (iii) the shareholders of the company by the Special Majority Requirements. Approval of terms of office and employment for the chief executive officer which do not comply with the compensation policy may nonetheless be approved subject to two cumulative conditions: (i) the compensation committee and thereafter the board of directors, approved the terms after having taken into account the various considerations and mandatory requirements set forth in Amendment 20 with respect to office holder compensation, and (ii) the shareholders of the company have approved the terms by means of the Special Majority Requirements, as detailed above.</w:t>
      </w:r>
    </w:p>
    <w:p>
      <w:pPr>
        <w:spacing w:after="0" w:line="217" w:lineRule="exact"/>
        <w:rPr>
          <w:sz w:val="20"/>
          <w:szCs w:val="20"/>
          <w:color w:val="auto"/>
        </w:rPr>
      </w:pPr>
    </w:p>
    <w:p>
      <w:pPr>
        <w:ind w:right="220" w:firstLine="584"/>
        <w:spacing w:after="0" w:line="259" w:lineRule="auto"/>
        <w:rPr>
          <w:sz w:val="20"/>
          <w:szCs w:val="20"/>
          <w:color w:val="auto"/>
        </w:rPr>
      </w:pPr>
      <w:r>
        <w:rPr>
          <w:rFonts w:ascii="Arial" w:cs="Arial" w:eastAsia="Arial" w:hAnsi="Arial"/>
          <w:sz w:val="16"/>
          <w:szCs w:val="16"/>
          <w:color w:val="auto"/>
        </w:rPr>
        <w:t>A transaction with an office holder in a public company (including the CEO) who is not a director regarding his or her terms of office and employment may be approved despite shareholder rejection, provided that a company's compensation committee and thereafter the board of directors have determined to approve the proposal, based on detailed reasoning, after having re-examined the terms of office and employment, and taken the shareholder rejection into consideration. In addition, the compensation committee may exempt the transaction regarding terms of office and employment with a CEO who has no relationship with the controlling shareholder or the company from shareholder approval if it has found, based on detailed reasons, that bringing the transaction to the approval of the shareholders meeting shall prevent the employment of such candidate by the company. Such approval may be given only in respect of terms of office and employment which are in accordance with the company's compensation policy.</w:t>
      </w:r>
    </w:p>
    <w:p>
      <w:pPr>
        <w:spacing w:after="0" w:line="217" w:lineRule="exact"/>
        <w:rPr>
          <w:sz w:val="20"/>
          <w:szCs w:val="20"/>
          <w:color w:val="auto"/>
        </w:rPr>
      </w:pPr>
    </w:p>
    <w:p>
      <w:pPr>
        <w:ind w:right="20" w:firstLine="584"/>
        <w:spacing w:after="0" w:line="277" w:lineRule="auto"/>
        <w:rPr>
          <w:sz w:val="20"/>
          <w:szCs w:val="20"/>
          <w:color w:val="auto"/>
        </w:rPr>
      </w:pPr>
      <w:r>
        <w:rPr>
          <w:rFonts w:ascii="Arial" w:cs="Arial" w:eastAsia="Arial" w:hAnsi="Arial"/>
          <w:sz w:val="15"/>
          <w:szCs w:val="15"/>
          <w:color w:val="auto"/>
        </w:rPr>
        <w:t>A transaction with a director in a public company regarding his or her terms of office and employment requires approval by the (i) compensation committee; (ii) the board of directors and (iii) the shareholders of the company. Approval of terms of office and employment for directors of a company which do not comply with the compensation policy may nonetheless be approved subject to two cumulative conditions: (i) the compensation committee and thereafter the board of directors, approved the terms after having taken into account the various considerations and mandatory requirements set forth in Amendment 20 with respect to office holder compensation, and (ii) the shareholders of the company have approved the terms by means of the Special Majority Requirements, as detailed above. In addition, pursuant to a relief provided under the Companies Regulations (Relief in Interested Party Transactions), 2000, the compensation committee may exempt the transaction regarding terms of office and employment with a director, if the compensation committee and board of directors determined that such terms of office are only for the benefit of the company, or if the compensation terms of the director do not exceed the maximum compensation paid to external directors pursuant to the applicable regulations.</w:t>
      </w:r>
    </w:p>
    <w:p>
      <w:pPr>
        <w:spacing w:after="0" w:line="209" w:lineRule="exact"/>
        <w:rPr>
          <w:sz w:val="20"/>
          <w:szCs w:val="20"/>
          <w:color w:val="auto"/>
        </w:rPr>
      </w:pPr>
    </w:p>
    <w:p>
      <w:pPr>
        <w:jc w:val="both"/>
        <w:ind w:right="180" w:firstLine="584"/>
        <w:spacing w:after="0" w:line="263" w:lineRule="auto"/>
        <w:rPr>
          <w:sz w:val="20"/>
          <w:szCs w:val="20"/>
          <w:color w:val="auto"/>
        </w:rPr>
      </w:pPr>
      <w:r>
        <w:rPr>
          <w:rFonts w:ascii="Arial" w:cs="Arial" w:eastAsia="Arial" w:hAnsi="Arial"/>
          <w:sz w:val="16"/>
          <w:szCs w:val="16"/>
          <w:color w:val="auto"/>
        </w:rPr>
        <w:t>A director who has a personal interest in a matter that is considered at a meeting of the board of directors or the audit committee may generally not be present at the meeting or vote on the matter unless a majority of the directors or members of the audit committee have a personal interest in the matter, or, unless the chairman of the audit committee or board of directors (as applicable) determines that he or she should be present to present the transaction that is subject to approval. If a majority of the directors have a personal interest in the matter, such matter also requires approval of the shareholders of the company.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3" w:name="page94"/>
    <w:bookmarkEnd w:id="93"/>
    <w:p>
      <w:pPr>
        <w:ind w:left="583"/>
        <w:spacing w:after="0"/>
        <w:rPr>
          <w:sz w:val="20"/>
          <w:szCs w:val="20"/>
          <w:color w:val="auto"/>
        </w:rPr>
      </w:pPr>
      <w:r>
        <w:rPr>
          <w:rFonts w:ascii="Arial" w:cs="Arial" w:eastAsia="Arial" w:hAnsi="Arial"/>
          <w:sz w:val="16"/>
          <w:szCs w:val="16"/>
          <w:b w:val="1"/>
          <w:bCs w:val="1"/>
          <w:i w:val="1"/>
          <w:iCs w:val="1"/>
          <w:color w:val="auto"/>
        </w:rPr>
        <w:t>Disclosure of personal interests of a controlling shareholder and approval of transactions</w:t>
      </w:r>
    </w:p>
    <w:p>
      <w:pPr>
        <w:spacing w:after="0" w:line="254" w:lineRule="exact"/>
        <w:rPr>
          <w:sz w:val="20"/>
          <w:szCs w:val="20"/>
          <w:color w:val="auto"/>
        </w:rPr>
      </w:pPr>
    </w:p>
    <w:p>
      <w:pPr>
        <w:ind w:left="3" w:right="140" w:firstLine="584"/>
        <w:spacing w:after="0" w:line="299" w:lineRule="auto"/>
        <w:rPr>
          <w:sz w:val="20"/>
          <w:szCs w:val="20"/>
          <w:color w:val="auto"/>
        </w:rPr>
      </w:pPr>
      <w:r>
        <w:rPr>
          <w:rFonts w:ascii="Arial" w:cs="Arial" w:eastAsia="Arial" w:hAnsi="Arial"/>
          <w:sz w:val="14"/>
          <w:szCs w:val="14"/>
          <w:color w:val="auto"/>
        </w:rPr>
        <w:t>Under the Companies Law, the disclosure requirements that apply to an office holder also apply to a controlling shareholder of a public company. See "— Audit Committee" for the general definition of controlling shareholder under the Companies Law. The definition of "controlling shareholder" in connection with matters governing:</w:t>
      </w:r>
    </w:p>
    <w:p>
      <w:pPr>
        <w:ind w:left="3" w:hanging="3"/>
        <w:spacing w:after="0" w:line="256" w:lineRule="auto"/>
        <w:tabs>
          <w:tab w:leader="none" w:pos="1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extraordinary transactions with a controlling shareholder or in which a controlling shareholder has a personal interest, (ii) certain private placements in which the controlling shareholder has a personal interest, (iii) certain transactions with a controlling shareholder or relative with respect to services provided to or employment by the company, (iv) the terms of employment and compensation of the general manager, and (v) the terms of employment and compensation of office holders of the company when such terms deviate from the compensation policy previously approved by the company's shareholders, also includes shareholders that hold 25% or more of the voting rights if no other shareholder owns more than 50% of the voting rights in the company (and the holdings of two or more shareholders which each have a personal interest in such matter will be aggregated for the purposes of determining such threshold).</w:t>
      </w:r>
    </w:p>
    <w:p>
      <w:pPr>
        <w:spacing w:after="0" w:line="223" w:lineRule="exact"/>
        <w:rPr>
          <w:sz w:val="20"/>
          <w:szCs w:val="20"/>
          <w:color w:val="auto"/>
        </w:rPr>
      </w:pPr>
    </w:p>
    <w:p>
      <w:pPr>
        <w:ind w:left="3" w:right="60" w:firstLine="584"/>
        <w:spacing w:after="0" w:line="259" w:lineRule="auto"/>
        <w:rPr>
          <w:sz w:val="20"/>
          <w:szCs w:val="20"/>
          <w:color w:val="auto"/>
        </w:rPr>
      </w:pPr>
      <w:r>
        <w:rPr>
          <w:rFonts w:ascii="Arial" w:cs="Arial" w:eastAsia="Arial" w:hAnsi="Arial"/>
          <w:sz w:val="16"/>
          <w:szCs w:val="16"/>
          <w:color w:val="auto"/>
        </w:rPr>
        <w:t>Under Amendment 20, extraordinary transactions with a controlling shareholder or in which a controlling shareholder has a personal interest, including a private placement in which a controlling shareholder has a personal interest, as well as transactions for the provision of services whether directly or indirectly by a controlling shareholder or his or her relative, or a company such controlling shareholder controls, require the approval of the audit committee, the board of directors and the shareholders, in that order. Extraordinary Transactions concerning the terms of engagement of a controlling shareholder or a controlling shareholder's relative, whether as an office holder or an employee, require the approval of the compensation committee, the board of directors and the shareholders, in that order. In addition, the approval of such extraordinary transactions by the shareholders require at least a majority of the shares voted by the shareholders of the company participating and voting in a shareholders' meeting, provided that one of the following requirements is fulfilled:</w:t>
      </w:r>
    </w:p>
    <w:p>
      <w:pPr>
        <w:spacing w:after="0" w:line="217" w:lineRule="exact"/>
        <w:rPr>
          <w:sz w:val="20"/>
          <w:szCs w:val="20"/>
          <w:color w:val="auto"/>
        </w:rPr>
      </w:pPr>
    </w:p>
    <w:p>
      <w:pPr>
        <w:ind w:left="1163" w:right="100" w:hanging="578"/>
        <w:spacing w:after="0" w:line="283" w:lineRule="auto"/>
        <w:tabs>
          <w:tab w:leader="none" w:pos="11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at least a majority of the shares held by shareholders who have no personal interest in the transaction and are voting at the meeting must be voted in favor of approving the transaction, excluding abstentions; or</w:t>
      </w:r>
    </w:p>
    <w:p>
      <w:pPr>
        <w:spacing w:after="0" w:line="199" w:lineRule="exact"/>
        <w:rPr>
          <w:rFonts w:ascii="Arial" w:cs="Arial" w:eastAsia="Arial" w:hAnsi="Arial"/>
          <w:sz w:val="16"/>
          <w:szCs w:val="16"/>
          <w:color w:val="auto"/>
        </w:rPr>
      </w:pPr>
    </w:p>
    <w:p>
      <w:pPr>
        <w:ind w:left="1163" w:right="220" w:hanging="578"/>
        <w:spacing w:after="0" w:line="283" w:lineRule="auto"/>
        <w:tabs>
          <w:tab w:leader="none" w:pos="11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shares voted by shareholders who have no personal interest in the transaction who vote against the transaction represent no more than 2% of the voting rights in the company.</w:t>
      </w:r>
    </w:p>
    <w:p>
      <w:pPr>
        <w:spacing w:after="0" w:line="199" w:lineRule="exact"/>
        <w:rPr>
          <w:sz w:val="20"/>
          <w:szCs w:val="20"/>
          <w:color w:val="auto"/>
        </w:rPr>
      </w:pPr>
    </w:p>
    <w:p>
      <w:pPr>
        <w:ind w:left="3" w:right="40" w:firstLine="584"/>
        <w:spacing w:after="0" w:line="280" w:lineRule="auto"/>
        <w:rPr>
          <w:sz w:val="20"/>
          <w:szCs w:val="20"/>
          <w:color w:val="auto"/>
        </w:rPr>
      </w:pPr>
      <w:r>
        <w:rPr>
          <w:rFonts w:ascii="Arial" w:cs="Arial" w:eastAsia="Arial" w:hAnsi="Arial"/>
          <w:sz w:val="15"/>
          <w:szCs w:val="15"/>
          <w:color w:val="auto"/>
        </w:rPr>
        <w:t>If such extraordinary transaction concerns the terms of office and employment of such controlling shareholder, in his capacity as an office holder or an employee of the company, such terms of office and employment approved by the compensation committee and board of directors shall be in accordance with the compensation policy of the company. Nonetheless, the compensation committee and the board of directors may approve terms of office and compensation of a controlling shareholder and which do not comply with the company's compensation policy, provided that the compensation committee and, thereafter, the board of directors approve such terms, based on, among other things, the considerations listed under Section 267B(a) and Parts A and B of Annex 1A of the Companies Law, as those are described above. Following such approval by the compensation committee and board of directors, shareholder approval would be required.</w:t>
      </w:r>
    </w:p>
    <w:p>
      <w:pPr>
        <w:spacing w:after="0" w:line="205" w:lineRule="exact"/>
        <w:rPr>
          <w:sz w:val="20"/>
          <w:szCs w:val="20"/>
          <w:color w:val="auto"/>
        </w:rPr>
      </w:pPr>
    </w:p>
    <w:p>
      <w:pPr>
        <w:jc w:val="both"/>
        <w:ind w:left="3" w:right="180" w:firstLine="584"/>
        <w:spacing w:after="0" w:line="268" w:lineRule="auto"/>
        <w:rPr>
          <w:sz w:val="20"/>
          <w:szCs w:val="20"/>
          <w:color w:val="auto"/>
        </w:rPr>
      </w:pPr>
      <w:r>
        <w:rPr>
          <w:rFonts w:ascii="Arial" w:cs="Arial" w:eastAsia="Arial" w:hAnsi="Arial"/>
          <w:sz w:val="16"/>
          <w:szCs w:val="16"/>
          <w:color w:val="auto"/>
        </w:rPr>
        <w:t>To the extent that any such transaction with a controlling shareholder is for a period extending beyond three years, approval, in the same manner described above, is required once every three years, unless, with respect to extraordinary transactions with a controlling shareholder or in which a controlling shareholder has a personal interest, the audit committee determines that the duration of the transaction is reasonable given the circumstances related thereto.</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Duties of shareholders</w:t>
      </w:r>
    </w:p>
    <w:p>
      <w:pPr>
        <w:spacing w:after="0" w:line="258" w:lineRule="exact"/>
        <w:rPr>
          <w:sz w:val="20"/>
          <w:szCs w:val="20"/>
          <w:color w:val="auto"/>
        </w:rPr>
      </w:pPr>
    </w:p>
    <w:p>
      <w:pPr>
        <w:ind w:left="3" w:right="300" w:firstLine="584"/>
        <w:spacing w:after="0" w:line="268" w:lineRule="auto"/>
        <w:rPr>
          <w:sz w:val="20"/>
          <w:szCs w:val="20"/>
          <w:color w:val="auto"/>
        </w:rPr>
      </w:pPr>
      <w:r>
        <w:rPr>
          <w:rFonts w:ascii="Arial" w:cs="Arial" w:eastAsia="Arial" w:hAnsi="Arial"/>
          <w:sz w:val="16"/>
          <w:szCs w:val="16"/>
          <w:color w:val="auto"/>
        </w:rPr>
        <w:t>Under the Companies Law, a shareholder has a duty to refrain from abusing its power in the company and to act in good faith and in an acceptable manner in exercising its rights and performing its obligations to the company and other shareholders, including, among other things, voting at general meetings of shareholders on the following matters:</w:t>
      </w:r>
    </w:p>
    <w:p>
      <w:pPr>
        <w:spacing w:after="0" w:line="212" w:lineRule="exact"/>
        <w:rPr>
          <w:sz w:val="20"/>
          <w:szCs w:val="20"/>
          <w:color w:val="auto"/>
        </w:rPr>
      </w:pPr>
    </w:p>
    <w:p>
      <w:pPr>
        <w:ind w:left="1163" w:hanging="578"/>
        <w:spacing w:after="0"/>
        <w:tabs>
          <w:tab w:leader="none" w:pos="1163"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amendment to the articles of association;</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increase in the company's authorized share capital;</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merger; and</w:t>
      </w:r>
    </w:p>
    <w:p>
      <w:pPr>
        <w:spacing w:after="0" w:line="200" w:lineRule="exact"/>
        <w:rPr>
          <w:sz w:val="20"/>
          <w:szCs w:val="20"/>
          <w:color w:val="auto"/>
        </w:rPr>
      </w:pPr>
    </w:p>
    <w:p>
      <w:pPr>
        <w:spacing w:after="0" w:line="21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94" w:name="page95"/>
    <w:bookmarkEnd w:id="94"/>
    <w:p>
      <w:pPr>
        <w:ind w:left="580" w:right="3700" w:firstLine="2"/>
        <w:spacing w:after="0" w:line="609" w:lineRule="auto"/>
        <w:tabs>
          <w:tab w:leader="none" w:pos="1164"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right="120" w:firstLine="584"/>
        <w:spacing w:after="0" w:line="283" w:lineRule="auto"/>
        <w:rPr>
          <w:sz w:val="20"/>
          <w:szCs w:val="20"/>
          <w:color w:val="auto"/>
        </w:rPr>
      </w:pPr>
      <w:r>
        <w:rPr>
          <w:rFonts w:ascii="Arial" w:cs="Arial" w:eastAsia="Arial" w:hAnsi="Arial"/>
          <w:sz w:val="16"/>
          <w:szCs w:val="16"/>
          <w:color w:val="auto"/>
        </w:rPr>
        <w:t>The remedies generally available upon a breach of contract will also apply to a breach of the above mentioned duties, and in the event of discrimination against other shareholders, additional remedies are available to the injured shareholder.</w:t>
      </w:r>
    </w:p>
    <w:p>
      <w:pPr>
        <w:spacing w:after="0" w:line="199" w:lineRule="exact"/>
        <w:rPr>
          <w:sz w:val="20"/>
          <w:szCs w:val="20"/>
          <w:color w:val="auto"/>
        </w:rPr>
      </w:pPr>
    </w:p>
    <w:p>
      <w:pPr>
        <w:jc w:val="both"/>
        <w:ind w:right="140" w:firstLine="584"/>
        <w:spacing w:after="0" w:line="286" w:lineRule="auto"/>
        <w:rPr>
          <w:sz w:val="20"/>
          <w:szCs w:val="20"/>
          <w:color w:val="auto"/>
        </w:rPr>
      </w:pPr>
      <w:r>
        <w:rPr>
          <w:rFonts w:ascii="Arial" w:cs="Arial" w:eastAsia="Arial" w:hAnsi="Arial"/>
          <w:sz w:val="15"/>
          <w:szCs w:val="15"/>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Exculpation, insurance and indemnification of office holders</w:t>
      </w:r>
    </w:p>
    <w:p>
      <w:pPr>
        <w:spacing w:after="0" w:line="258" w:lineRule="exact"/>
        <w:rPr>
          <w:sz w:val="20"/>
          <w:szCs w:val="20"/>
          <w:color w:val="auto"/>
        </w:rPr>
      </w:pPr>
    </w:p>
    <w:p>
      <w:pPr>
        <w:jc w:val="both"/>
        <w:ind w:right="260" w:firstLine="584"/>
        <w:spacing w:after="0" w:line="263" w:lineRule="auto"/>
        <w:rPr>
          <w:sz w:val="20"/>
          <w:szCs w:val="20"/>
          <w:color w:val="auto"/>
        </w:rPr>
      </w:pPr>
      <w:r>
        <w:rPr>
          <w:rFonts w:ascii="Arial" w:cs="Arial" w:eastAsia="Arial" w:hAnsi="Arial"/>
          <w:sz w:val="16"/>
          <w:szCs w:val="16"/>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w:t>
      </w:r>
    </w:p>
    <w:p>
      <w:pPr>
        <w:spacing w:after="0" w:line="216" w:lineRule="exact"/>
        <w:rPr>
          <w:sz w:val="20"/>
          <w:szCs w:val="20"/>
          <w:color w:val="auto"/>
        </w:rPr>
      </w:pPr>
    </w:p>
    <w:p>
      <w:pPr>
        <w:ind w:right="500" w:firstLine="584"/>
        <w:spacing w:after="0" w:line="283" w:lineRule="auto"/>
        <w:rPr>
          <w:sz w:val="20"/>
          <w:szCs w:val="20"/>
          <w:color w:val="auto"/>
        </w:rPr>
      </w:pPr>
      <w:r>
        <w:rPr>
          <w:rFonts w:ascii="Arial" w:cs="Arial" w:eastAsia="Arial" w:hAnsi="Arial"/>
          <w:sz w:val="16"/>
          <w:szCs w:val="16"/>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99" w:lineRule="exact"/>
        <w:rPr>
          <w:sz w:val="20"/>
          <w:szCs w:val="20"/>
          <w:color w:val="auto"/>
        </w:rPr>
      </w:pPr>
    </w:p>
    <w:p>
      <w:pPr>
        <w:ind w:left="1160" w:hanging="578"/>
        <w:spacing w:after="0" w:line="261" w:lineRule="auto"/>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financial liability imposed on him or her in favor of another person pursuant to a judgment,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217" w:lineRule="exact"/>
        <w:rPr>
          <w:rFonts w:ascii="Arial" w:cs="Arial" w:eastAsia="Arial" w:hAnsi="Arial"/>
          <w:sz w:val="16"/>
          <w:szCs w:val="16"/>
          <w:color w:val="auto"/>
        </w:rPr>
      </w:pPr>
    </w:p>
    <w:p>
      <w:pPr>
        <w:ind w:left="1160" w:right="100" w:hanging="578"/>
        <w:spacing w:after="0" w:line="261" w:lineRule="auto"/>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as a result of an investigation or proceeding instituted against him or her by an authority authorized to conduct such investigation or proceeding, provided that (1) no indictment was filed against such office holder as a result of such investigation or proceeding; and (2)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w:t>
      </w:r>
    </w:p>
    <w:p>
      <w:pPr>
        <w:spacing w:after="0" w:line="217" w:lineRule="exact"/>
        <w:rPr>
          <w:rFonts w:ascii="Arial" w:cs="Arial" w:eastAsia="Arial" w:hAnsi="Arial"/>
          <w:sz w:val="16"/>
          <w:szCs w:val="16"/>
          <w:color w:val="auto"/>
        </w:rPr>
      </w:pPr>
    </w:p>
    <w:p>
      <w:pPr>
        <w:ind w:left="1160" w:right="200" w:hanging="578"/>
        <w:spacing w:after="0" w:line="268" w:lineRule="auto"/>
        <w:tabs>
          <w:tab w:leader="none" w:pos="11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12" w:lineRule="exact"/>
        <w:rPr>
          <w:sz w:val="20"/>
          <w:szCs w:val="20"/>
          <w:color w:val="auto"/>
        </w:rPr>
      </w:pPr>
    </w:p>
    <w:p>
      <w:pPr>
        <w:ind w:right="340" w:firstLine="584"/>
        <w:spacing w:after="0" w:line="283" w:lineRule="auto"/>
        <w:rPr>
          <w:sz w:val="20"/>
          <w:szCs w:val="20"/>
          <w:color w:val="auto"/>
        </w:rPr>
      </w:pPr>
      <w:r>
        <w:rPr>
          <w:rFonts w:ascii="Arial" w:cs="Arial" w:eastAsia="Arial" w:hAnsi="Arial"/>
          <w:sz w:val="16"/>
          <w:szCs w:val="16"/>
          <w:color w:val="auto"/>
        </w:rPr>
        <w:t>An Israeli company may insure an office holder against the following liabilities incurred for acts performed as an office holder if and to the extent provided in the company's articles of association:</w:t>
      </w:r>
    </w:p>
    <w:p>
      <w:pPr>
        <w:spacing w:after="0" w:line="199" w:lineRule="exact"/>
        <w:rPr>
          <w:sz w:val="20"/>
          <w:szCs w:val="20"/>
          <w:color w:val="auto"/>
        </w:rPr>
      </w:pPr>
    </w:p>
    <w:p>
      <w:pPr>
        <w:ind w:left="1160" w:right="100" w:hanging="578"/>
        <w:spacing w:after="0" w:line="283" w:lineRule="auto"/>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breach of duty of loyalty to the company, to the extent that the office holder acted in good faith and had a reasonable basis to believe that the act would not prejudice the company;</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breach of duty of care to the company or to a third party, including a breach arising out of the negligent conduct of the office holder; and</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financial liability imposed on the office holder in favor of a third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5" w:name="page96"/>
    <w:bookmarkEnd w:id="95"/>
    <w:p>
      <w:pPr>
        <w:ind w:left="580"/>
        <w:spacing w:after="0"/>
        <w:rPr>
          <w:sz w:val="20"/>
          <w:szCs w:val="20"/>
          <w:color w:val="auto"/>
        </w:rPr>
      </w:pPr>
      <w:r>
        <w:rPr>
          <w:rFonts w:ascii="Arial" w:cs="Arial" w:eastAsia="Arial" w:hAnsi="Arial"/>
          <w:sz w:val="16"/>
          <w:szCs w:val="16"/>
          <w:color w:val="auto"/>
        </w:rPr>
        <w:t>An Israeli company may not indemnify or insure an office holder against any of the following:</w:t>
      </w:r>
    </w:p>
    <w:p>
      <w:pPr>
        <w:spacing w:after="0" w:line="254" w:lineRule="exact"/>
        <w:rPr>
          <w:sz w:val="20"/>
          <w:szCs w:val="20"/>
          <w:color w:val="auto"/>
        </w:rPr>
      </w:pPr>
    </w:p>
    <w:p>
      <w:pPr>
        <w:ind w:left="1160" w:right="20" w:hanging="578"/>
        <w:spacing w:after="0" w:line="283" w:lineRule="auto"/>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breach of duty of loyalty, except to the extent that the office holder acted in good faith and had a reasonable basis to believe that the act would not prejudice the company;</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act or omission committed with intent to derive illegal personal benefit; or</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fine or forfeit levied against the office holder.</w:t>
      </w:r>
    </w:p>
    <w:p>
      <w:pPr>
        <w:spacing w:after="0" w:line="254" w:lineRule="exact"/>
        <w:rPr>
          <w:sz w:val="20"/>
          <w:szCs w:val="20"/>
          <w:color w:val="auto"/>
        </w:rPr>
      </w:pPr>
    </w:p>
    <w:p>
      <w:pPr>
        <w:ind w:right="40" w:firstLine="584"/>
        <w:spacing w:after="0" w:line="283" w:lineRule="auto"/>
        <w:rPr>
          <w:sz w:val="20"/>
          <w:szCs w:val="20"/>
          <w:color w:val="auto"/>
        </w:rPr>
      </w:pPr>
      <w:r>
        <w:rPr>
          <w:rFonts w:ascii="Arial" w:cs="Arial" w:eastAsia="Arial" w:hAnsi="Arial"/>
          <w:sz w:val="16"/>
          <w:szCs w:val="16"/>
          <w:color w:val="auto"/>
        </w:rPr>
        <w:t>Under the Companies Law, exculpation, indemnification and insurance of office holders must be approved by the audit committee and the board of directors and, with respect to directors, by shareholders.</w:t>
      </w:r>
    </w:p>
    <w:p>
      <w:pPr>
        <w:spacing w:after="0" w:line="199" w:lineRule="exact"/>
        <w:rPr>
          <w:sz w:val="20"/>
          <w:szCs w:val="20"/>
          <w:color w:val="auto"/>
        </w:rPr>
      </w:pPr>
    </w:p>
    <w:p>
      <w:pPr>
        <w:ind w:right="20" w:firstLine="584"/>
        <w:spacing w:after="0" w:line="259" w:lineRule="auto"/>
        <w:rPr>
          <w:sz w:val="20"/>
          <w:szCs w:val="20"/>
          <w:color w:val="auto"/>
        </w:rPr>
      </w:pPr>
      <w:r>
        <w:rPr>
          <w:rFonts w:ascii="Arial" w:cs="Arial" w:eastAsia="Arial" w:hAnsi="Arial"/>
          <w:sz w:val="16"/>
          <w:szCs w:val="16"/>
          <w:color w:val="auto"/>
        </w:rPr>
        <w:t>An amendment to the Israeli Securities Law and a corresponding amendment to the Companies Law authorize the ISA to impose administrative sanctions against companies like ours, and their office holders for certain violations of the Israeli Securities Law or the Companies Law. These sanctions include monetary sanctions and certain restrictions on serving as a director or senior officer of a public company for certain periods of time. The amendments to the Israeli Securities Law and to the Companies Law provide that only certain types of such liabilities may be reimbursed by indemnification and insurance. Specifically, legal expenses (including attorneys' fees) incurred by an individual in the applicable administrative enforcement proceeding and certain compensation payable to injured parties for damages suffered by them are permitted to be reimbursed via indemnification or insurance, provided that such indemnification and insurance are authorized by the company's articles of association, and receive the requisite corporate approvals.</w:t>
      </w:r>
    </w:p>
    <w:p>
      <w:pPr>
        <w:spacing w:after="0" w:line="169" w:lineRule="exact"/>
        <w:rPr>
          <w:sz w:val="20"/>
          <w:szCs w:val="20"/>
          <w:color w:val="auto"/>
        </w:rPr>
      </w:pPr>
    </w:p>
    <w:p>
      <w:pPr>
        <w:ind w:firstLine="584"/>
        <w:spacing w:after="0" w:line="259" w:lineRule="auto"/>
        <w:rPr>
          <w:sz w:val="20"/>
          <w:szCs w:val="20"/>
          <w:color w:val="auto"/>
        </w:rPr>
      </w:pPr>
      <w:r>
        <w:rPr>
          <w:rFonts w:ascii="Arial" w:cs="Arial" w:eastAsia="Arial" w:hAnsi="Arial"/>
          <w:sz w:val="16"/>
          <w:szCs w:val="16"/>
          <w:color w:val="auto"/>
        </w:rPr>
        <w:t>Our Articles of Association allow us to indemnify and insure our office holders for any liability imposed on them as a consequence of an act (including any omission) which was performed by virtue of being an office holder. In November 2011, our shareholders approved (i) the amendment of our Articles of Association to authorize indemnification and insurance in connection with administrative enforcement proceedings, including without limitation, the specific amendments to the Israeli Securities Law and the Companies Law described above; and (ii) a new form of indemnification letter for our directors and officers so as to reflect the amendment to our Articles of Association, which new form of letter was also approved in October 2011 by our audit committee and board of directors, and in November 2011 by our shareholders. The terms of such agreements are consistent with the provisions of the Compensation Policy which was approved by our shareholders in December 2013 and amended as described in the next paragraph.</w:t>
      </w:r>
    </w:p>
    <w:p>
      <w:pPr>
        <w:spacing w:after="0" w:line="217" w:lineRule="exact"/>
        <w:rPr>
          <w:sz w:val="20"/>
          <w:szCs w:val="20"/>
          <w:color w:val="auto"/>
        </w:rPr>
      </w:pPr>
    </w:p>
    <w:p>
      <w:pPr>
        <w:ind w:right="20" w:firstLine="584"/>
        <w:spacing w:after="0" w:line="275" w:lineRule="auto"/>
        <w:rPr>
          <w:sz w:val="20"/>
          <w:szCs w:val="20"/>
          <w:color w:val="auto"/>
        </w:rPr>
      </w:pPr>
      <w:r>
        <w:rPr>
          <w:rFonts w:ascii="Arial" w:cs="Arial" w:eastAsia="Arial" w:hAnsi="Arial"/>
          <w:sz w:val="15"/>
          <w:szCs w:val="15"/>
          <w:color w:val="auto"/>
        </w:rPr>
        <w:t>Our office holders are currently covered by a directors and officers' liability insurance policy. The terms of such directors' and officers' insurance are consistent with the provisions of the Compensation Policy which was approved by our shareholders in July 2016. The purpose of the amendment was to clarify that we are authorized to purchase insurance policies (including run-off policies) to cover the liability of directors and office holders that are in office at such time and that shall be in office from time to time, including directors and office holders that may have a controlling interest in the Company. Such insurance policies are authorized within the following limits: (1) the premium for each policy period shall not exceed $250,000, (2) the maximum aggregate limit of liability pursuant to the policies shall not exceed $20 million for each insurance period, and (3) the maximum deductible shall not exceed $250,000. In addition, the Compensation Committee is authorized to increase the coverage purchased and/or the premium paid for such policies by up to 20% per year, as compared to the previous year, or cumulatively for a number of years, without an additional shareholders' approval to the extent permitted under the Companies Law. As of the date of this Annual Report on Form 20-F, no claims for directors' and officers' liability insurance have been filed under this policy and we are not aware of any pending or threatened litigation or proceeding involving any of our directors or officers in which indemnification is sought. Pursuant to the approval of our shareholders at the annual general meeting held in September 2014, we carry directors' and officers' insurance covering each of our directors and executive officers for acts and omissions. See also "Related Party Transactions — Indemnification Agreements."</w:t>
      </w:r>
    </w:p>
    <w:p>
      <w:pPr>
        <w:spacing w:after="0" w:line="212" w:lineRule="exact"/>
        <w:rPr>
          <w:sz w:val="20"/>
          <w:szCs w:val="20"/>
          <w:color w:val="auto"/>
        </w:rPr>
      </w:pPr>
    </w:p>
    <w:p>
      <w:pPr>
        <w:ind w:right="200" w:firstLine="584"/>
        <w:spacing w:after="0" w:line="283" w:lineRule="auto"/>
        <w:rPr>
          <w:sz w:val="20"/>
          <w:szCs w:val="20"/>
          <w:color w:val="auto"/>
        </w:rPr>
      </w:pPr>
      <w:r>
        <w:rPr>
          <w:rFonts w:ascii="Arial" w:cs="Arial" w:eastAsia="Arial" w:hAnsi="Arial"/>
          <w:sz w:val="16"/>
          <w:szCs w:val="16"/>
          <w:color w:val="auto"/>
        </w:rPr>
        <w:t>There is no pending litigation or proceeding against any of our directors or officers as to which indemnification is being sought, nor are we aware of any pending or threatened litigation that may result in claims for indemnification by any director or officer.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6" w:name="page97"/>
    <w:bookmarkEnd w:id="96"/>
    <w:p>
      <w:pPr>
        <w:ind w:right="280" w:firstLine="584"/>
        <w:spacing w:after="0" w:line="283" w:lineRule="auto"/>
        <w:rPr>
          <w:sz w:val="20"/>
          <w:szCs w:val="20"/>
          <w:color w:val="auto"/>
        </w:rPr>
      </w:pPr>
      <w:r>
        <w:rPr>
          <w:rFonts w:ascii="Arial" w:cs="Arial" w:eastAsia="Arial" w:hAnsi="Arial"/>
          <w:sz w:val="16"/>
          <w:szCs w:val="16"/>
          <w:color w:val="auto"/>
        </w:rPr>
        <w:t>For significant ways in which our corporate governance practices differ from those required by the Marketplace Rules of the Nasdaq Stock Market, see "Item 16G.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Employees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2016, we had 43 employees, all of whom are employed in Israel. Of our employees, 19 hold M.D. or Ph.D. degrees.</w:t>
      </w:r>
    </w:p>
    <w:p>
      <w:pPr>
        <w:spacing w:after="0" w:line="250"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December 31,</w:t>
      </w:r>
    </w:p>
    <w:p>
      <w:pPr>
        <w:spacing w:after="0" w:line="27" w:lineRule="exact"/>
        <w:rPr>
          <w:sz w:val="20"/>
          <w:szCs w:val="20"/>
          <w:color w:val="auto"/>
        </w:rPr>
      </w:pPr>
    </w:p>
    <w:tbl>
      <w:tblPr>
        <w:tblLayout w:type="fixed"/>
        <w:tblInd w:w="800" w:type="dxa"/>
        <w:tblCellMar>
          <w:top w:w="0" w:type="dxa"/>
          <w:left w:w="0" w:type="dxa"/>
          <w:bottom w:w="0" w:type="dxa"/>
          <w:right w:w="0" w:type="dxa"/>
        </w:tblCellMar>
      </w:tblPr>
      <w:tr>
        <w:trPr>
          <w:trHeight w:val="204"/>
        </w:trPr>
        <w:tc>
          <w:tcPr>
            <w:tcW w:w="6920" w:type="dxa"/>
            <w:vAlign w:val="bottom"/>
            <w:gridSpan w:val="2"/>
          </w:tcPr>
          <w:p>
            <w:pPr>
              <w:spacing w:after="0"/>
              <w:rPr>
                <w:sz w:val="17"/>
                <w:szCs w:val="17"/>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7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and administration</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8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w:t>
            </w: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 w:firstLine="584"/>
        <w:spacing w:after="0" w:line="257" w:lineRule="auto"/>
        <w:rPr>
          <w:sz w:val="20"/>
          <w:szCs w:val="20"/>
          <w:color w:val="auto"/>
        </w:rPr>
      </w:pPr>
      <w:r>
        <w:rPr>
          <w:rFonts w:ascii="Arial" w:cs="Arial" w:eastAsia="Arial" w:hAnsi="Arial"/>
          <w:sz w:val="16"/>
          <w:szCs w:val="16"/>
          <w:color w:val="auto"/>
        </w:rPr>
        <w:t>While none of our employees are party to any collective bargaining agreements, in Israel we are subject to certain labor statutes and national labor court precedent rulings, as well as to certain provisions of the collective bargaining agreements between the Histadrut (General Federation of Labor in Israel) and the Coordination Bureau of Economic Organizations (including the Industrialists' Associations) are applicable to our employees by virtue of expansion orders issued in accordance with relevant labor laws by the Israel Ministry of Labor and Welfare, and which apply such agreement provisions to our employees even though they are not directly part of a union that has signed a collective bargaining agreement. The laws and labor court rulings that apply to our employees principally concern the minimum wage laws, procedures for dismissing employees, determination of severance pay, leaves of absence (such as annual vacation or maternity leave), sick pay and other conditions for employment. The expansion orders which apply to our employees principally concern the requirement for length of the work day and work week, mandatory contributions to a pension fund, annual recreation allowance, travel expenses payment and other conditions of employment. We generally provide our employees with benefits and working conditions beyond the required minimums.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never experienced any employment-related work stoppages and believe our relationship with our employees is good.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97" w:name="page98"/>
    <w:bookmarkEnd w:id="97"/>
    <w:p>
      <w:pPr>
        <w:ind w:left="583"/>
        <w:spacing w:after="0"/>
        <w:rPr>
          <w:sz w:val="20"/>
          <w:szCs w:val="20"/>
          <w:color w:val="auto"/>
        </w:rPr>
      </w:pPr>
      <w:r>
        <w:rPr>
          <w:rFonts w:ascii="Arial" w:cs="Arial" w:eastAsia="Arial" w:hAnsi="Arial"/>
          <w:sz w:val="16"/>
          <w:szCs w:val="16"/>
          <w:b w:val="1"/>
          <w:bCs w:val="1"/>
          <w:color w:val="auto"/>
        </w:rPr>
        <w:t>E. Beneficial Ownership of Executive Officers and Directors</w:t>
      </w:r>
    </w:p>
    <w:p>
      <w:pPr>
        <w:spacing w:after="0" w:line="258" w:lineRule="exact"/>
        <w:rPr>
          <w:sz w:val="20"/>
          <w:szCs w:val="20"/>
          <w:color w:val="auto"/>
        </w:rPr>
      </w:pPr>
    </w:p>
    <w:p>
      <w:pPr>
        <w:ind w:left="3" w:right="320" w:firstLine="584"/>
        <w:spacing w:after="0" w:line="283" w:lineRule="auto"/>
        <w:rPr>
          <w:sz w:val="20"/>
          <w:szCs w:val="20"/>
          <w:color w:val="auto"/>
        </w:rPr>
      </w:pPr>
      <w:r>
        <w:rPr>
          <w:rFonts w:ascii="Arial" w:cs="Arial" w:eastAsia="Arial" w:hAnsi="Arial"/>
          <w:sz w:val="16"/>
          <w:szCs w:val="16"/>
          <w:color w:val="auto"/>
        </w:rPr>
        <w:t>The following table sets forth information regarding the beneficial ownership of our outstanding ordinary shares as of March 20, 2017 of each of our directors and executive officers individually and as a group.</w:t>
      </w:r>
    </w:p>
    <w:p>
      <w:pPr>
        <w:spacing w:after="0" w:line="195"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240" w:type="dxa"/>
            <w:vAlign w:val="bottom"/>
            <w:gridSpan w:val="3"/>
          </w:tcPr>
          <w:p>
            <w:pPr>
              <w:jc w:val="center"/>
              <w:ind w:left="1619"/>
              <w:spacing w:after="0"/>
              <w:rPr>
                <w:sz w:val="20"/>
                <w:szCs w:val="20"/>
                <w:color w:val="auto"/>
              </w:rPr>
            </w:pPr>
            <w:r>
              <w:rPr>
                <w:rFonts w:ascii="Arial" w:cs="Arial" w:eastAsia="Arial" w:hAnsi="Arial"/>
                <w:sz w:val="16"/>
                <w:szCs w:val="16"/>
                <w:b w:val="1"/>
                <w:bCs w:val="1"/>
                <w:color w:val="auto"/>
                <w:w w:val="94"/>
              </w:rPr>
              <w:t>Ordinary Shares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Beneficially</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Held</w:t>
            </w:r>
          </w:p>
        </w:tc>
        <w:tc>
          <w:tcPr>
            <w:tcW w:w="12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195"/>
        </w:trPr>
        <w:tc>
          <w:tcPr>
            <w:tcW w:w="80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Directors</w:t>
            </w:r>
          </w:p>
        </w:tc>
        <w:tc>
          <w:tcPr>
            <w:tcW w:w="18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3240" w:type="dxa"/>
            <w:vAlign w:val="bottom"/>
            <w:gridSpan w:val="3"/>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Aharon Schwartz</w:t>
            </w:r>
            <w:r>
              <w:rPr>
                <w:rFonts w:ascii="Arial" w:cs="Arial" w:eastAsia="Arial" w:hAnsi="Arial"/>
                <w:sz w:val="22"/>
                <w:szCs w:val="22"/>
                <w:color w:val="auto"/>
                <w:vertAlign w:val="superscript"/>
              </w:rPr>
              <w:t>(1)</w:t>
            </w:r>
          </w:p>
        </w:tc>
        <w:tc>
          <w:tcPr>
            <w:tcW w:w="3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42,502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tcPr>
          <w:p>
            <w:pPr>
              <w:spacing w:after="0" w:line="194" w:lineRule="exact"/>
              <w:rPr>
                <w:sz w:val="20"/>
                <w:szCs w:val="20"/>
                <w:color w:val="auto"/>
              </w:rPr>
            </w:pPr>
            <w:r>
              <w:rPr>
                <w:rFonts w:ascii="Arial" w:cs="Arial" w:eastAsia="Arial" w:hAnsi="Arial"/>
                <w:sz w:val="14"/>
                <w:szCs w:val="14"/>
                <w:color w:val="auto"/>
              </w:rPr>
              <w:t>Michael J. Anghel</w:t>
            </w:r>
            <w:r>
              <w:rPr>
                <w:rFonts w:ascii="Arial" w:cs="Arial" w:eastAsia="Arial" w:hAnsi="Arial"/>
                <w:sz w:val="22"/>
                <w:szCs w:val="22"/>
                <w:color w:val="auto"/>
                <w:vertAlign w:val="superscript"/>
              </w:rPr>
              <w:t>(2)</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42,502</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Nurit Benjamini</w:t>
            </w:r>
            <w:r>
              <w:rPr>
                <w:rFonts w:ascii="Arial" w:cs="Arial" w:eastAsia="Arial" w:hAnsi="Arial"/>
                <w:sz w:val="22"/>
                <w:szCs w:val="22"/>
                <w:color w:val="auto"/>
                <w:vertAlign w:val="superscript"/>
              </w:rPr>
              <w:t>(3)</w:t>
            </w:r>
          </w:p>
        </w:tc>
        <w:tc>
          <w:tcPr>
            <w:tcW w:w="3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32,501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tcPr>
          <w:p>
            <w:pPr>
              <w:spacing w:after="0" w:line="194" w:lineRule="exact"/>
              <w:rPr>
                <w:sz w:val="20"/>
                <w:szCs w:val="20"/>
                <w:color w:val="auto"/>
              </w:rPr>
            </w:pPr>
            <w:r>
              <w:rPr>
                <w:rFonts w:ascii="Arial" w:cs="Arial" w:eastAsia="Arial" w:hAnsi="Arial"/>
                <w:sz w:val="14"/>
                <w:szCs w:val="14"/>
                <w:color w:val="auto"/>
              </w:rPr>
              <w:t>B.J. Bormann</w:t>
            </w:r>
            <w:r>
              <w:rPr>
                <w:rFonts w:ascii="Arial" w:cs="Arial" w:eastAsia="Arial" w:hAnsi="Arial"/>
                <w:sz w:val="22"/>
                <w:szCs w:val="22"/>
                <w:color w:val="auto"/>
                <w:vertAlign w:val="superscript"/>
              </w:rPr>
              <w:t>(4)</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42,502</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Raphael Hofstein</w:t>
            </w:r>
            <w:r>
              <w:rPr>
                <w:rFonts w:ascii="Arial" w:cs="Arial" w:eastAsia="Arial" w:hAnsi="Arial"/>
                <w:sz w:val="22"/>
                <w:szCs w:val="22"/>
                <w:color w:val="auto"/>
                <w:vertAlign w:val="superscript"/>
              </w:rPr>
              <w:t>(5)</w:t>
            </w:r>
          </w:p>
        </w:tc>
        <w:tc>
          <w:tcPr>
            <w:tcW w:w="3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42,502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tcPr>
          <w:p>
            <w:pPr>
              <w:spacing w:after="0" w:line="194" w:lineRule="exact"/>
              <w:rPr>
                <w:sz w:val="20"/>
                <w:szCs w:val="20"/>
                <w:color w:val="auto"/>
              </w:rPr>
            </w:pPr>
            <w:r>
              <w:rPr>
                <w:rFonts w:ascii="Arial" w:cs="Arial" w:eastAsia="Arial" w:hAnsi="Arial"/>
                <w:sz w:val="14"/>
                <w:szCs w:val="14"/>
                <w:color w:val="auto"/>
              </w:rPr>
              <w:t>Avraham Molcho</w:t>
            </w:r>
            <w:r>
              <w:rPr>
                <w:rFonts w:ascii="Arial" w:cs="Arial" w:eastAsia="Arial" w:hAnsi="Arial"/>
                <w:sz w:val="22"/>
                <w:szCs w:val="22"/>
                <w:color w:val="auto"/>
                <w:vertAlign w:val="superscript"/>
              </w:rPr>
              <w:t>(6)</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32,501</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Sandra Panem</w:t>
            </w:r>
            <w:r>
              <w:rPr>
                <w:rFonts w:ascii="Arial" w:cs="Arial" w:eastAsia="Arial" w:hAnsi="Arial"/>
                <w:sz w:val="22"/>
                <w:szCs w:val="22"/>
                <w:color w:val="auto"/>
                <w:vertAlign w:val="superscript"/>
              </w:rPr>
              <w:t>(7)</w:t>
            </w:r>
          </w:p>
        </w:tc>
        <w:tc>
          <w:tcPr>
            <w:tcW w:w="3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40,419</w:t>
            </w: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Executive officers</w:t>
            </w:r>
          </w:p>
        </w:tc>
        <w:tc>
          <w:tcPr>
            <w:tcW w:w="18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30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Philip Serlin</w:t>
            </w:r>
            <w:r>
              <w:rPr>
                <w:rFonts w:ascii="Arial" w:cs="Arial" w:eastAsia="Arial" w:hAnsi="Arial"/>
                <w:sz w:val="22"/>
                <w:szCs w:val="22"/>
                <w:color w:val="auto"/>
                <w:vertAlign w:val="superscript"/>
              </w:rPr>
              <w:t>(8)</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215,108</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tcPr>
          <w:p>
            <w:pPr>
              <w:spacing w:after="0" w:line="194" w:lineRule="exact"/>
              <w:rPr>
                <w:sz w:val="20"/>
                <w:szCs w:val="20"/>
                <w:color w:val="auto"/>
              </w:rPr>
            </w:pPr>
            <w:r>
              <w:rPr>
                <w:rFonts w:ascii="Arial" w:cs="Arial" w:eastAsia="Arial" w:hAnsi="Arial"/>
                <w:sz w:val="14"/>
                <w:szCs w:val="14"/>
                <w:color w:val="auto"/>
              </w:rPr>
              <w:t>Mali Zeevi</w:t>
            </w:r>
            <w:r>
              <w:rPr>
                <w:rFonts w:ascii="Arial" w:cs="Arial" w:eastAsia="Arial" w:hAnsi="Arial"/>
                <w:sz w:val="22"/>
                <w:szCs w:val="22"/>
                <w:color w:val="auto"/>
                <w:vertAlign w:val="superscript"/>
              </w:rPr>
              <w:t>(9)</w:t>
            </w:r>
          </w:p>
        </w:tc>
        <w:tc>
          <w:tcPr>
            <w:tcW w:w="3240" w:type="dxa"/>
            <w:vAlign w:val="bottom"/>
            <w:gridSpan w:val="3"/>
          </w:tcPr>
          <w:p>
            <w:pPr>
              <w:jc w:val="right"/>
              <w:ind w:right="200"/>
              <w:spacing w:after="0"/>
              <w:rPr>
                <w:sz w:val="20"/>
                <w:szCs w:val="20"/>
                <w:color w:val="auto"/>
              </w:rPr>
            </w:pPr>
            <w:r>
              <w:rPr>
                <w:rFonts w:ascii="Arial" w:cs="Arial" w:eastAsia="Arial" w:hAnsi="Arial"/>
                <w:sz w:val="16"/>
                <w:szCs w:val="16"/>
                <w:color w:val="auto"/>
              </w:rPr>
              <w:t>92,920</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David Malek</w:t>
            </w:r>
            <w:r>
              <w:rPr>
                <w:rFonts w:ascii="Arial" w:cs="Arial" w:eastAsia="Arial" w:hAnsi="Arial"/>
                <w:sz w:val="22"/>
                <w:szCs w:val="22"/>
                <w:color w:val="auto"/>
                <w:vertAlign w:val="superscript"/>
              </w:rPr>
              <w:t>(10)</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173,219</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tcPr>
          <w:p>
            <w:pPr>
              <w:spacing w:after="0" w:line="194" w:lineRule="exact"/>
              <w:rPr>
                <w:sz w:val="20"/>
                <w:szCs w:val="20"/>
                <w:color w:val="auto"/>
              </w:rPr>
            </w:pPr>
            <w:r>
              <w:rPr>
                <w:rFonts w:ascii="Arial" w:cs="Arial" w:eastAsia="Arial" w:hAnsi="Arial"/>
                <w:sz w:val="14"/>
                <w:szCs w:val="14"/>
                <w:color w:val="auto"/>
              </w:rPr>
              <w:t>Ella Sorani</w:t>
            </w:r>
            <w:r>
              <w:rPr>
                <w:rFonts w:ascii="Arial" w:cs="Arial" w:eastAsia="Arial" w:hAnsi="Arial"/>
                <w:sz w:val="22"/>
                <w:szCs w:val="22"/>
                <w:color w:val="auto"/>
                <w:vertAlign w:val="superscript"/>
              </w:rPr>
              <w:t>(11)</w:t>
            </w:r>
          </w:p>
        </w:tc>
        <w:tc>
          <w:tcPr>
            <w:tcW w:w="3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Abi Vainstein-Haras</w:t>
            </w:r>
            <w:r>
              <w:rPr>
                <w:rFonts w:ascii="Arial" w:cs="Arial" w:eastAsia="Arial" w:hAnsi="Arial"/>
                <w:sz w:val="22"/>
                <w:szCs w:val="22"/>
                <w:color w:val="auto"/>
                <w:vertAlign w:val="superscript"/>
              </w:rPr>
              <w:t>(12)</w:t>
            </w:r>
          </w:p>
        </w:tc>
        <w:tc>
          <w:tcPr>
            <w:tcW w:w="3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40,831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0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304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0" w:type="dxa"/>
            <w:vAlign w:val="bottom"/>
            <w:vMerge w:val="continue"/>
          </w:tcPr>
          <w:p>
            <w:pPr>
              <w:spacing w:after="0"/>
              <w:rPr>
                <w:sz w:val="16"/>
                <w:szCs w:val="16"/>
                <w:color w:val="auto"/>
              </w:rPr>
            </w:pPr>
          </w:p>
        </w:tc>
        <w:tc>
          <w:tcPr>
            <w:tcW w:w="6160" w:type="dxa"/>
            <w:vAlign w:val="bottom"/>
            <w:shd w:val="clear" w:color="auto" w:fill="CCEEFF"/>
          </w:tcPr>
          <w:p>
            <w:pPr>
              <w:spacing w:after="0" w:line="194" w:lineRule="exact"/>
              <w:rPr>
                <w:sz w:val="20"/>
                <w:szCs w:val="20"/>
                <w:color w:val="auto"/>
              </w:rPr>
            </w:pPr>
            <w:r>
              <w:rPr>
                <w:rFonts w:ascii="Arial" w:cs="Arial" w:eastAsia="Arial" w:hAnsi="Arial"/>
                <w:sz w:val="14"/>
                <w:szCs w:val="14"/>
                <w:b w:val="1"/>
                <w:bCs w:val="1"/>
                <w:color w:val="auto"/>
              </w:rPr>
              <w:t>All directors and executive officers as a group (12 persons)</w:t>
            </w:r>
            <w:r>
              <w:rPr>
                <w:rFonts w:ascii="Arial" w:cs="Arial" w:eastAsia="Arial" w:hAnsi="Arial"/>
                <w:sz w:val="22"/>
                <w:szCs w:val="22"/>
                <w:color w:val="auto"/>
                <w:vertAlign w:val="superscript"/>
              </w:rPr>
              <w:t>(13)</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797,507</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___* %</w:t>
            </w:r>
          </w:p>
        </w:tc>
        <w:tc>
          <w:tcPr>
            <w:tcW w:w="0" w:type="dxa"/>
            <w:vAlign w:val="bottom"/>
          </w:tcPr>
          <w:p>
            <w:pPr>
              <w:spacing w:after="0"/>
              <w:rPr>
                <w:sz w:val="1"/>
                <w:szCs w:val="1"/>
                <w:color w:val="auto"/>
              </w:rPr>
            </w:pPr>
          </w:p>
        </w:tc>
      </w:tr>
      <w:tr>
        <w:trPr>
          <w:trHeight w:val="248"/>
        </w:trPr>
        <w:tc>
          <w:tcPr>
            <w:tcW w:w="80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63" w:hanging="563"/>
        <w:spacing w:after="0"/>
        <w:tabs>
          <w:tab w:leader="none" w:pos="5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06" w:lineRule="exact"/>
        <w:rPr>
          <w:sz w:val="20"/>
          <w:szCs w:val="20"/>
          <w:color w:val="auto"/>
        </w:rPr>
      </w:pPr>
    </w:p>
    <w:p>
      <w:pPr>
        <w:ind w:left="563" w:right="300" w:hanging="563"/>
        <w:spacing w:after="0" w:line="283" w:lineRule="auto"/>
        <w:tabs>
          <w:tab w:leader="none" w:pos="5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42,502 ordinary shares issuable upon exercise of outstanding options within 60 days of March 20, 2017. Does not include 42,498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300" w:hanging="563"/>
        <w:spacing w:after="0" w:line="283" w:lineRule="auto"/>
        <w:tabs>
          <w:tab w:leader="none" w:pos="5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42,502 ordinary shares issuable upon exercise of outstanding options within 60 days of March 20, 2017. Does not include 42,498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300" w:hanging="563"/>
        <w:spacing w:after="0" w:line="283" w:lineRule="auto"/>
        <w:tabs>
          <w:tab w:leader="none" w:pos="5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32,501 ordinary shares issuable upon exercise of outstanding options within 60 days of March 20, 2017. Does not include 37,499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300" w:hanging="563"/>
        <w:spacing w:after="0" w:line="283" w:lineRule="auto"/>
        <w:tabs>
          <w:tab w:leader="none" w:pos="5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42,502 ordinary shares issuable upon exercise of outstanding options within 60 days of March 20, 2017. Does not include 42,498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300" w:hanging="563"/>
        <w:spacing w:after="0" w:line="283" w:lineRule="auto"/>
        <w:tabs>
          <w:tab w:leader="none" w:pos="5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42,502 ordinary shares issuable upon exercise of outstanding options within 60 days of March 20, 2017. Does not include 42,498 ordinary shares issuable upon exercise of outstanding options that are not exercisable within 60 days of March 20, 2017.</w:t>
      </w:r>
    </w:p>
    <w:p>
      <w:pPr>
        <w:spacing w:after="0" w:line="33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98" w:name="page99"/>
    <w:bookmarkEnd w:id="98"/>
    <w:p>
      <w:pPr>
        <w:ind w:left="563" w:right="280" w:hanging="563"/>
        <w:spacing w:after="0" w:line="283" w:lineRule="auto"/>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32,501 ordinary shares issuable upon exercise of outstanding options within 60 days of March 20, 2017. Does not include 37,499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280" w:hanging="563"/>
        <w:spacing w:after="0" w:line="283" w:lineRule="auto"/>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40,419 ordinary shares issuable upon exercise of outstanding options within 60 days of March 20, 2017. Does not include 42,081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220" w:hanging="563"/>
        <w:spacing w:after="0" w:line="283" w:lineRule="auto"/>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215,108 issued ordinary shares upon exercise of outstanding options within 60 days of March 20, 2017. Does not include 279,296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200" w:hanging="563"/>
        <w:spacing w:after="0" w:line="283" w:lineRule="auto"/>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92,920 ordinary shares issuable upon exercise of outstanding options within 60 days of March 20, 2017. Does not include 342,050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120" w:hanging="563"/>
        <w:spacing w:after="0" w:line="283" w:lineRule="auto"/>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173,219 ordinary shares issuable upon exercise of outstanding options within 60 days of March 20, 2017. Does not include 416,581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hanging="563"/>
        <w:spacing w:after="0"/>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Does not include 252,800 ordinary shares issuable upon exercise of outstanding options that are not exercisable within 60 days of March 20, 2017.</w:t>
      </w:r>
    </w:p>
    <w:p>
      <w:pPr>
        <w:spacing w:after="0" w:line="205" w:lineRule="exact"/>
        <w:rPr>
          <w:rFonts w:ascii="Arial" w:cs="Arial" w:eastAsia="Arial" w:hAnsi="Arial"/>
          <w:sz w:val="16"/>
          <w:szCs w:val="16"/>
          <w:color w:val="auto"/>
        </w:rPr>
      </w:pPr>
    </w:p>
    <w:p>
      <w:pPr>
        <w:ind w:left="563" w:right="200" w:hanging="563"/>
        <w:spacing w:after="0" w:line="283" w:lineRule="auto"/>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40,831 ordinary shares issuable upon exercise of outstanding options within 60 days of March 20, 2017. Does not include 317,169 ordinary shares issuable upon exercise of outstanding options that are not exercisable within 60 days of March 20, 2017.</w:t>
      </w:r>
    </w:p>
    <w:p>
      <w:pPr>
        <w:spacing w:after="0" w:line="150" w:lineRule="exact"/>
        <w:rPr>
          <w:rFonts w:ascii="Arial" w:cs="Arial" w:eastAsia="Arial" w:hAnsi="Arial"/>
          <w:sz w:val="16"/>
          <w:szCs w:val="16"/>
          <w:color w:val="auto"/>
        </w:rPr>
      </w:pPr>
    </w:p>
    <w:p>
      <w:pPr>
        <w:ind w:left="563" w:right="560" w:hanging="563"/>
        <w:spacing w:after="0" w:line="283" w:lineRule="auto"/>
        <w:tabs>
          <w:tab w:leader="none" w:pos="56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797,507 ordinary shares issuable upon exercise of outstanding options within 60 days of March 20, 2017. Does not include 1,894,967 ordinary shares issuable upon exercise of outstanding options that are not exercisable within 60 days of March 20, 2017.</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Equity Compensation Plan</w:t>
      </w:r>
    </w:p>
    <w:p>
      <w:pPr>
        <w:spacing w:after="0" w:line="258"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2003 Share Incentive Plan</w:t>
      </w:r>
    </w:p>
    <w:p>
      <w:pPr>
        <w:spacing w:after="0" w:line="254" w:lineRule="exact"/>
        <w:rPr>
          <w:sz w:val="20"/>
          <w:szCs w:val="20"/>
          <w:color w:val="auto"/>
        </w:rPr>
      </w:pPr>
    </w:p>
    <w:p>
      <w:pPr>
        <w:ind w:left="3" w:firstLine="584"/>
        <w:spacing w:after="0" w:line="261" w:lineRule="auto"/>
        <w:rPr>
          <w:sz w:val="20"/>
          <w:szCs w:val="20"/>
          <w:color w:val="auto"/>
        </w:rPr>
      </w:pPr>
      <w:r>
        <w:rPr>
          <w:rFonts w:ascii="Arial" w:cs="Arial" w:eastAsia="Arial" w:hAnsi="Arial"/>
          <w:sz w:val="16"/>
          <w:szCs w:val="16"/>
          <w:color w:val="auto"/>
        </w:rPr>
        <w:t>In 2003, we adopted the BioLineRx Ltd. 2003 Share Incentive Plan, or the Plan. The Plan provides for the granting of options, ordinary shares, restricted stock units and performance stock units to our directors, employees, consultants and service providers, and to the directors, employees, consultants and service providers of our subsidiaries and affiliates. The Plan provides for equity grants to be made at the determination of our Board of Directors in accordance with applicable law. As of December 31, 2016, there were approximately 4.7 million ordinary shares issuable upon the exercise of outstanding options under the Plan. As of March 20, 2017, there were 6.9 million ordinary shares issuable upon the exercise of outstanding options under the Plan.</w:t>
      </w:r>
    </w:p>
    <w:p>
      <w:pPr>
        <w:spacing w:after="0" w:line="168" w:lineRule="exact"/>
        <w:rPr>
          <w:sz w:val="20"/>
          <w:szCs w:val="20"/>
          <w:color w:val="auto"/>
        </w:rPr>
      </w:pPr>
    </w:p>
    <w:p>
      <w:pPr>
        <w:ind w:left="3" w:firstLine="584"/>
        <w:spacing w:after="0" w:line="268" w:lineRule="auto"/>
        <w:rPr>
          <w:sz w:val="20"/>
          <w:szCs w:val="20"/>
          <w:color w:val="auto"/>
        </w:rPr>
      </w:pPr>
      <w:r>
        <w:rPr>
          <w:rFonts w:ascii="Arial" w:cs="Arial" w:eastAsia="Arial" w:hAnsi="Arial"/>
          <w:sz w:val="16"/>
          <w:szCs w:val="16"/>
          <w:color w:val="auto"/>
        </w:rPr>
        <w:t>In August 2013, our Board of Directors approved amendments to the Plan to take into account changes in laws and regulations that had occurred since its adoption and to extend the term of the plan until November 2023. In January 2016, our Board of Directors approved amendments to the Plan in order to permit the granting of restricted stock units, or RSUs, and performance stock units, or PSUs, to eligible grantees.</w:t>
      </w:r>
    </w:p>
    <w:p>
      <w:pPr>
        <w:spacing w:after="0" w:line="212" w:lineRule="exact"/>
        <w:rPr>
          <w:sz w:val="20"/>
          <w:szCs w:val="20"/>
          <w:color w:val="auto"/>
        </w:rPr>
      </w:pPr>
    </w:p>
    <w:p>
      <w:pPr>
        <w:ind w:left="3" w:right="440" w:firstLine="584"/>
        <w:spacing w:after="0" w:line="283" w:lineRule="auto"/>
        <w:rPr>
          <w:sz w:val="20"/>
          <w:szCs w:val="20"/>
          <w:color w:val="auto"/>
        </w:rPr>
      </w:pPr>
      <w:r>
        <w:rPr>
          <w:rFonts w:ascii="Arial" w:cs="Arial" w:eastAsia="Arial" w:hAnsi="Arial"/>
          <w:sz w:val="16"/>
          <w:szCs w:val="16"/>
          <w:color w:val="auto"/>
        </w:rPr>
        <w:t>From time to time, our Board of Directors has approved an increase in the number of shares reserved for the purpose of equity grants pursuant to the Plan. As of March 20, 2017, the number of shares so reserved was 1.9 million.</w:t>
      </w:r>
    </w:p>
    <w:p>
      <w:pPr>
        <w:spacing w:after="0" w:line="151"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Administration of Our Share Incentive Plan</w:t>
      </w:r>
    </w:p>
    <w:p>
      <w:pPr>
        <w:spacing w:after="0" w:line="254" w:lineRule="exact"/>
        <w:rPr>
          <w:sz w:val="20"/>
          <w:szCs w:val="20"/>
          <w:color w:val="auto"/>
        </w:rPr>
      </w:pPr>
    </w:p>
    <w:p>
      <w:pPr>
        <w:ind w:left="3" w:firstLine="584"/>
        <w:spacing w:after="0" w:line="277" w:lineRule="auto"/>
        <w:rPr>
          <w:sz w:val="20"/>
          <w:szCs w:val="20"/>
          <w:color w:val="auto"/>
        </w:rPr>
      </w:pPr>
      <w:r>
        <w:rPr>
          <w:rFonts w:ascii="Arial" w:cs="Arial" w:eastAsia="Arial" w:hAnsi="Arial"/>
          <w:sz w:val="15"/>
          <w:szCs w:val="15"/>
          <w:color w:val="auto"/>
        </w:rPr>
        <w:t>Our Plan is administered by our Board of Directors for the purposes of making equity grants and approving the terms of those grants, including, in the case of options, exercise price, method of payment, vesting schedule, acceleration of vesting and the other matters necessary in the administration of these plans. Equity grants made under the Plan to eligible employees and office holders are made under Section 102 of the Israel Income Tax Ordinance pursuant to which the securities granted must be allocated or issued to a trustee and be held in trust for two years from the date upon which such grant was made, provided that securities granted prior to January 1, 2006, or the ordinary shares issued upon exercise of options, are subject to being held in trust for two years from the end of the year in which the securities are granted. Under Section 102, any tax payable by an employee from the grant of securities or the exercise of options is deferred until the transfer of the securities (or ordinary shares issued upon the exercise of options) by the trustee to the employee or upon the sale of the securities or ordinary shares, as the case may be, and gains may qualify to be taxed as capital gains at a rate equal to 25%, subject to compliance with specified conditions.</w:t>
      </w: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99" w:name="page100"/>
    <w:bookmarkEnd w:id="99"/>
    <w:p>
      <w:pPr>
        <w:ind w:firstLine="584"/>
        <w:spacing w:after="0" w:line="260" w:lineRule="auto"/>
        <w:rPr>
          <w:sz w:val="20"/>
          <w:szCs w:val="20"/>
          <w:color w:val="auto"/>
        </w:rPr>
      </w:pPr>
      <w:r>
        <w:rPr>
          <w:rFonts w:ascii="Arial" w:cs="Arial" w:eastAsia="Arial" w:hAnsi="Arial"/>
          <w:sz w:val="16"/>
          <w:szCs w:val="16"/>
          <w:color w:val="auto"/>
        </w:rPr>
        <w:t>Options granted under the Plan generally vest over four years, and they expire 10 years from the grant date. If we terminate an employee for cause, all of the employee's vested and unvested options expire immediately from the time of delivery of the notice of discharge, unless determined otherwise by the Audit Committee or the Board of Directors. Upon termination of employment for any other reason, including due to death or disability of the employee, vested options may be exercised within three months of the termination date, unless otherwise determined by the Compensation Committee or the Board of Directors. Vested options which are not exercised and unvested options return to the pool of reserved ordinary shares under the Plan for reissuance. The right to receive ordinary shares pursuant to PSUs granted under the Plan will vest upon the our achievement of certain performance goals to be established by the Board of Directors.</w:t>
      </w:r>
    </w:p>
    <w:p>
      <w:pPr>
        <w:spacing w:after="0" w:line="168" w:lineRule="exact"/>
        <w:rPr>
          <w:sz w:val="20"/>
          <w:szCs w:val="20"/>
          <w:color w:val="auto"/>
        </w:rPr>
      </w:pPr>
    </w:p>
    <w:p>
      <w:pPr>
        <w:ind w:right="20" w:firstLine="584"/>
        <w:spacing w:after="0" w:line="258" w:lineRule="auto"/>
        <w:rPr>
          <w:sz w:val="20"/>
          <w:szCs w:val="20"/>
          <w:color w:val="auto"/>
        </w:rPr>
      </w:pPr>
      <w:r>
        <w:rPr>
          <w:rFonts w:ascii="Arial" w:cs="Arial" w:eastAsia="Arial" w:hAnsi="Arial"/>
          <w:sz w:val="16"/>
          <w:szCs w:val="16"/>
          <w:color w:val="auto"/>
        </w:rPr>
        <w:t>In the event of a merger, consolidation, reorganization or similar transaction or our voluntary liquidation or dissolution, all of our unexercised vested equity grants and any unvested equity grants will be automatically terminated. However, in the event of a change of control, or merger, consolidation, reorganization or similar transaction resulting in the acquisition of at least 50% of our voting power, or the sale or transfer of all or substantially all of our outstanding shares assets, the equity grants then outstanding may be assumed or substituted for an appropriate number of shares of each class of shares or other securities and/or assets of the successor company in such transaction (or a parent or subsidiary or another affiliate of such successor company) as were distributed to our shareholders in respect of the transaction. In addition to the foregoing, our Board of Directors has approved the inclusion in the option agreements of the Company's officers of a provision for accelerated vesting of options if both a change of control of the Company occurs and, following such change of control, the officer's employment is terminated or there is a significant demotion in the officer's new job or position.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0" w:name="page101"/>
    <w:bookmarkEnd w:id="100"/>
    <w:p>
      <w:pPr>
        <w:ind w:left="3"/>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Major Shareholders</w:t>
      </w:r>
    </w:p>
    <w:p>
      <w:pPr>
        <w:spacing w:after="0" w:line="258" w:lineRule="exact"/>
        <w:rPr>
          <w:sz w:val="20"/>
          <w:szCs w:val="20"/>
          <w:color w:val="auto"/>
        </w:rPr>
      </w:pPr>
    </w:p>
    <w:p>
      <w:pPr>
        <w:ind w:left="3" w:right="100" w:firstLine="584"/>
        <w:spacing w:after="0" w:line="277" w:lineRule="auto"/>
        <w:rPr>
          <w:sz w:val="20"/>
          <w:szCs w:val="20"/>
          <w:color w:val="auto"/>
        </w:rPr>
      </w:pPr>
      <w:r>
        <w:rPr>
          <w:rFonts w:ascii="Arial" w:cs="Arial" w:eastAsia="Arial" w:hAnsi="Arial"/>
          <w:sz w:val="15"/>
          <w:szCs w:val="15"/>
          <w:color w:val="auto"/>
        </w:rPr>
        <w:t>The following table sets forth certain information regarding the beneficial ownership of our outstanding ordinary shares as of March 20, 2017 by each person who we know beneficially owns 5.0% or more of the outstanding ordinary shares. Each of our shareholders has identical voting rights with respect to its shares. All of the information with respect to beneficial ownership of the ordinary shares is given to the best of our knowledge. The beneficial ownership of ordinary shares is based on the 61,782,434 ordinary shares outstanding as of March 20, 2017 and is determined in accordance with the rules of the SEC and generally includes any ordinary shares over which a person exercises sole or shared voting or investment power. For purposes of the table below, we deem shares subject to options or warrants that are currently exercisable or exercisable within 60 days of March 20, 2017, to be outstanding and to be beneficially owned by the person holding the options or warrants for the purposes of computing the percentage ownership of that person but we do not treat them as outstanding for the purpose of computing the percentage ownership of any other person. To our knowledge, none of our shareholders of record are U.S. holders. Our principal shareholders do not have different or special voting rights.</w:t>
      </w:r>
    </w:p>
    <w:p>
      <w:pPr>
        <w:spacing w:after="0" w:line="157" w:lineRule="exact"/>
        <w:rPr>
          <w:sz w:val="20"/>
          <w:szCs w:val="20"/>
          <w:color w:val="auto"/>
        </w:rPr>
      </w:pPr>
    </w:p>
    <w:tbl>
      <w:tblPr>
        <w:tblLayout w:type="fixed"/>
        <w:tblInd w:w="563"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Number of</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Ordinary Shares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Beneficially</w:t>
            </w: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Held</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Class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340" w:type="dxa"/>
            <w:vAlign w:val="bottom"/>
          </w:tcPr>
          <w:p>
            <w:pPr>
              <w:spacing w:after="0"/>
              <w:rPr>
                <w:sz w:val="16"/>
                <w:szCs w:val="16"/>
                <w:color w:val="auto"/>
              </w:rPr>
            </w:pPr>
          </w:p>
        </w:tc>
        <w:tc>
          <w:tcPr>
            <w:tcW w:w="1340" w:type="dxa"/>
            <w:vAlign w:val="bottom"/>
            <w:gridSpan w:val="2"/>
          </w:tcPr>
          <w:p>
            <w:pPr>
              <w:spacing w:after="0"/>
              <w:rPr>
                <w:sz w:val="16"/>
                <w:szCs w:val="16"/>
                <w:color w:val="auto"/>
              </w:rPr>
            </w:pPr>
          </w:p>
        </w:tc>
        <w:tc>
          <w:tcPr>
            <w:tcW w:w="1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340" w:type="dxa"/>
            <w:vAlign w:val="bottom"/>
            <w:shd w:val="clear" w:color="auto" w:fill="CCEEFF"/>
          </w:tcPr>
          <w:p>
            <w:pPr>
              <w:spacing w:after="0" w:line="194" w:lineRule="exact"/>
              <w:rPr>
                <w:sz w:val="20"/>
                <w:szCs w:val="20"/>
                <w:color w:val="auto"/>
              </w:rPr>
            </w:pPr>
            <w:r>
              <w:rPr>
                <w:rFonts w:ascii="Arial" w:cs="Arial" w:eastAsia="Arial" w:hAnsi="Arial"/>
                <w:sz w:val="14"/>
                <w:szCs w:val="14"/>
                <w:color w:val="auto"/>
              </w:rPr>
              <w:t>Novartis Pharma AG</w:t>
            </w:r>
            <w:r>
              <w:rPr>
                <w:rFonts w:ascii="Arial" w:cs="Arial" w:eastAsia="Arial" w:hAnsi="Arial"/>
                <w:sz w:val="22"/>
                <w:szCs w:val="22"/>
                <w:color w:val="auto"/>
                <w:vertAlign w:val="superscript"/>
              </w:rPr>
              <w:t>(1)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5,000,000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6"/>
                <w:szCs w:val="16"/>
                <w:color w:val="auto"/>
              </w:rPr>
              <w:t xml:space="preserve">Senvest Management, LLC </w:t>
            </w:r>
            <w:r>
              <w:rPr>
                <w:rFonts w:ascii="Arial" w:cs="Arial" w:eastAsia="Arial" w:hAnsi="Arial"/>
                <w:sz w:val="27"/>
                <w:szCs w:val="27"/>
                <w:color w:val="auto"/>
                <w:vertAlign w:val="superscript"/>
              </w:rPr>
              <w:t>(2)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4,767,619</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43" w:right="40" w:hanging="443"/>
        <w:spacing w:after="0" w:line="263" w:lineRule="auto"/>
        <w:tabs>
          <w:tab w:leader="none" w:pos="4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upon information provided by the shareholder in its Schedule 13G filed with the SEC on December 22, 2014. Novartis AG is the parent of Novartis Pharma AG and as such is indicated as sharing voting and dispositive power with respect to the ordinary shares underlying the securities held by Novartis Pharma AG and is deemed to have beneficial ownership of such securities. The address of the principal business office of each of Novartis Pharma AG and Novartis AG is Lichtstrasse 35, 4056 Basel, Switzerland.</w:t>
      </w:r>
    </w:p>
    <w:p>
      <w:pPr>
        <w:spacing w:after="0" w:line="216" w:lineRule="exact"/>
        <w:rPr>
          <w:rFonts w:ascii="Arial" w:cs="Arial" w:eastAsia="Arial" w:hAnsi="Arial"/>
          <w:sz w:val="16"/>
          <w:szCs w:val="16"/>
          <w:color w:val="auto"/>
        </w:rPr>
      </w:pPr>
    </w:p>
    <w:p>
      <w:pPr>
        <w:ind w:left="443" w:right="60" w:hanging="443"/>
        <w:spacing w:after="0" w:line="259" w:lineRule="auto"/>
        <w:tabs>
          <w:tab w:leader="none" w:pos="4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upon information provided by the shareholder in its Schedule 13G filed with the SEC on February 13, 2017. The securities indicated above are held in the accounts of Senvest Master Fund, L.P., Senvest Israel Partners, L.P., and a separately managed account (collectively with the Senvest Funds, the "Investment Vehicles"). Senvest Management, LLC may be deemed to beneficially own the securities held by the Investment Vehicles by virtue of Senvest Management, LLC's position as investment manager of the Investment Vehicles. Richard Mashaal may be deemed to beneficially own the securities held by the Investment Vehicles by virtue of Mr. Mashaal's status as the managing member of Senvest Management, LLC. None of the foregoing should be construed in and of itself as an admission by either Senvest Management, LLC or Mr. Mashaal as to beneficial ownership of the securities indicated above. The address of the principal business office of Senvest Management, LLC is 540 Madison Avenue, 32nd Floor, New York, New York 10022.</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 Related Party Transactions</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Agreements with Directors and Officers</w:t>
      </w:r>
    </w:p>
    <w:p>
      <w:pPr>
        <w:spacing w:after="0" w:line="258"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254" w:lineRule="exact"/>
        <w:rPr>
          <w:sz w:val="20"/>
          <w:szCs w:val="20"/>
          <w:color w:val="auto"/>
        </w:rPr>
      </w:pPr>
    </w:p>
    <w:p>
      <w:pPr>
        <w:ind w:left="3" w:right="240" w:firstLine="584"/>
        <w:spacing w:after="0" w:line="283" w:lineRule="auto"/>
        <w:rPr>
          <w:sz w:val="20"/>
          <w:szCs w:val="20"/>
          <w:color w:val="auto"/>
        </w:rPr>
      </w:pPr>
      <w:r>
        <w:rPr>
          <w:rFonts w:ascii="Arial" w:cs="Arial" w:eastAsia="Arial" w:hAnsi="Arial"/>
          <w:sz w:val="16"/>
          <w:szCs w:val="16"/>
          <w:color w:val="auto"/>
        </w:rPr>
        <w:t>We have entered into employment agreements with each of our executive officers. See "Item 6. Directors, Senior Management and Employees — Compensation of Directors and Senior Management."</w:t>
      </w:r>
    </w:p>
    <w:p>
      <w:pPr>
        <w:spacing w:after="0" w:line="199" w:lineRule="exact"/>
        <w:rPr>
          <w:sz w:val="20"/>
          <w:szCs w:val="20"/>
          <w:color w:val="auto"/>
        </w:rPr>
      </w:pPr>
    </w:p>
    <w:p>
      <w:pPr>
        <w:ind w:left="583"/>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54" w:lineRule="exact"/>
        <w:rPr>
          <w:sz w:val="20"/>
          <w:szCs w:val="20"/>
          <w:color w:val="auto"/>
        </w:rPr>
      </w:pPr>
    </w:p>
    <w:p>
      <w:pPr>
        <w:ind w:left="3" w:right="40" w:firstLine="584"/>
        <w:spacing w:after="0" w:line="261" w:lineRule="auto"/>
        <w:rPr>
          <w:sz w:val="20"/>
          <w:szCs w:val="20"/>
          <w:color w:val="auto"/>
        </w:rPr>
      </w:pPr>
      <w:r>
        <w:rPr>
          <w:rFonts w:ascii="Arial" w:cs="Arial" w:eastAsia="Arial" w:hAnsi="Arial"/>
          <w:sz w:val="16"/>
          <w:szCs w:val="16"/>
          <w:color w:val="auto"/>
        </w:rPr>
        <w:t>Our Articles of Association and Executive Compensation Policy approved by our shareholders permit us to exculpate, indemnify and insure our directors and officeholders to the fullest extent permitted by the Companies Law. We have entered into agreements with each of our office holders undertaking to indemnify them to the fullest extent permitted by law, including with respect to liabilities resulting from this offering to the extent that these liabilities are not covered by insurance. We have obtained directors' and officers' insurance for each of our officers and directors. See "Item 6. Directors, Senior Management and Employees — Board Practices — Exculpation, insurance and indemnification of office holders."</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 Interests of Experts and Counsel</w:t>
      </w:r>
    </w:p>
    <w:p>
      <w:pPr>
        <w:spacing w:after="0" w:line="25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ITEM 8.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Consolidated Statements and other Financial Information</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Item 18.</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not involved in any material legal proceedings.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Distributions</w:t>
      </w:r>
    </w:p>
    <w:p>
      <w:pPr>
        <w:spacing w:after="0" w:line="258"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We have never declared or paid cash dividends to our shareholders. Currently we do not intend to pay cash dividends. We currently intend to reinvest any future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applicable Israeli law and other factors our Board of Directors may deem relevant.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Significant Changes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ITEM 9. THE OFFER AND LISTING</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Offer and Listing Details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Price Range of our ADSs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ADSs have been trading on the Nasdaq under the symbol "BLRX" since July 2011.</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for the periods indicated, the reported high and low closing sale prices of our ADSs on the Nasdaq in dollars.</w:t>
      </w:r>
    </w:p>
    <w:p>
      <w:pPr>
        <w:spacing w:after="0" w:line="202" w:lineRule="exact"/>
        <w:rPr>
          <w:sz w:val="20"/>
          <w:szCs w:val="20"/>
          <w:color w:val="auto"/>
        </w:rPr>
      </w:pPr>
    </w:p>
    <w:p>
      <w:pPr>
        <w:ind w:left="9880"/>
        <w:spacing w:after="0"/>
        <w:rPr>
          <w:sz w:val="20"/>
          <w:szCs w:val="20"/>
          <w:color w:val="auto"/>
        </w:rPr>
      </w:pPr>
      <w:r>
        <w:rPr>
          <w:rFonts w:ascii="Arial" w:cs="Arial" w:eastAsia="Arial" w:hAnsi="Arial"/>
          <w:sz w:val="16"/>
          <w:szCs w:val="16"/>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9258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92580" cy="15240"/>
                    </a:xfrm>
                    <a:prstGeom prst="rect">
                      <a:avLst/>
                    </a:prstGeom>
                    <a:noFill/>
                  </pic:spPr>
                </pic:pic>
              </a:graphicData>
            </a:graphic>
          </wp:anchor>
        </w:drawing>
      </w:r>
    </w:p>
    <w:p>
      <w:pPr>
        <w:spacing w:after="0" w:line="15"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Price Per</w:t>
      </w:r>
    </w:p>
    <w:p>
      <w:pPr>
        <w:spacing w:after="0" w:line="27" w:lineRule="exact"/>
        <w:rPr>
          <w:sz w:val="20"/>
          <w:szCs w:val="20"/>
          <w:color w:val="auto"/>
        </w:rPr>
      </w:pPr>
    </w:p>
    <w:p>
      <w:pPr>
        <w:ind w:left="9900"/>
        <w:spacing w:after="0"/>
        <w:rPr>
          <w:sz w:val="20"/>
          <w:szCs w:val="20"/>
          <w:color w:val="auto"/>
        </w:rPr>
      </w:pPr>
      <w:r>
        <w:rPr>
          <w:rFonts w:ascii="Arial" w:cs="Arial" w:eastAsia="Arial" w:hAnsi="Arial"/>
          <w:sz w:val="16"/>
          <w:szCs w:val="16"/>
          <w:b w:val="1"/>
          <w:bCs w:val="1"/>
          <w:color w:val="auto"/>
        </w:rPr>
        <w:t>ADS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High</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Annual:</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2016</w:t>
            </w:r>
          </w:p>
        </w:tc>
        <w:tc>
          <w:tcPr>
            <w:tcW w:w="8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2015</w:t>
            </w:r>
          </w:p>
        </w:tc>
        <w:tc>
          <w:tcPr>
            <w:tcW w:w="8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2014</w:t>
            </w:r>
          </w:p>
        </w:tc>
        <w:tc>
          <w:tcPr>
            <w:tcW w:w="8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3.07</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2013</w:t>
            </w:r>
          </w:p>
        </w:tc>
        <w:tc>
          <w:tcPr>
            <w:tcW w:w="8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2012</w:t>
            </w:r>
          </w:p>
        </w:tc>
        <w:tc>
          <w:tcPr>
            <w:tcW w:w="8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5.55</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600" w:type="dxa"/>
            <w:vAlign w:val="bottom"/>
            <w:gridSpan w:val="2"/>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600" w:type="dxa"/>
            <w:vAlign w:val="bottom"/>
            <w:gridSpan w:val="2"/>
          </w:tcPr>
          <w:p>
            <w:pPr>
              <w:spacing w:after="0"/>
              <w:rPr>
                <w:sz w:val="20"/>
                <w:szCs w:val="20"/>
                <w:color w:val="auto"/>
              </w:rPr>
            </w:pPr>
            <w:r>
              <w:rPr>
                <w:rFonts w:ascii="Arial" w:cs="Arial" w:eastAsia="Arial" w:hAnsi="Arial"/>
                <w:sz w:val="16"/>
                <w:szCs w:val="16"/>
                <w:b w:val="1"/>
                <w:bCs w:val="1"/>
                <w:color w:val="auto"/>
              </w:rPr>
              <w:t>Quarterly:</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Fourth Quarter 2016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tcPr>
          <w:p>
            <w:pPr>
              <w:ind w:left="160"/>
              <w:spacing w:after="0"/>
              <w:rPr>
                <w:sz w:val="20"/>
                <w:szCs w:val="20"/>
                <w:color w:val="auto"/>
              </w:rPr>
            </w:pPr>
            <w:r>
              <w:rPr>
                <w:rFonts w:ascii="Arial" w:cs="Arial" w:eastAsia="Arial" w:hAnsi="Arial"/>
                <w:sz w:val="16"/>
                <w:szCs w:val="16"/>
                <w:color w:val="auto"/>
              </w:rPr>
              <w:t>Third Quarter 2016</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1.28</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Second Quarter 2016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tcPr>
          <w:p>
            <w:pPr>
              <w:ind w:left="160"/>
              <w:spacing w:after="0"/>
              <w:rPr>
                <w:sz w:val="20"/>
                <w:szCs w:val="20"/>
                <w:color w:val="auto"/>
              </w:rPr>
            </w:pPr>
            <w:r>
              <w:rPr>
                <w:rFonts w:ascii="Arial" w:cs="Arial" w:eastAsia="Arial" w:hAnsi="Arial"/>
                <w:sz w:val="16"/>
                <w:szCs w:val="16"/>
                <w:color w:val="auto"/>
              </w:rPr>
              <w:t>First Quarter 2016</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Fourth Quarter 2015</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tcPr>
          <w:p>
            <w:pPr>
              <w:ind w:left="160"/>
              <w:spacing w:after="0"/>
              <w:rPr>
                <w:sz w:val="20"/>
                <w:szCs w:val="20"/>
                <w:color w:val="auto"/>
              </w:rPr>
            </w:pPr>
            <w:r>
              <w:rPr>
                <w:rFonts w:ascii="Arial" w:cs="Arial" w:eastAsia="Arial" w:hAnsi="Arial"/>
                <w:sz w:val="16"/>
                <w:szCs w:val="16"/>
                <w:color w:val="auto"/>
              </w:rPr>
              <w:t>Third Quarter 2015</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2.65</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Second Quarter 2015</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tcPr>
          <w:p>
            <w:pPr>
              <w:ind w:left="160"/>
              <w:spacing w:after="0"/>
              <w:rPr>
                <w:sz w:val="20"/>
                <w:szCs w:val="20"/>
                <w:color w:val="auto"/>
              </w:rPr>
            </w:pPr>
            <w:r>
              <w:rPr>
                <w:rFonts w:ascii="Arial" w:cs="Arial" w:eastAsia="Arial" w:hAnsi="Arial"/>
                <w:sz w:val="16"/>
                <w:szCs w:val="16"/>
                <w:color w:val="auto"/>
              </w:rPr>
              <w:t>First Quarter 2015</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2.84</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600" w:type="dxa"/>
            <w:vAlign w:val="bottom"/>
            <w:gridSpan w:val="2"/>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9600" w:type="dxa"/>
            <w:vAlign w:val="bottom"/>
            <w:gridSpan w:val="2"/>
          </w:tcPr>
          <w:p>
            <w:pPr>
              <w:spacing w:after="0"/>
              <w:rPr>
                <w:sz w:val="20"/>
                <w:szCs w:val="20"/>
                <w:color w:val="auto"/>
              </w:rPr>
            </w:pPr>
            <w:r>
              <w:rPr>
                <w:rFonts w:ascii="Arial" w:cs="Arial" w:eastAsia="Arial" w:hAnsi="Arial"/>
                <w:sz w:val="16"/>
                <w:szCs w:val="16"/>
                <w:b w:val="1"/>
                <w:bCs w:val="1"/>
                <w:color w:val="auto"/>
              </w:rPr>
              <w:t>Most Recent Six Months: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2017 (through March 22, 2017)</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tcPr>
          <w:p>
            <w:pPr>
              <w:spacing w:after="0"/>
              <w:rPr>
                <w:sz w:val="20"/>
                <w:szCs w:val="20"/>
                <w:color w:val="auto"/>
              </w:rPr>
            </w:pPr>
            <w:r>
              <w:rPr>
                <w:rFonts w:ascii="Arial" w:cs="Arial" w:eastAsia="Arial" w:hAnsi="Arial"/>
                <w:sz w:val="16"/>
                <w:szCs w:val="16"/>
                <w:color w:val="auto"/>
              </w:rPr>
              <w:t>February 2017</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January 2017</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tcPr>
          <w:p>
            <w:pPr>
              <w:spacing w:after="0"/>
              <w:rPr>
                <w:sz w:val="20"/>
                <w:szCs w:val="20"/>
                <w:color w:val="auto"/>
              </w:rPr>
            </w:pPr>
            <w:r>
              <w:rPr>
                <w:rFonts w:ascii="Arial" w:cs="Arial" w:eastAsia="Arial" w:hAnsi="Arial"/>
                <w:sz w:val="16"/>
                <w:szCs w:val="16"/>
                <w:color w:val="auto"/>
              </w:rPr>
              <w:t>December 2016</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1.03</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November 2016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tcPr>
          <w:p>
            <w:pPr>
              <w:spacing w:after="0"/>
              <w:rPr>
                <w:sz w:val="20"/>
                <w:szCs w:val="20"/>
                <w:color w:val="auto"/>
              </w:rPr>
            </w:pPr>
            <w:r>
              <w:rPr>
                <w:rFonts w:ascii="Arial" w:cs="Arial" w:eastAsia="Arial" w:hAnsi="Arial"/>
                <w:sz w:val="16"/>
                <w:szCs w:val="16"/>
                <w:color w:val="auto"/>
              </w:rPr>
              <w:t>October 2016</w:t>
            </w: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1.16</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2016</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60" w:firstLine="584"/>
        <w:spacing w:after="0" w:line="283" w:lineRule="auto"/>
        <w:rPr>
          <w:sz w:val="20"/>
          <w:szCs w:val="20"/>
          <w:color w:val="auto"/>
        </w:rPr>
      </w:pPr>
      <w:r>
        <w:rPr>
          <w:rFonts w:ascii="Arial" w:cs="Arial" w:eastAsia="Arial" w:hAnsi="Arial"/>
          <w:sz w:val="16"/>
          <w:szCs w:val="16"/>
          <w:color w:val="auto"/>
        </w:rPr>
        <w:t>On March 22, 2017, the last reported sales price of our ADSs on the Nasdaq was $1.12 per ADS. As of March 22, 2017 there was one shareholder of record of our ADSs. The number of record holders is not representative of the number of beneficial holders of our ADSs.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Price Range of our Ordinary Shares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ordinary shares have been trading on the TASE under the symbol "BLRX" since February 2007.</w:t>
      </w:r>
    </w:p>
    <w:p>
      <w:pPr>
        <w:spacing w:after="0" w:line="254" w:lineRule="exact"/>
        <w:rPr>
          <w:sz w:val="20"/>
          <w:szCs w:val="20"/>
          <w:color w:val="auto"/>
        </w:rPr>
      </w:pPr>
    </w:p>
    <w:p>
      <w:pPr>
        <w:ind w:right="200" w:firstLine="584"/>
        <w:spacing w:after="0" w:line="268" w:lineRule="auto"/>
        <w:rPr>
          <w:sz w:val="20"/>
          <w:szCs w:val="20"/>
          <w:color w:val="auto"/>
        </w:rPr>
      </w:pPr>
      <w:r>
        <w:rPr>
          <w:rFonts w:ascii="Arial" w:cs="Arial" w:eastAsia="Arial" w:hAnsi="Arial"/>
          <w:sz w:val="16"/>
          <w:szCs w:val="16"/>
          <w:color w:val="auto"/>
        </w:rPr>
        <w:t>The following table sets forth, for the periods indicated, the reported high and low closing sale prices of our ordinary shares on the TASE in NIS and dollars. Dollar per ordinary share amounts are calculated using the dollar representative rate of exchange on the date to which the high or low market price is applicable, as reported by the Bank of Israel.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6"/>
                <w:szCs w:val="16"/>
                <w:b w:val="1"/>
                <w:bCs w:val="1"/>
                <w:color w:val="auto"/>
                <w:w w:val="97"/>
              </w:rPr>
              <w:t>NIS</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6"/>
                <w:szCs w:val="16"/>
                <w:b w:val="1"/>
                <w:bCs w:val="1"/>
                <w:color w:val="auto"/>
                <w:w w:val="89"/>
              </w:rPr>
              <w:t>U.S.$</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3"/>
          </w:tcPr>
          <w:p>
            <w:pPr>
              <w:jc w:val="center"/>
              <w:ind w:right="339"/>
              <w:spacing w:after="0" w:line="178" w:lineRule="exact"/>
              <w:rPr>
                <w:sz w:val="20"/>
                <w:szCs w:val="20"/>
                <w:color w:val="auto"/>
              </w:rPr>
            </w:pPr>
            <w:r>
              <w:rPr>
                <w:rFonts w:ascii="Arial" w:cs="Arial" w:eastAsia="Arial" w:hAnsi="Arial"/>
                <w:sz w:val="16"/>
                <w:szCs w:val="16"/>
                <w:b w:val="1"/>
                <w:bCs w:val="1"/>
                <w:color w:val="auto"/>
                <w:w w:val="92"/>
              </w:rPr>
              <w:t>Price Per</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center"/>
              <w:ind w:left="739"/>
              <w:spacing w:after="0" w:line="178" w:lineRule="exact"/>
              <w:rPr>
                <w:sz w:val="20"/>
                <w:szCs w:val="20"/>
                <w:color w:val="auto"/>
              </w:rPr>
            </w:pPr>
            <w:r>
              <w:rPr>
                <w:rFonts w:ascii="Arial" w:cs="Arial" w:eastAsia="Arial" w:hAnsi="Arial"/>
                <w:sz w:val="16"/>
                <w:szCs w:val="16"/>
                <w:b w:val="1"/>
                <w:bCs w:val="1"/>
                <w:color w:val="auto"/>
                <w:w w:val="92"/>
              </w:rPr>
              <w:t>Price Per</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180" w:type="dxa"/>
            <w:vAlign w:val="bottom"/>
            <w:gridSpan w:val="4"/>
          </w:tcPr>
          <w:p>
            <w:pPr>
              <w:jc w:val="center"/>
              <w:ind w:left="279"/>
              <w:spacing w:after="0"/>
              <w:rPr>
                <w:sz w:val="20"/>
                <w:szCs w:val="20"/>
                <w:color w:val="auto"/>
              </w:rPr>
            </w:pPr>
            <w:r>
              <w:rPr>
                <w:rFonts w:ascii="Arial" w:cs="Arial" w:eastAsia="Arial" w:hAnsi="Arial"/>
                <w:sz w:val="16"/>
                <w:szCs w:val="16"/>
                <w:b w:val="1"/>
                <w:bCs w:val="1"/>
                <w:color w:val="auto"/>
                <w:w w:val="95"/>
              </w:rPr>
              <w:t>Ordinary Share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5"/>
              </w:rPr>
              <w:t>Ordinary Share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760" w:type="dxa"/>
            <w:vAlign w:val="bottom"/>
            <w:tcBorders>
              <w:top w:val="single" w:sz="8" w:color="auto"/>
            </w:tcBorders>
          </w:tcPr>
          <w:p>
            <w:pPr>
              <w:ind w:left="400"/>
              <w:spacing w:after="0"/>
              <w:rPr>
                <w:sz w:val="20"/>
                <w:szCs w:val="20"/>
                <w:color w:val="auto"/>
              </w:rPr>
            </w:pPr>
            <w:r>
              <w:rPr>
                <w:rFonts w:ascii="Arial" w:cs="Arial" w:eastAsia="Arial" w:hAnsi="Arial"/>
                <w:sz w:val="16"/>
                <w:szCs w:val="16"/>
                <w:b w:val="1"/>
                <w:bCs w:val="1"/>
                <w:color w:val="auto"/>
                <w:w w:val="95"/>
              </w:rPr>
              <w:t>High</w:t>
            </w:r>
          </w:p>
        </w:tc>
        <w:tc>
          <w:tcPr>
            <w:tcW w:w="3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Low</w:t>
            </w: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top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High</w:t>
            </w:r>
          </w:p>
        </w:tc>
        <w:tc>
          <w:tcPr>
            <w:tcW w:w="82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Annual:</w:t>
            </w: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2016</w:t>
            </w:r>
          </w:p>
        </w:tc>
        <w:tc>
          <w:tcPr>
            <w:tcW w:w="76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5.21</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3.07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2015</w:t>
            </w:r>
          </w:p>
        </w:tc>
        <w:tc>
          <w:tcPr>
            <w:tcW w:w="7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10.23</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2.57</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2014</w:t>
            </w:r>
          </w:p>
        </w:tc>
        <w:tc>
          <w:tcPr>
            <w:tcW w:w="76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10.49</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4.76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3.01</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2013</w:t>
            </w:r>
          </w:p>
        </w:tc>
        <w:tc>
          <w:tcPr>
            <w:tcW w:w="7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17.99</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4.89</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ind w:left="160"/>
              <w:spacing w:after="0"/>
              <w:rPr>
                <w:sz w:val="20"/>
                <w:szCs w:val="20"/>
                <w:color w:val="auto"/>
              </w:rPr>
            </w:pPr>
            <w:r>
              <w:rPr>
                <w:rFonts w:ascii="Arial" w:cs="Arial" w:eastAsia="Arial" w:hAnsi="Arial"/>
                <w:sz w:val="16"/>
                <w:szCs w:val="16"/>
                <w:color w:val="auto"/>
              </w:rPr>
              <w:t>2012</w:t>
            </w:r>
          </w:p>
        </w:tc>
        <w:tc>
          <w:tcPr>
            <w:tcW w:w="76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21.15</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8.92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5.58</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820" w:type="dxa"/>
            <w:vAlign w:val="bottom"/>
            <w:gridSpan w:val="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Quarterly:</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Fourth Quarter 2016</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4.31</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Third Quarter 2016</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4.60</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3.07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1.22</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Second Quarter 2016</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3.92</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First Quarter 2016</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5.21</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3.67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Fourth Quarter 2015</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6.16</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Third Quarter 2015</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10.21</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4.94</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2.70</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Second Quarter 2015</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9.83</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2.61</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First Quarter 2015</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10.23</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6.70</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2.57</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820" w:type="dxa"/>
            <w:vAlign w:val="bottom"/>
            <w:gridSpan w:val="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Most Recent Six Months: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March 2017 (through March 22, 2017)</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4.29</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February 2017</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4.67</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3.82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1.26</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January 2017</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3.92</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December 2016</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3.88</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3.48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November 2016</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4.31</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tcPr>
          <w:p>
            <w:pPr>
              <w:ind w:left="160"/>
              <w:spacing w:after="0"/>
              <w:rPr>
                <w:sz w:val="20"/>
                <w:szCs w:val="20"/>
                <w:color w:val="auto"/>
              </w:rPr>
            </w:pPr>
            <w:r>
              <w:rPr>
                <w:rFonts w:ascii="Arial" w:cs="Arial" w:eastAsia="Arial" w:hAnsi="Arial"/>
                <w:sz w:val="16"/>
                <w:szCs w:val="16"/>
                <w:color w:val="auto"/>
              </w:rPr>
              <w:t>October 2016</w:t>
            </w: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4.24</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3.78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1.12</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September 2016</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4.60</w:t>
            </w:r>
          </w:p>
        </w:tc>
        <w:tc>
          <w:tcPr>
            <w:tcW w:w="7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40"/>
        <w:spacing w:after="0" w:line="324" w:lineRule="auto"/>
        <w:rPr>
          <w:sz w:val="20"/>
          <w:szCs w:val="20"/>
          <w:color w:val="auto"/>
        </w:rPr>
      </w:pPr>
      <w:r>
        <w:rPr>
          <w:rFonts w:ascii="Arial" w:cs="Arial" w:eastAsia="Arial" w:hAnsi="Arial"/>
          <w:sz w:val="14"/>
          <w:szCs w:val="14"/>
          <w:color w:val="auto"/>
        </w:rPr>
        <w:t>On March 22, 2017, the last reported sales price of our ordinary shares on the TASE was NIS 3.93 per share, or $1.07 per share (based on the exchange rate reported by the Bank of Israel for such date). On March 22, 2017, the exchange rate of the NIS to the dollar was $1.00 = NIS 3.66, as reported by the Bank of Israel. As of March 22, 2017, there were two shareholders of record of our ordinary shares. The number of record holders is not representative of the number of beneficial holders of our ordinary shares.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Plan of Distribution</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Reasons for the Offer and Use of Proceeds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Share Capital</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color w:val="auto"/>
        </w:rPr>
        <w:t>B. Articles of Association</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number with the Israeli Registrar of Companies is 513398750. Our purpose is set forth in Section 2 of our Articles of Association and includes every lawful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purpose.</w:t>
      </w:r>
    </w:p>
    <w:p>
      <w:pPr>
        <w:spacing w:after="0" w:line="243"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Our ordinary shares that are fully paid for are issued in registered form and may be freely transferred under our Articles of Association, unless the transfer is restricted or prohibited by applicable law or the rules of a stock exchange on which the shares are traded.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216" w:lineRule="exact"/>
        <w:rPr>
          <w:sz w:val="20"/>
          <w:szCs w:val="20"/>
          <w:color w:val="auto"/>
        </w:rPr>
      </w:pPr>
    </w:p>
    <w:p>
      <w:pPr>
        <w:ind w:right="40" w:firstLine="584"/>
        <w:spacing w:after="0" w:line="283" w:lineRule="auto"/>
        <w:rPr>
          <w:sz w:val="20"/>
          <w:szCs w:val="20"/>
          <w:color w:val="auto"/>
        </w:rPr>
      </w:pPr>
      <w:r>
        <w:rPr>
          <w:rFonts w:ascii="Arial" w:cs="Arial" w:eastAsia="Arial" w:hAnsi="Arial"/>
          <w:sz w:val="16"/>
          <w:szCs w:val="16"/>
          <w:color w:val="auto"/>
        </w:rPr>
        <w:t>Pursuant to the Companies Law and our Articles of Association, our Board of Directors may exercise all powers and take all actions that are not required under law or under our Articles of Association to be exercised or taken by our shareholders, including the power to borrow money for company purposes.</w:t>
      </w:r>
    </w:p>
    <w:p>
      <w:pPr>
        <w:spacing w:after="0" w:line="199" w:lineRule="exact"/>
        <w:rPr>
          <w:sz w:val="20"/>
          <w:szCs w:val="20"/>
          <w:color w:val="auto"/>
        </w:rPr>
      </w:pPr>
    </w:p>
    <w:p>
      <w:pPr>
        <w:ind w:firstLine="584"/>
        <w:spacing w:after="0" w:line="301" w:lineRule="auto"/>
        <w:rPr>
          <w:sz w:val="20"/>
          <w:szCs w:val="20"/>
          <w:color w:val="auto"/>
        </w:rPr>
      </w:pPr>
      <w:r>
        <w:rPr>
          <w:rFonts w:ascii="Arial" w:cs="Arial" w:eastAsia="Arial" w:hAnsi="Arial"/>
          <w:sz w:val="14"/>
          <w:szCs w:val="14"/>
          <w:color w:val="auto"/>
        </w:rPr>
        <w:t>Our Articles of Association enable us to increase or reduce our share capital. Any such changes are subject to the provisions of the Companies Law and must be approved by a resolution duly passed by our shareholders at a general or special meeting by voting on such change in the capital. In addition, transactions that have the effect of reducing capital, such as the declaration and payment of dividends in the absence of sufficient retained earnings and profits and an issuance of shares for less than their nominal value (under certain circumstances), require a resolution of our Board of Directors and court approval. In May 2015, at an Extraordinary General Meeting of our shareholders, they approved a 1-for-10 reverse share split of our ordinary shares and a corresponding amendment to our Articles of Association, and further approved an increase to our share capital from NIS 7,500,000 divided into 75,000,000 ordinary shares of a nominal value of NIS 0.10 each to NIS 15,000,000 divided into 150,000,000 ordinary shares of nominal value NIS 0.10, and a corresponding amendment to our Articles of Association, effective immediately after the reverse share split became effective.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8" w:lineRule="exact"/>
        <w:rPr>
          <w:sz w:val="20"/>
          <w:szCs w:val="20"/>
          <w:color w:val="auto"/>
        </w:rPr>
      </w:pPr>
    </w:p>
    <w:p>
      <w:pPr>
        <w:ind w:right="140" w:firstLine="584"/>
        <w:spacing w:after="0" w:line="263"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216" w:lineRule="exact"/>
        <w:rPr>
          <w:sz w:val="20"/>
          <w:szCs w:val="20"/>
          <w:color w:val="auto"/>
        </w:rPr>
      </w:pPr>
    </w:p>
    <w:p>
      <w:pPr>
        <w:ind w:right="120" w:firstLine="584"/>
        <w:spacing w:after="0" w:line="263" w:lineRule="auto"/>
        <w:rPr>
          <w:sz w:val="20"/>
          <w:szCs w:val="20"/>
          <w:color w:val="auto"/>
        </w:rPr>
      </w:pPr>
      <w:r>
        <w:rPr>
          <w:rFonts w:ascii="Arial" w:cs="Arial" w:eastAsia="Arial" w:hAnsi="Arial"/>
          <w:sz w:val="16"/>
          <w:szCs w:val="16"/>
          <w:color w:val="auto"/>
        </w:rPr>
        <w:t>Pursuant to the Companies Law, we may only distribute dividends from our profits accrued over the previous two years, as defined in the Companies Law, according to our then last reviewed or audited financial reports, provided that the date of the financial reports is not more than six months prior to the date of distribution, or we may distribute dividends with court approval. In each case, we are only permitted to pay a dividend if there is no reasonable concern that payment of the dividend will prevent us from satisfying our existing and foreseeable obligations as they become due.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58" w:lineRule="exact"/>
        <w:rPr>
          <w:sz w:val="20"/>
          <w:szCs w:val="20"/>
          <w:color w:val="auto"/>
        </w:rPr>
      </w:pPr>
    </w:p>
    <w:p>
      <w:pPr>
        <w:ind w:right="200" w:firstLine="584"/>
        <w:spacing w:after="0" w:line="313" w:lineRule="auto"/>
        <w:rPr>
          <w:sz w:val="20"/>
          <w:szCs w:val="20"/>
          <w:color w:val="auto"/>
        </w:rPr>
      </w:pPr>
      <w:r>
        <w:rPr>
          <w:rFonts w:ascii="Arial" w:cs="Arial" w:eastAsia="Arial" w:hAnsi="Arial"/>
          <w:sz w:val="14"/>
          <w:szCs w:val="14"/>
          <w:color w:val="auto"/>
        </w:rPr>
        <w:t>Our ordinary shares do not have cumulative voting rights in the election of directors. As a result, the holders of a majority of the voting power represented at a shareholders meeting have the power to elect all of our directors, other than with respect to the special approval requirements for the election of external directors (unless we qualify as an Eligible Company and opt to follow the exemption provided under the Amendment to the Relief Regulations regarding appointment of external directors and composition of the audit and compensation committees) described under "Item 6. Directors, Senior Management and Employees — Board Practices — External Directors."</w:t>
      </w:r>
    </w:p>
    <w:p>
      <w:pPr>
        <w:spacing w:after="0" w:line="183" w:lineRule="exact"/>
        <w:rPr>
          <w:sz w:val="20"/>
          <w:szCs w:val="20"/>
          <w:color w:val="auto"/>
        </w:rPr>
      </w:pPr>
    </w:p>
    <w:p>
      <w:pPr>
        <w:ind w:firstLine="584"/>
        <w:spacing w:after="0" w:line="276" w:lineRule="auto"/>
        <w:rPr>
          <w:sz w:val="20"/>
          <w:szCs w:val="20"/>
          <w:color w:val="auto"/>
        </w:rPr>
      </w:pPr>
      <w:r>
        <w:rPr>
          <w:rFonts w:ascii="Arial" w:cs="Arial" w:eastAsia="Arial" w:hAnsi="Arial"/>
          <w:sz w:val="15"/>
          <w:szCs w:val="15"/>
          <w:color w:val="auto"/>
        </w:rPr>
        <w:t>Pursuant to our Articles of Association, other than the external directors, for whom special election requirements apply under the Companies Law (unless we qualify as an Eligible Company and opt to follow the exemption provided under the Amendment to the Relief Regulations regarding appointment of external directors and composition of the audit and compensation committees), our directors are elected at a general or special meeting of our shareholders and serve on the Board of Directors until they are removed by the majority of our shareholders at a general or special meeting of our shareholders or upon the occurrence of certain events, in accordance with the Companies Law and our Articles of Association. In addition, our Articles of Association allow our Board of Directors to appoint directors (other than external directors) to fill vacancies on the Board of Directors to serve until the next general meeting or special meeting, or earlier if required by our Articles of Association or applicable law. We have held elections for each of our non-external directors at each annual meeting of our shareholders since our initial public offering in Israel. Unless we qualify as an Eligible Company and opt to follow the exemption provided under the Amendment to the Relief Regulations regarding appointment of external directors and composition of the audit and compensation committees, external directors are elected for an initial term of three years and may be removed from office pursuant to the terms of the Companies Law. See "Item 6. Directors, Senior Management and Employees — Board Practices — External Directors."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5" w:name="page106"/>
    <w:bookmarkEnd w:id="105"/>
    <w:p>
      <w:pPr>
        <w:ind w:left="3"/>
        <w:spacing w:after="0"/>
        <w:rPr>
          <w:sz w:val="20"/>
          <w:szCs w:val="20"/>
          <w:color w:val="auto"/>
        </w:rPr>
      </w:pPr>
      <w:r>
        <w:rPr>
          <w:rFonts w:ascii="Arial" w:cs="Arial" w:eastAsia="Arial" w:hAnsi="Arial"/>
          <w:sz w:val="16"/>
          <w:szCs w:val="16"/>
          <w:b w:val="1"/>
          <w:bCs w:val="1"/>
          <w:color w:val="auto"/>
        </w:rPr>
        <w:t>Shareholder Meetings</w:t>
      </w:r>
    </w:p>
    <w:p>
      <w:pPr>
        <w:spacing w:after="0" w:line="258" w:lineRule="exact"/>
        <w:rPr>
          <w:sz w:val="20"/>
          <w:szCs w:val="20"/>
          <w:color w:val="auto"/>
        </w:rPr>
      </w:pPr>
    </w:p>
    <w:p>
      <w:pPr>
        <w:ind w:left="3" w:firstLine="584"/>
        <w:spacing w:after="0" w:line="294" w:lineRule="auto"/>
        <w:rPr>
          <w:sz w:val="20"/>
          <w:szCs w:val="20"/>
          <w:color w:val="auto"/>
        </w:rPr>
      </w:pPr>
      <w:r>
        <w:rPr>
          <w:rFonts w:ascii="Arial" w:cs="Arial" w:eastAsia="Arial" w:hAnsi="Arial"/>
          <w:sz w:val="14"/>
          <w:szCs w:val="14"/>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Companies Law and our Articles of Association provide that our Board of Directors is required to convene a special meeting upon the written request of (a) any two of our directors or one quarter of our Board of Directors or</w:t>
      </w:r>
    </w:p>
    <w:p>
      <w:pPr>
        <w:spacing w:after="0" w:line="2" w:lineRule="exact"/>
        <w:rPr>
          <w:sz w:val="20"/>
          <w:szCs w:val="20"/>
          <w:color w:val="auto"/>
        </w:rPr>
      </w:pPr>
    </w:p>
    <w:p>
      <w:pPr>
        <w:ind w:left="3" w:right="240" w:hanging="3"/>
        <w:spacing w:after="0" w:line="268" w:lineRule="auto"/>
        <w:tabs>
          <w:tab w:leader="none" w:pos="2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one or more shareholders holding, in the aggregate, either (1) 5% of our outstanding shares and 1% of our outstanding voting power or (2) 5% of our outstanding voting power.</w:t>
      </w:r>
    </w:p>
    <w:p>
      <w:pPr>
        <w:spacing w:after="0" w:line="210" w:lineRule="exact"/>
        <w:rPr>
          <w:sz w:val="20"/>
          <w:szCs w:val="20"/>
          <w:color w:val="auto"/>
        </w:rPr>
      </w:pPr>
    </w:p>
    <w:p>
      <w:pPr>
        <w:jc w:val="both"/>
        <w:ind w:left="3" w:right="100" w:firstLine="584"/>
        <w:spacing w:after="0" w:line="294" w:lineRule="auto"/>
        <w:rPr>
          <w:sz w:val="20"/>
          <w:szCs w:val="20"/>
          <w:color w:val="auto"/>
        </w:rPr>
      </w:pPr>
      <w:r>
        <w:rPr>
          <w:rFonts w:ascii="Arial" w:cs="Arial" w:eastAsia="Arial" w:hAnsi="Arial"/>
          <w:sz w:val="15"/>
          <w:szCs w:val="15"/>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and our Articles of Association require that resolutions regarding the following matters must be passed at a general meeting of our shareholders:</w:t>
      </w:r>
    </w:p>
    <w:p>
      <w:pPr>
        <w:spacing w:after="0" w:line="194" w:lineRule="exact"/>
        <w:rPr>
          <w:sz w:val="20"/>
          <w:szCs w:val="20"/>
          <w:color w:val="auto"/>
        </w:rPr>
      </w:pPr>
    </w:p>
    <w:p>
      <w:pPr>
        <w:ind w:left="1163" w:hanging="578"/>
        <w:spacing w:after="0"/>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amendments to our Articles of Association;</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appointment or termination of our auditors;</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appointment of directors and appointment and dismissal of external directors;</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approval of acts and transactions requiring general meeting approval pursuant to the Companies Law;</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director compensation, indemnification and change of the principal executive officer;</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increases or reductions of our authorized share capital;</w:t>
      </w:r>
    </w:p>
    <w:p>
      <w:pPr>
        <w:spacing w:after="0" w:line="254" w:lineRule="exact"/>
        <w:rPr>
          <w:rFonts w:ascii="Arial" w:cs="Arial" w:eastAsia="Arial" w:hAnsi="Arial"/>
          <w:sz w:val="16"/>
          <w:szCs w:val="16"/>
          <w:color w:val="auto"/>
        </w:rPr>
      </w:pPr>
    </w:p>
    <w:p>
      <w:pPr>
        <w:ind w:left="1163" w:hanging="578"/>
        <w:spacing w:after="0"/>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merger; and</w:t>
      </w:r>
    </w:p>
    <w:p>
      <w:pPr>
        <w:spacing w:after="0" w:line="254" w:lineRule="exact"/>
        <w:rPr>
          <w:rFonts w:ascii="Arial" w:cs="Arial" w:eastAsia="Arial" w:hAnsi="Arial"/>
          <w:sz w:val="16"/>
          <w:szCs w:val="16"/>
          <w:color w:val="auto"/>
        </w:rPr>
      </w:pPr>
    </w:p>
    <w:p>
      <w:pPr>
        <w:ind w:left="1163" w:right="180" w:hanging="578"/>
        <w:spacing w:after="0" w:line="283" w:lineRule="auto"/>
        <w:tabs>
          <w:tab w:leader="none" w:pos="11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exercise of our Board of Director's powers by a general meeting, if our Board of Directors is unable to exercise its powers and the exercise of any of its powers is required for our proper management.</w:t>
      </w:r>
    </w:p>
    <w:p>
      <w:pPr>
        <w:spacing w:after="0" w:line="199" w:lineRule="exact"/>
        <w:rPr>
          <w:sz w:val="20"/>
          <w:szCs w:val="20"/>
          <w:color w:val="auto"/>
        </w:rPr>
      </w:pPr>
    </w:p>
    <w:p>
      <w:pPr>
        <w:ind w:left="3" w:firstLine="584"/>
        <w:spacing w:after="0" w:line="268" w:lineRule="auto"/>
        <w:rPr>
          <w:sz w:val="20"/>
          <w:szCs w:val="20"/>
          <w:color w:val="auto"/>
        </w:rPr>
      </w:pPr>
      <w:r>
        <w:rPr>
          <w:rFonts w:ascii="Arial" w:cs="Arial" w:eastAsia="Arial" w:hAnsi="Arial"/>
          <w:sz w:val="16"/>
          <w:szCs w:val="16"/>
          <w:color w:val="auto"/>
        </w:rPr>
        <w:t>The Companies Law requires that a notice of any annual or special shareholders meeting be provided at least 21 days prior to the meeting and if the agenda of the meeting includes the appointment or removal of directors, the approval of transactions with office holders or interested or related parties, the approval of a compensation policy with respect to office holders or an approval of a merger, notice must be provided at least 35 days prior to the meeting.</w:t>
      </w:r>
    </w:p>
    <w:p>
      <w:pPr>
        <w:spacing w:after="0" w:line="212" w:lineRule="exact"/>
        <w:rPr>
          <w:sz w:val="20"/>
          <w:szCs w:val="20"/>
          <w:color w:val="auto"/>
        </w:rPr>
      </w:pPr>
    </w:p>
    <w:p>
      <w:pPr>
        <w:ind w:left="3" w:right="560" w:firstLine="584"/>
        <w:spacing w:after="0" w:line="283" w:lineRule="auto"/>
        <w:rPr>
          <w:sz w:val="20"/>
          <w:szCs w:val="20"/>
          <w:color w:val="auto"/>
        </w:rPr>
      </w:pPr>
      <w:r>
        <w:rPr>
          <w:rFonts w:ascii="Arial" w:cs="Arial" w:eastAsia="Arial" w:hAnsi="Arial"/>
          <w:sz w:val="16"/>
          <w:szCs w:val="16"/>
          <w:color w:val="auto"/>
        </w:rPr>
        <w:t>Pursuant to our Articles of Association, holders of our ordinary shares have one vote for each ordinary share held on all matters submitted to a vote before the shareholders at a general meeting.</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Quorum</w:t>
      </w:r>
    </w:p>
    <w:p>
      <w:pPr>
        <w:spacing w:after="0" w:line="258" w:lineRule="exact"/>
        <w:rPr>
          <w:sz w:val="20"/>
          <w:szCs w:val="20"/>
          <w:color w:val="auto"/>
        </w:rPr>
      </w:pPr>
    </w:p>
    <w:p>
      <w:pPr>
        <w:ind w:left="3" w:right="40" w:firstLine="584"/>
        <w:spacing w:after="0" w:line="283" w:lineRule="auto"/>
        <w:rPr>
          <w:sz w:val="20"/>
          <w:szCs w:val="20"/>
          <w:color w:val="auto"/>
        </w:rPr>
      </w:pPr>
      <w:r>
        <w:rPr>
          <w:rFonts w:ascii="Arial" w:cs="Arial" w:eastAsia="Arial" w:hAnsi="Arial"/>
          <w:sz w:val="16"/>
          <w:szCs w:val="16"/>
          <w:color w:val="auto"/>
        </w:rPr>
        <w:t>The quorum required for our general meetings of shareholders consists of at least two shareholders present in person, by proxy or written ballot who hold or represent between them at least 25% of the total outstanding voting rights.</w:t>
      </w:r>
    </w:p>
    <w:p>
      <w:pPr>
        <w:spacing w:after="0" w:line="35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3"/>
          </w:cols>
          <w:pgMar w:left="237" w:top="123" w:right="259" w:bottom="1440" w:gutter="0" w:footer="0" w:header="0"/>
        </w:sectPr>
      </w:pPr>
    </w:p>
    <w:bookmarkStart w:id="106" w:name="page107"/>
    <w:bookmarkEnd w:id="106"/>
    <w:p>
      <w:pPr>
        <w:ind w:right="500" w:firstLine="584"/>
        <w:spacing w:after="0" w:line="318" w:lineRule="auto"/>
        <w:rPr>
          <w:sz w:val="20"/>
          <w:szCs w:val="20"/>
          <w:color w:val="auto"/>
        </w:rPr>
      </w:pPr>
      <w:r>
        <w:rPr>
          <w:rFonts w:ascii="Arial" w:cs="Arial" w:eastAsia="Arial" w:hAnsi="Arial"/>
          <w:sz w:val="15"/>
          <w:szCs w:val="15"/>
          <w:color w:val="auto"/>
        </w:rPr>
        <w:t>A meeting adjourned for lack of a quorum is adjourned to the same day in the following week at the same time and place or on a later date if so specified in the summons or notice of the meeting. At the reconvened meeting, any number of our shareholders present in person or by proxy shall constitute a lawful quorum.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Resolutions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Articles of Association provide that all resolutions of our shareholders require a simple majority vote, unless otherwise required by applicable law.</w:t>
      </w:r>
    </w:p>
    <w:p>
      <w:pPr>
        <w:spacing w:after="0" w:line="254" w:lineRule="exact"/>
        <w:rPr>
          <w:sz w:val="20"/>
          <w:szCs w:val="20"/>
          <w:color w:val="auto"/>
        </w:rPr>
      </w:pPr>
    </w:p>
    <w:p>
      <w:pPr>
        <w:ind w:right="540" w:firstLine="584"/>
        <w:spacing w:after="0" w:line="283" w:lineRule="auto"/>
        <w:rPr>
          <w:sz w:val="20"/>
          <w:szCs w:val="20"/>
          <w:color w:val="auto"/>
        </w:rPr>
      </w:pPr>
      <w:r>
        <w:rPr>
          <w:rFonts w:ascii="Arial" w:cs="Arial" w:eastAsia="Arial" w:hAnsi="Arial"/>
          <w:sz w:val="16"/>
          <w:szCs w:val="16"/>
          <w:color w:val="auto"/>
        </w:rPr>
        <w:t>Israeli law provides that a shareholder of a public company may vote in a meeting and in a class meeting by means of a written ballot in which the shareholder indicates how he or she votes on resolutions relating to the following matters:</w:t>
      </w:r>
    </w:p>
    <w:p>
      <w:pPr>
        <w:spacing w:after="0" w:line="199" w:lineRule="exact"/>
        <w:rPr>
          <w:sz w:val="20"/>
          <w:szCs w:val="20"/>
          <w:color w:val="auto"/>
        </w:rPr>
      </w:pPr>
    </w:p>
    <w:p>
      <w:pPr>
        <w:ind w:left="1160" w:hanging="578"/>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appointment or removal of directors;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approval of transactions with office holders or interested or related parties;</w:t>
      </w:r>
    </w:p>
    <w:p>
      <w:pPr>
        <w:spacing w:after="0" w:line="254" w:lineRule="exact"/>
        <w:rPr>
          <w:rFonts w:ascii="Arial" w:cs="Arial" w:eastAsia="Arial" w:hAnsi="Arial"/>
          <w:sz w:val="16"/>
          <w:szCs w:val="16"/>
          <w:color w:val="auto"/>
        </w:rPr>
      </w:pPr>
    </w:p>
    <w:p>
      <w:pPr>
        <w:ind w:left="1160" w:right="480" w:hanging="578"/>
        <w:spacing w:after="0" w:line="283" w:lineRule="auto"/>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approval of a merger or any other matter in respect of which there is a provision in the articles of association providing that decisions of the general meeting may also be passed by written ballot;</w:t>
      </w:r>
    </w:p>
    <w:p>
      <w:pPr>
        <w:spacing w:after="0" w:line="199" w:lineRule="exact"/>
        <w:rPr>
          <w:rFonts w:ascii="Arial" w:cs="Arial" w:eastAsia="Arial" w:hAnsi="Arial"/>
          <w:sz w:val="16"/>
          <w:szCs w:val="16"/>
          <w:color w:val="auto"/>
        </w:rPr>
      </w:pPr>
    </w:p>
    <w:p>
      <w:pPr>
        <w:ind w:left="1160" w:right="260" w:hanging="578"/>
        <w:spacing w:after="0" w:line="283" w:lineRule="auto"/>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authorizing the chairman of the board of directors or his relative to act as the company's chief executive officer or act with such authority; or authorize the company's chief executive officer or his relative to act as the chairman of the board of directors or act with such authority; and</w:t>
      </w:r>
    </w:p>
    <w:p>
      <w:pPr>
        <w:spacing w:after="0" w:line="199" w:lineRule="exact"/>
        <w:rPr>
          <w:rFonts w:ascii="Arial" w:cs="Arial" w:eastAsia="Arial" w:hAnsi="Arial"/>
          <w:sz w:val="16"/>
          <w:szCs w:val="16"/>
          <w:color w:val="auto"/>
        </w:rPr>
      </w:pPr>
    </w:p>
    <w:p>
      <w:pPr>
        <w:ind w:left="1160" w:hanging="578"/>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other matters which may be prescribed by Israel's Minister of Justice.</w:t>
      </w:r>
    </w:p>
    <w:p>
      <w:pPr>
        <w:spacing w:after="0" w:line="254"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The provision allowing the vote by written ballot does not apply where the voting power of the controlling shareholder is sufficient to determine the vote. Our Articles of Association provides that our Board of Directors may prevent voting by means of a written ballot and this determination is required to be stated in the notice convening the general meeting.</w:t>
      </w:r>
    </w:p>
    <w:p>
      <w:pPr>
        <w:spacing w:after="0" w:line="212" w:lineRule="exact"/>
        <w:rPr>
          <w:sz w:val="20"/>
          <w:szCs w:val="20"/>
          <w:color w:val="auto"/>
        </w:rPr>
      </w:pPr>
    </w:p>
    <w:p>
      <w:pPr>
        <w:ind w:right="80" w:firstLine="584"/>
        <w:spacing w:after="0" w:line="301" w:lineRule="auto"/>
        <w:rPr>
          <w:sz w:val="20"/>
          <w:szCs w:val="20"/>
          <w:color w:val="auto"/>
        </w:rPr>
      </w:pPr>
      <w:r>
        <w:rPr>
          <w:rFonts w:ascii="Arial" w:cs="Arial" w:eastAsia="Arial" w:hAnsi="Arial"/>
          <w:sz w:val="14"/>
          <w:szCs w:val="14"/>
          <w:color w:val="auto"/>
        </w:rPr>
        <w:t>The Companies Law provides that a shareholder, in exercising his or her rights and performing his or her obligations toward the company and its other shareholders, must act in good faith and in a customary manner, and avoid abusing his or her power. This is required when voting at general meetings on matters such as changes to the articles of association, increasing the company's registered capital, mergers and approval of related party transactions. A shareholder also has a general duty to refrain from depriving any other shareholder of its rights as a shareholder. In addition, any controlling shareholder, any shareholder who knows that its vote can determine the outcome of a shareholder vote and any shareholder who, under the company's articles of association, can appoint or prevent the appointment of an office holder, is required to act with fairness towards the company. The Companies Law does not describe the substance of this duty except to state that the remedies generally available upon a breach of contract will also apply to a breach of the duty to act with fairness, and, to the best of our knowledge, there is no binding case law that addresses this subject directly.</w:t>
      </w:r>
    </w:p>
    <w:p>
      <w:pPr>
        <w:spacing w:after="0" w:line="194" w:lineRule="exact"/>
        <w:rPr>
          <w:sz w:val="20"/>
          <w:szCs w:val="20"/>
          <w:color w:val="auto"/>
        </w:rPr>
      </w:pPr>
    </w:p>
    <w:p>
      <w:pPr>
        <w:ind w:right="60" w:firstLine="584"/>
        <w:spacing w:after="0" w:line="294" w:lineRule="auto"/>
        <w:rPr>
          <w:sz w:val="20"/>
          <w:szCs w:val="20"/>
          <w:color w:val="auto"/>
        </w:rPr>
      </w:pPr>
      <w:r>
        <w:rPr>
          <w:rFonts w:ascii="Arial" w:cs="Arial" w:eastAsia="Arial" w:hAnsi="Arial"/>
          <w:sz w:val="15"/>
          <w:szCs w:val="15"/>
          <w:color w:val="auto"/>
        </w:rPr>
        <w:t>Unless otherwise stated under the Companies Law, or provided in a company's articles of association a resolution at a shareholders meeting requires approval by a simple majority of the voting rights represented at the meeting, in person, by proxy or written ballot, and voting on the resolution. Under the Companies Law, unless otherwise provided in a company's articles of association or under applicable law, all resolutions of the shareholders of a company require a simple majority.</w:t>
      </w:r>
    </w:p>
    <w:p>
      <w:pPr>
        <w:spacing w:after="0" w:line="194" w:lineRule="exact"/>
        <w:rPr>
          <w:sz w:val="20"/>
          <w:szCs w:val="20"/>
          <w:color w:val="auto"/>
        </w:rPr>
      </w:pPr>
    </w:p>
    <w:p>
      <w:pPr>
        <w:ind w:firstLine="584"/>
        <w:spacing w:after="0" w:line="282" w:lineRule="auto"/>
        <w:rPr>
          <w:sz w:val="20"/>
          <w:szCs w:val="20"/>
          <w:color w:val="auto"/>
        </w:rPr>
      </w:pPr>
      <w:r>
        <w:rPr>
          <w:rFonts w:ascii="Arial" w:cs="Arial" w:eastAsia="Arial" w:hAnsi="Arial"/>
          <w:sz w:val="15"/>
          <w:szCs w:val="15"/>
          <w:color w:val="auto"/>
        </w:rPr>
        <w:t>Under Amendment 20, the board of directors of an Israeli publicly traded company is required to establish a compensation policy, to be approved by the shareholders of the company, pursuant to which the terms of office and compensation of the company's officer holders will be decided (unless the company qualifies as an Eligible Company and opt to follow the exemption provided under the Amendment to the Relief Regulations regarding appointment of external directors and composition of the audit and compensation committees). The final adoption of such compensation policy is subject to the approval of the shareholders, which approval is subject to certain special majority requirements, as set forth in the Companies Law, pursuant to which one of the following must be met:</w:t>
      </w:r>
    </w:p>
    <w:p>
      <w:pPr>
        <w:spacing w:after="0" w:line="204" w:lineRule="exact"/>
        <w:rPr>
          <w:sz w:val="20"/>
          <w:szCs w:val="20"/>
          <w:color w:val="auto"/>
        </w:rPr>
      </w:pPr>
    </w:p>
    <w:p>
      <w:pPr>
        <w:ind w:left="1160" w:right="80" w:hanging="578"/>
        <w:spacing w:after="0" w:line="268" w:lineRule="auto"/>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majority of the votes includes at least a majority of all the votes of shareholders who are not controlling shareholders of the company or who do not have a personal interest in the compensation policy and participating in the vote; abstentions shall not be included in the total of the votes of the aforesaid shareholders;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7" w:name="page108"/>
    <w:bookmarkEnd w:id="107"/>
    <w:p>
      <w:pPr>
        <w:ind w:left="1160" w:hanging="578"/>
        <w:spacing w:after="0"/>
        <w:tabs>
          <w:tab w:leader="none" w:pos="11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total of opposing votes from among the shareholders described in subsection (i) above does not exceed 2% of all the voting rights in the company</w:t>
      </w:r>
      <w:r>
        <w:rPr>
          <w:rFonts w:ascii="Arial" w:cs="Arial" w:eastAsia="Arial" w:hAnsi="Arial"/>
          <w:sz w:val="15"/>
          <w:szCs w:val="15"/>
          <w:b w:val="1"/>
          <w:bCs w:val="1"/>
          <w:color w:val="auto"/>
        </w:rPr>
        <w:t>.</w:t>
      </w:r>
    </w:p>
    <w:p>
      <w:pPr>
        <w:spacing w:after="0" w:line="270" w:lineRule="exact"/>
        <w:rPr>
          <w:sz w:val="20"/>
          <w:szCs w:val="20"/>
          <w:color w:val="auto"/>
        </w:rPr>
      </w:pPr>
    </w:p>
    <w:p>
      <w:pPr>
        <w:ind w:firstLine="584"/>
        <w:spacing w:after="0" w:line="282" w:lineRule="auto"/>
        <w:rPr>
          <w:sz w:val="20"/>
          <w:szCs w:val="20"/>
          <w:color w:val="auto"/>
        </w:rPr>
      </w:pPr>
      <w:r>
        <w:rPr>
          <w:rFonts w:ascii="Arial" w:cs="Arial" w:eastAsia="Arial" w:hAnsi="Arial"/>
          <w:sz w:val="15"/>
          <w:szCs w:val="15"/>
          <w:color w:val="auto"/>
        </w:rPr>
        <w:t>For this purpose, under the Companies Law "personal interest" is defined as: (1) a shareholder's personal interest in the approval of an act or a transaction of the company, including (i) the personal interest of his or her relative (which includes for these purposes any members of his/her (or his/her spouse's) immediate family or the spouses of any such members of his or her (or his/her spouse's) immediate family); and (ii) a personal interest of a body corporate in which a shareholder or any of his/her aforementioned relatives serves as a director or the chief executive officer, owns at least 5% of its issued share capital or its voting rights or has the right to appoint a director or chief executive officer, but (2) excluding a personal interest arising solely from the fact of holding shares in the company or in a body corporate.</w:t>
      </w:r>
    </w:p>
    <w:p>
      <w:pPr>
        <w:spacing w:after="0" w:line="204"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In addition, pursuant to the Companies Law, terms of office and employment of office holders in a public company, and terms of employment and/or terms of office of a controlling shareholder in a public company, require the approval of the shareholders, which such approval is subject to the special majority required for approving the compensation policy (as detailed above). See "Item 6. Directors, Senior Management and Employees — Approval of Related Party Transactions under Israeli Law" for information regarding the shareholders' approval, and any additional approvals that might be required, with respect to the approval of terms of office and employment of office holders in a public company, pursuant to the Companies Law.</w:t>
      </w:r>
    </w:p>
    <w:p>
      <w:pPr>
        <w:spacing w:after="0" w:line="217" w:lineRule="exact"/>
        <w:rPr>
          <w:sz w:val="20"/>
          <w:szCs w:val="20"/>
          <w:color w:val="auto"/>
        </w:rPr>
      </w:pPr>
    </w:p>
    <w:p>
      <w:pPr>
        <w:ind w:right="100" w:firstLine="584"/>
        <w:spacing w:after="0" w:line="268"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dividend or distribution rights that may be authorized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to Corporate Records</w:t>
      </w:r>
    </w:p>
    <w:p>
      <w:pPr>
        <w:spacing w:after="0" w:line="258" w:lineRule="exact"/>
        <w:rPr>
          <w:sz w:val="20"/>
          <w:szCs w:val="20"/>
          <w:color w:val="auto"/>
        </w:rPr>
      </w:pPr>
    </w:p>
    <w:p>
      <w:pPr>
        <w:ind w:right="60" w:firstLine="584"/>
        <w:spacing w:after="0" w:line="307" w:lineRule="auto"/>
        <w:rPr>
          <w:sz w:val="20"/>
          <w:szCs w:val="20"/>
          <w:color w:val="auto"/>
        </w:rPr>
      </w:pPr>
      <w:r>
        <w:rPr>
          <w:rFonts w:ascii="Arial" w:cs="Arial" w:eastAsia="Arial" w:hAnsi="Arial"/>
          <w:sz w:val="14"/>
          <w:szCs w:val="14"/>
          <w:color w:val="auto"/>
        </w:rPr>
        <w:t>Under the Companies Law, all shareholders of a company generally have the right to review minutes of the company's general meetings, its shareholders register and principal shareholders register, articles of association, financial statements and any document it is required by law to file publicly with the Israeli Companies Registrar and the ISA. Furthermore, any of our shareholders may request access to review any document in our possession that relates to any action or transaction with a related party, interested party or office holder that requires shareholder approval under the Companies Law. However, we may deny such a request to review a document if we determine that the request was not made in good faith, that the document contains a commercial secret or a patent or that the document's disclosure may otherwise prejudice our interests.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under Israeli Law</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Full Tender Offer</w:t>
      </w:r>
    </w:p>
    <w:p>
      <w:pPr>
        <w:spacing w:after="0" w:line="254" w:lineRule="exact"/>
        <w:rPr>
          <w:sz w:val="20"/>
          <w:szCs w:val="20"/>
          <w:color w:val="auto"/>
        </w:rPr>
      </w:pPr>
    </w:p>
    <w:p>
      <w:pPr>
        <w:ind w:right="60" w:firstLine="584"/>
        <w:spacing w:after="0" w:line="296" w:lineRule="auto"/>
        <w:rPr>
          <w:sz w:val="20"/>
          <w:szCs w:val="20"/>
          <w:color w:val="auto"/>
        </w:rPr>
      </w:pPr>
      <w:r>
        <w:rPr>
          <w:rFonts w:ascii="Arial" w:cs="Arial" w:eastAsia="Arial" w:hAnsi="Arial"/>
          <w:sz w:val="14"/>
          <w:szCs w:val="14"/>
          <w:color w:val="auto"/>
        </w:rPr>
        <w:t>A person wishing to acquire shares of a public Israeli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same class for the purchase of all of the issued and outstanding shares of the same class. If the shareholders who do not accept the offer hold less than 5% of the issued and outstanding share capital of the company or of the applicable class, all of the shares that the acquirer offered to purchase will be transferred to the acquirer by operation of law (provided that a majority of the offerees that do not have a personal interest in such tender offer shall have approved the tender offer except that if the total votes to reject the tender offer represent less than 2% of the company's issued and outstanding share capital, in the aggregate, approval by a majority of the offerees that do not have a personal interest in such tender offer is not required to complete the tender offer). However, a shareholder that had its shares so transferred may petition the court within six months from the date of acceptance of the full tender offer, whether or not such shareholder agreed to the tender, to determine whether the tender offer was for less than fair value and whether the fair value should be paid as determined by the court unless the acquirer stipulated in the tender offer that a shareholder that accepts the offer may not seek appraisal rights. If the shareholders who did not accept the tender offer hold 5% or more of the issued and outstanding share capital of the company or of the applicable class, the acquirer may not acquire shares of the company that will increase its holdings to more than 90% of the company's issued and outstanding share capital or of the applicable class from shareholders who accepted the tender offer.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08" w:name="page109"/>
    <w:bookmarkEnd w:id="108"/>
    <w:p>
      <w:pPr>
        <w:ind w:left="580"/>
        <w:spacing w:after="0"/>
        <w:rPr>
          <w:sz w:val="20"/>
          <w:szCs w:val="20"/>
          <w:color w:val="auto"/>
        </w:rPr>
      </w:pPr>
      <w:r>
        <w:rPr>
          <w:rFonts w:ascii="Arial" w:cs="Arial" w:eastAsia="Arial" w:hAnsi="Arial"/>
          <w:sz w:val="16"/>
          <w:szCs w:val="16"/>
          <w:b w:val="1"/>
          <w:bCs w:val="1"/>
          <w:i w:val="1"/>
          <w:iCs w:val="1"/>
          <w:color w:val="auto"/>
        </w:rPr>
        <w:t>Special Tender Offer</w:t>
      </w:r>
    </w:p>
    <w:p>
      <w:pPr>
        <w:spacing w:after="0" w:line="254" w:lineRule="exact"/>
        <w:rPr>
          <w:sz w:val="20"/>
          <w:szCs w:val="20"/>
          <w:color w:val="auto"/>
        </w:rPr>
      </w:pPr>
    </w:p>
    <w:p>
      <w:pPr>
        <w:jc w:val="both"/>
        <w:ind w:right="20" w:firstLine="584"/>
        <w:spacing w:after="0" w:line="307" w:lineRule="auto"/>
        <w:rPr>
          <w:sz w:val="20"/>
          <w:szCs w:val="20"/>
          <w:color w:val="auto"/>
        </w:rPr>
      </w:pPr>
      <w:r>
        <w:rPr>
          <w:rFonts w:ascii="Arial" w:cs="Arial" w:eastAsia="Arial" w:hAnsi="Arial"/>
          <w:sz w:val="14"/>
          <w:szCs w:val="14"/>
          <w:color w:val="auto"/>
        </w:rPr>
        <w:t>The Companies Law provides that an acquisition of shares of a public Israeli company must be made by means of a special tender offer if as a result of the acquisition the purchaser would become a holder of 25% or more of the voting rights in the company, unless one of the exemptions in the Companies Law is met. This rule does not apply if there is already another holder of at least 25% of the voting rights in the company. Similarly, the Companies Law provides that an acquisition of shares in a public company must be made by means of a tender offer if as a result of the acquisition the purchaser would become a holder of 45% or more of the voting rights in the company, if there is no other shareholder of the company who holds 45% or more of the voting rights in the company, unless one of the exemptions in the Companies Law is met.</w:t>
      </w:r>
    </w:p>
    <w:p>
      <w:pPr>
        <w:spacing w:after="0" w:line="188" w:lineRule="exact"/>
        <w:rPr>
          <w:sz w:val="20"/>
          <w:szCs w:val="20"/>
          <w:color w:val="auto"/>
        </w:rPr>
      </w:pPr>
    </w:p>
    <w:p>
      <w:pPr>
        <w:ind w:right="240" w:firstLine="584"/>
        <w:spacing w:after="0" w:line="263"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w:t>
      </w:r>
    </w:p>
    <w:p>
      <w:pPr>
        <w:spacing w:after="0" w:line="216" w:lineRule="exact"/>
        <w:rPr>
          <w:sz w:val="20"/>
          <w:szCs w:val="20"/>
          <w:color w:val="auto"/>
        </w:rPr>
      </w:pPr>
    </w:p>
    <w:p>
      <w:pPr>
        <w:ind w:right="40" w:firstLine="584"/>
        <w:spacing w:after="0" w:line="294" w:lineRule="auto"/>
        <w:rPr>
          <w:sz w:val="20"/>
          <w:szCs w:val="20"/>
          <w:color w:val="auto"/>
        </w:rPr>
      </w:pPr>
      <w:r>
        <w:rPr>
          <w:rFonts w:ascii="Arial" w:cs="Arial" w:eastAsia="Arial" w:hAnsi="Arial"/>
          <w:sz w:val="15"/>
          <w:szCs w:val="15"/>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Merger</w:t>
      </w:r>
    </w:p>
    <w:p>
      <w:pPr>
        <w:spacing w:after="0" w:line="254" w:lineRule="exact"/>
        <w:rPr>
          <w:sz w:val="20"/>
          <w:szCs w:val="20"/>
          <w:color w:val="auto"/>
        </w:rPr>
      </w:pPr>
    </w:p>
    <w:p>
      <w:pPr>
        <w:ind w:right="100" w:firstLine="584"/>
        <w:spacing w:after="0" w:line="283" w:lineRule="auto"/>
        <w:rPr>
          <w:sz w:val="20"/>
          <w:szCs w:val="20"/>
          <w:color w:val="auto"/>
        </w:rPr>
      </w:pPr>
      <w:r>
        <w:rPr>
          <w:rFonts w:ascii="Arial" w:cs="Arial" w:eastAsia="Arial" w:hAnsi="Arial"/>
          <w:sz w:val="16"/>
          <w:szCs w:val="16"/>
          <w:color w:val="auto"/>
        </w:rPr>
        <w:t>The Companies Law permits merger transactions if approved by each party's board of directors and, unless certain requirements described under the Companies Law are met, a majority of each party's shares voted on the proposed merger at a shareholders' meeting called with at least 35 days' prior notice.</w:t>
      </w:r>
    </w:p>
    <w:p>
      <w:pPr>
        <w:spacing w:after="0" w:line="199" w:lineRule="exact"/>
        <w:rPr>
          <w:sz w:val="20"/>
          <w:szCs w:val="20"/>
          <w:color w:val="auto"/>
        </w:rPr>
      </w:pPr>
    </w:p>
    <w:p>
      <w:pPr>
        <w:jc w:val="both"/>
        <w:ind w:firstLine="584"/>
        <w:spacing w:after="0" w:line="307" w:lineRule="auto"/>
        <w:rPr>
          <w:sz w:val="20"/>
          <w:szCs w:val="20"/>
          <w:color w:val="auto"/>
        </w:rPr>
      </w:pPr>
      <w:r>
        <w:rPr>
          <w:rFonts w:ascii="Arial" w:cs="Arial" w:eastAsia="Arial" w:hAnsi="Arial"/>
          <w:sz w:val="14"/>
          <w:szCs w:val="14"/>
          <w:color w:val="auto"/>
        </w:rPr>
        <w:t>For purposes of the shareholder vote, unless a court rules otherwise, the merger will not be deemed approved if a majority of the shares represented at the shareholders meeting that are held by parties other than the other party to the merger, or by any person who holds 25% or more of the outstanding shares or the right to appoint 25% or more of the directors of the other party, vote against the merger.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w:t>
      </w:r>
    </w:p>
    <w:p>
      <w:pPr>
        <w:spacing w:after="0" w:line="188" w:lineRule="exact"/>
        <w:rPr>
          <w:sz w:val="20"/>
          <w:szCs w:val="20"/>
          <w:color w:val="auto"/>
        </w:rPr>
      </w:pPr>
    </w:p>
    <w:p>
      <w:pPr>
        <w:ind w:right="40" w:firstLine="584"/>
        <w:spacing w:after="0" w:line="268"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212" w:lineRule="exact"/>
        <w:rPr>
          <w:sz w:val="20"/>
          <w:szCs w:val="20"/>
          <w:color w:val="auto"/>
        </w:rPr>
      </w:pPr>
    </w:p>
    <w:p>
      <w:pPr>
        <w:ind w:right="160" w:firstLine="584"/>
        <w:spacing w:after="0" w:line="283" w:lineRule="auto"/>
        <w:rPr>
          <w:sz w:val="20"/>
          <w:szCs w:val="20"/>
          <w:color w:val="auto"/>
        </w:rPr>
      </w:pPr>
      <w:r>
        <w:rPr>
          <w:rFonts w:ascii="Arial" w:cs="Arial" w:eastAsia="Arial" w:hAnsi="Arial"/>
          <w:sz w:val="16"/>
          <w:szCs w:val="16"/>
          <w:color w:val="auto"/>
        </w:rPr>
        <w:t>In addition, a merger may not be completed unless at least 50 days have passed from the date that a proposal for approval of the merger was filed by each party with the Israeli Registrar of Companies and 30 days have passed from the date the merger was approved by the shareholders of each party.</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Antitakeover Measures</w:t>
      </w:r>
    </w:p>
    <w:p>
      <w:pPr>
        <w:spacing w:after="0" w:line="254" w:lineRule="exact"/>
        <w:rPr>
          <w:sz w:val="20"/>
          <w:szCs w:val="20"/>
          <w:color w:val="auto"/>
        </w:rPr>
      </w:pPr>
    </w:p>
    <w:p>
      <w:pPr>
        <w:ind w:right="20" w:firstLine="584"/>
        <w:spacing w:after="0" w:line="277" w:lineRule="auto"/>
        <w:rPr>
          <w:sz w:val="20"/>
          <w:szCs w:val="20"/>
          <w:color w:val="auto"/>
        </w:rPr>
      </w:pPr>
      <w:r>
        <w:rPr>
          <w:rFonts w:ascii="Arial" w:cs="Arial" w:eastAsia="Arial" w:hAnsi="Arial"/>
          <w:sz w:val="15"/>
          <w:szCs w:val="15"/>
          <w:color w:val="auto"/>
        </w:rPr>
        <w:t>The Companies Law allows us to create and issue shares having rights different from those attached to our ordinary shares, including shares providing certain preferred rights, distributions or other matters and shares having preemptive rights. As of the date of this annual report, we do not have any authorized or issued shares other than our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the holders of a majority of our shares at a general meeting. Shareholders voting in such meeting will be subject to the restrictions provided in the Companies Law as described above. In addition, the Israeli Securities Law and the rules and regulations of the TASE also limit the terms permitted with respect to a new class of shares created by a public company whose shares are traded on the TASE, and prohibit any such new class of shares from having voting rights.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C. Material Contracts</w:t>
      </w:r>
    </w:p>
    <w:p>
      <w:pPr>
        <w:spacing w:after="0" w:line="258" w:lineRule="exact"/>
        <w:rPr>
          <w:sz w:val="20"/>
          <w:szCs w:val="20"/>
          <w:color w:val="auto"/>
        </w:rPr>
      </w:pPr>
    </w:p>
    <w:p>
      <w:pPr>
        <w:jc w:val="both"/>
        <w:ind w:right="100" w:firstLine="584"/>
        <w:spacing w:after="0" w:line="268" w:lineRule="auto"/>
        <w:rPr>
          <w:sz w:val="20"/>
          <w:szCs w:val="20"/>
          <w:color w:val="auto"/>
        </w:rPr>
      </w:pPr>
      <w:r>
        <w:rPr>
          <w:rFonts w:ascii="Arial" w:cs="Arial" w:eastAsia="Arial" w:hAnsi="Arial"/>
          <w:sz w:val="16"/>
          <w:szCs w:val="16"/>
          <w:color w:val="auto"/>
        </w:rPr>
        <w:t>For a discussion of our out-licensing and in-licensing agreements, see Item 4. The following are summary descriptions of certain other material contracts to which we are a party. The descriptions provided below do not purport to be complete and are qualified in their entirety by the complete agreements, which are attached as exhibits to this Annual Report on Form 20-F.</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Collaboration and Supply Agreement with Merck</w:t>
      </w:r>
    </w:p>
    <w:p>
      <w:pPr>
        <w:spacing w:after="0" w:line="254" w:lineRule="exact"/>
        <w:rPr>
          <w:sz w:val="20"/>
          <w:szCs w:val="20"/>
          <w:color w:val="auto"/>
        </w:rPr>
      </w:pPr>
    </w:p>
    <w:p>
      <w:pPr>
        <w:ind w:right="40" w:firstLine="584"/>
        <w:spacing w:after="0" w:line="230" w:lineRule="auto"/>
        <w:rPr>
          <w:sz w:val="20"/>
          <w:szCs w:val="20"/>
          <w:color w:val="auto"/>
        </w:rPr>
      </w:pPr>
      <w:r>
        <w:rPr>
          <w:rFonts w:ascii="Arial" w:cs="Arial" w:eastAsia="Arial" w:hAnsi="Arial"/>
          <w:sz w:val="16"/>
          <w:szCs w:val="16"/>
          <w:color w:val="auto"/>
        </w:rPr>
        <w:t>In January 2016, we entered into a collaboration agreement with we announced a collaboration with Merck sharp &amp; Dohme, B.V., or Merck, to support a Phase 2 study investigating our BL-8040 in combination with KEYTRUDA</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(pembrolizumab), MSD's anti-PD-1 therapy, in patients with metastatic pancreatic cancer. The Phase 2 study will evaluate the clinical response, safety and tolerability of the combination of these therapies as well as multiple pharmacodynamic parameters, including the ability to improve infiltration of T-cells into the tumor and their reactivity. According to the terms of the agreement, we are sponsoring and performing the study, which was initiated in September 2016, and Merck is supplying its compound for purposes of the study. The parties have agreed on the establishment of a joint development committee which has the responsibility of coordinating all regulatory and other activities under the agreement.</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Upon completion of the study, or at any earlier point, both parties will have the option to expand the collaboration to include a pivotal registration study.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Combination Study Agreement with Genentech</w:t>
      </w:r>
    </w:p>
    <w:p>
      <w:pPr>
        <w:spacing w:after="0" w:line="254"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In September 2016, we entered into a collaboration with Genentech to support several Phase 1b studies investigating BL-8040 in combination with Atezolizumab, Genentech's anti-PDL1 cancer immunotherapy, in multiple cancer indications. Under the collaboration agreement, Genentech will sponsor and conduct several trials in multiple solid cancer indications. In addition, we will sponsor and conduct a study in AML patients. The Phase 1b studies, which are all expected to commence in the second half of 2017, will evaluate the clinical response, safety and tolerability of the combination of these therapies, as well as multiple pharmacodynamic parameters, in hematologic malignancies and solid tumors.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Upon completion of the studies, both parties will have the option to expand the collaboration to include a pivotal registration study.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Exchange Controls</w:t>
      </w:r>
    </w:p>
    <w:p>
      <w:pPr>
        <w:spacing w:after="0" w:line="258" w:lineRule="exact"/>
        <w:rPr>
          <w:sz w:val="20"/>
          <w:szCs w:val="20"/>
          <w:color w:val="auto"/>
        </w:rPr>
      </w:pPr>
    </w:p>
    <w:p>
      <w:pPr>
        <w:ind w:right="60" w:firstLine="584"/>
        <w:spacing w:after="0" w:line="268" w:lineRule="auto"/>
        <w:rPr>
          <w:sz w:val="20"/>
          <w:szCs w:val="20"/>
          <w:color w:val="auto"/>
        </w:rPr>
      </w:pPr>
      <w:r>
        <w:rPr>
          <w:rFonts w:ascii="Arial" w:cs="Arial" w:eastAsia="Arial" w:hAnsi="Arial"/>
          <w:sz w:val="16"/>
          <w:szCs w:val="16"/>
          <w:color w:val="auto"/>
        </w:rPr>
        <w:t>There are no Israeli government laws, decrees or regulations that restrict or that affect our export or import of capital or the remittance of dividends, interest or other payments to non-resident holders of our securities, including the availability of cash and cash equivalents for use by us and our wholly-owned subsidiaries, except or otherwise as set forth under "Item 10E. Additional Information — Taxation."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Taxation</w:t>
      </w:r>
    </w:p>
    <w:p>
      <w:pPr>
        <w:spacing w:after="0" w:line="258" w:lineRule="exact"/>
        <w:rPr>
          <w:sz w:val="20"/>
          <w:szCs w:val="20"/>
          <w:color w:val="auto"/>
        </w:rPr>
      </w:pPr>
    </w:p>
    <w:p>
      <w:pPr>
        <w:jc w:val="both"/>
        <w:ind w:right="180" w:firstLine="584"/>
        <w:spacing w:after="0" w:line="268" w:lineRule="auto"/>
        <w:rPr>
          <w:sz w:val="20"/>
          <w:szCs w:val="20"/>
          <w:color w:val="auto"/>
        </w:rPr>
      </w:pPr>
      <w:r>
        <w:rPr>
          <w:rFonts w:ascii="Arial" w:cs="Arial" w:eastAsia="Arial" w:hAnsi="Arial"/>
          <w:sz w:val="16"/>
          <w:szCs w:val="16"/>
          <w:i w:val="1"/>
          <w:iCs w:val="1"/>
          <w:color w:val="auto"/>
        </w:rPr>
        <w:t>The following description is not intended to constitute a complete analysis of all tax consequences relating to the ownership or disposition of our ordinary shares or ADSs, both referred to in this Item 10E as the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Israeli Tax Considerations</w:t>
      </w:r>
    </w:p>
    <w:p>
      <w:pPr>
        <w:spacing w:after="0" w:line="258"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The following is a summary of the material Israeli tax laws applicable to us. This section also contains a discussion of material Israeli tax consequences concerning the ownership and disposition of our shares. This summary does not discuss all the aspects of Israeli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Because certain parts of this discussion are based on new tax legislation that has not yet been subject to judicial or administrative interpretation, we cannot assure you that the appropriate tax authorities or the courts will accept the views expressed in this discussion.</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General Corporate Tax Structure in Israel</w:t>
      </w:r>
    </w:p>
    <w:p>
      <w:pPr>
        <w:spacing w:after="0" w:line="254" w:lineRule="exact"/>
        <w:rPr>
          <w:sz w:val="20"/>
          <w:szCs w:val="20"/>
          <w:color w:val="auto"/>
        </w:rPr>
      </w:pPr>
    </w:p>
    <w:p>
      <w:pPr>
        <w:ind w:right="160" w:firstLine="584"/>
        <w:spacing w:after="0" w:line="358" w:lineRule="auto"/>
        <w:rPr>
          <w:sz w:val="20"/>
          <w:szCs w:val="20"/>
          <w:color w:val="auto"/>
        </w:rPr>
      </w:pPr>
      <w:r>
        <w:rPr>
          <w:rFonts w:ascii="Arial" w:cs="Arial" w:eastAsia="Arial" w:hAnsi="Arial"/>
          <w:sz w:val="14"/>
          <w:szCs w:val="14"/>
          <w:color w:val="auto"/>
        </w:rPr>
        <w:t>Israeli companies are generally subject to corporate tax on their taxable income. The regular corporate tax rate in Israel was 25% for the year 2016, 24% for the year 2017, and 23% for the year 2018 and thereafter. Capital gains derived by an Israeli company are now generally subject to tax at the same rate as the corporate tax rate.</w:t>
      </w:r>
    </w:p>
    <w:p>
      <w:pPr>
        <w:spacing w:after="0" w:line="153" w:lineRule="exact"/>
        <w:rPr>
          <w:sz w:val="20"/>
          <w:szCs w:val="20"/>
          <w:color w:val="auto"/>
        </w:rPr>
      </w:pPr>
    </w:p>
    <w:p>
      <w:pPr>
        <w:ind w:right="120" w:firstLine="584"/>
        <w:spacing w:after="0" w:line="277" w:lineRule="auto"/>
        <w:rPr>
          <w:sz w:val="20"/>
          <w:szCs w:val="20"/>
          <w:color w:val="auto"/>
        </w:rPr>
      </w:pPr>
      <w:r>
        <w:rPr>
          <w:rFonts w:ascii="Arial" w:cs="Arial" w:eastAsia="Arial" w:hAnsi="Arial"/>
          <w:sz w:val="15"/>
          <w:szCs w:val="15"/>
          <w:color w:val="auto"/>
        </w:rPr>
        <w:t>In May 2012, the Israeli Tax Authority, or ITA, approved our eligibility for tax benefits as a "Benefited Enterprise" under the Law for the Encouragement of Capital Investments, 5719-1959, as amended, or Investments Law, with respect to a portion of the consideration deriving from certain of our development programs, or Eligible Projects. Subject to compliance with the applicable requirements, the portion of our undistributed income derived from our Benefited Enterprise programs will be entitled to a seven-year period of tax benefits due to the Company's location in Modi'in (a tax exemption for a period of two years, followed by five years at the Benefited Enterprise tax rate of 25%) commencing in the first year in which we generate taxable income after setting off our losses for Israeli tax purposes from prior years in the amount of approximately $152 million. The seven-year period may not extend beyond 12 years from the beginning of the Benefited Enterprise's election year. We received Benefited Enterprise status with respect to the Eligible Projects in 2009 and 2012 tax years, so depending on when the Benefited Enterprise programs begin to generate taxable income, the benefit period could continue through 2023. However, any distribution of income derived from exempt income sourced in our Benefited Enterprise programs will result in such income being subject to a rate of corporate tax no greater than 25%.</w:t>
      </w:r>
    </w:p>
    <w:p>
      <w:pPr>
        <w:spacing w:after="0" w:line="205" w:lineRule="exact"/>
        <w:rPr>
          <w:sz w:val="20"/>
          <w:szCs w:val="20"/>
          <w:color w:val="auto"/>
        </w:rPr>
      </w:pPr>
    </w:p>
    <w:p>
      <w:pPr>
        <w:ind w:right="100" w:firstLine="584"/>
        <w:spacing w:after="0" w:line="268" w:lineRule="auto"/>
        <w:rPr>
          <w:sz w:val="20"/>
          <w:szCs w:val="20"/>
          <w:color w:val="auto"/>
        </w:rPr>
      </w:pPr>
      <w:r>
        <w:rPr>
          <w:rFonts w:ascii="Arial" w:cs="Arial" w:eastAsia="Arial" w:hAnsi="Arial"/>
          <w:sz w:val="16"/>
          <w:szCs w:val="16"/>
          <w:color w:val="auto"/>
        </w:rPr>
        <w:t>We have the option to transition to a "Preferred Enterprise" regime under the Investments Law with respect to the year 2017 (through May 31, 2017), according to which all of our income which is eligible for benefits under the regime would be subject to flat corporate tax rates of 16% in 2017 and thereafter, whether or not distributed. A transition to a Preferred Enterprise regime may not be reversed.</w:t>
      </w:r>
    </w:p>
    <w:p>
      <w:pPr>
        <w:spacing w:after="0" w:line="212" w:lineRule="exact"/>
        <w:rPr>
          <w:sz w:val="20"/>
          <w:szCs w:val="20"/>
          <w:color w:val="auto"/>
        </w:rPr>
      </w:pPr>
    </w:p>
    <w:p>
      <w:pPr>
        <w:ind w:right="700" w:firstLine="584"/>
        <w:spacing w:after="0" w:line="283" w:lineRule="auto"/>
        <w:rPr>
          <w:sz w:val="20"/>
          <w:szCs w:val="20"/>
          <w:color w:val="auto"/>
        </w:rPr>
      </w:pPr>
      <w:r>
        <w:rPr>
          <w:rFonts w:ascii="Arial" w:cs="Arial" w:eastAsia="Arial" w:hAnsi="Arial"/>
          <w:sz w:val="16"/>
          <w:szCs w:val="16"/>
          <w:color w:val="auto"/>
        </w:rPr>
        <w:t>In addition, the ITA approved certain of our operations as an "Industrial Enterprise" under the Investments Law, meaning that we are eligible for accelerated depreciation with respect to certain tangible assets belonging to our Benefited Enterprise.</w:t>
      </w:r>
    </w:p>
    <w:p>
      <w:pPr>
        <w:spacing w:after="0" w:line="199" w:lineRule="exact"/>
        <w:rPr>
          <w:sz w:val="20"/>
          <w:szCs w:val="20"/>
          <w:color w:val="auto"/>
        </w:rPr>
      </w:pPr>
    </w:p>
    <w:p>
      <w:pPr>
        <w:jc w:val="both"/>
        <w:ind w:right="20" w:firstLine="584"/>
        <w:spacing w:after="0" w:line="263" w:lineRule="auto"/>
        <w:rPr>
          <w:sz w:val="20"/>
          <w:szCs w:val="20"/>
          <w:color w:val="auto"/>
        </w:rPr>
      </w:pPr>
      <w:r>
        <w:rPr>
          <w:rFonts w:ascii="Arial" w:cs="Arial" w:eastAsia="Arial" w:hAnsi="Arial"/>
          <w:sz w:val="16"/>
          <w:szCs w:val="16"/>
          <w:color w:val="auto"/>
        </w:rPr>
        <w:t>Should we not meet the requirements for maintaining these benefits, they may be reduced or cancelled and, among other things, our income deriving from the Eligible Projects (assuming we are profitable for tax purposes after offsetting losses) would be subject to regular corporate tax rate in Israel at the standard rate. If these tax benefits are reduced or eliminated, the amount of taxes that we pay would likely increase, as all of our operations would consequently be subject to corporate tax at the standard rate, which could adversely affect our results of operations.</w:t>
      </w:r>
    </w:p>
    <w:p>
      <w:pPr>
        <w:spacing w:after="0" w:line="216" w:lineRule="exact"/>
        <w:rPr>
          <w:sz w:val="20"/>
          <w:szCs w:val="20"/>
          <w:color w:val="auto"/>
        </w:rPr>
      </w:pPr>
    </w:p>
    <w:p>
      <w:pPr>
        <w:jc w:val="both"/>
        <w:ind w:right="40" w:firstLine="584"/>
        <w:spacing w:after="0" w:line="268" w:lineRule="auto"/>
        <w:rPr>
          <w:sz w:val="20"/>
          <w:szCs w:val="20"/>
          <w:color w:val="auto"/>
        </w:rPr>
      </w:pPr>
      <w:r>
        <w:rPr>
          <w:rFonts w:ascii="Arial" w:cs="Arial" w:eastAsia="Arial" w:hAnsi="Arial"/>
          <w:sz w:val="16"/>
          <w:szCs w:val="16"/>
          <w:i w:val="1"/>
          <w:iCs w:val="1"/>
          <w:color w:val="auto"/>
        </w:rPr>
        <w:t xml:space="preserve">Taxation of Israeli Individual Shareholders on Receipt of Dividends. </w:t>
      </w:r>
      <w:r>
        <w:rPr>
          <w:rFonts w:ascii="Arial" w:cs="Arial" w:eastAsia="Arial" w:hAnsi="Arial"/>
          <w:sz w:val="16"/>
          <w:szCs w:val="16"/>
          <w:color w:val="auto"/>
        </w:rPr>
        <w:t>Israeli residents who are individuals are generally subject to Israeli income tax for dividends paid</w:t>
      </w:r>
      <w:r>
        <w:rPr>
          <w:rFonts w:ascii="Arial" w:cs="Arial" w:eastAsia="Arial" w:hAnsi="Arial"/>
          <w:sz w:val="16"/>
          <w:szCs w:val="16"/>
          <w:i w:val="1"/>
          <w:iCs w:val="1"/>
          <w:color w:val="auto"/>
        </w:rPr>
        <w:t xml:space="preserve"> </w:t>
      </w:r>
      <w:r>
        <w:rPr>
          <w:rFonts w:ascii="Arial" w:cs="Arial" w:eastAsia="Arial" w:hAnsi="Arial"/>
          <w:sz w:val="16"/>
          <w:szCs w:val="16"/>
          <w:color w:val="auto"/>
        </w:rPr>
        <w:t>on our ordinary shares (other than bonus shares or share dividends) at a rate of either 25% or, if the recipient of such dividend is a substantial shareholder (as defined below) at the time of distribution or at any time during the preceding 12-month period 30%.</w:t>
      </w:r>
    </w:p>
    <w:p>
      <w:pPr>
        <w:spacing w:after="0" w:line="163" w:lineRule="exact"/>
        <w:rPr>
          <w:sz w:val="20"/>
          <w:szCs w:val="20"/>
          <w:color w:val="auto"/>
        </w:rPr>
      </w:pPr>
    </w:p>
    <w:p>
      <w:pPr>
        <w:jc w:val="both"/>
        <w:ind w:right="40" w:firstLine="584"/>
        <w:spacing w:after="0" w:line="283" w:lineRule="auto"/>
        <w:rPr>
          <w:sz w:val="20"/>
          <w:szCs w:val="20"/>
          <w:color w:val="auto"/>
        </w:rPr>
      </w:pPr>
      <w:r>
        <w:rPr>
          <w:rFonts w:ascii="Arial" w:cs="Arial" w:eastAsia="Arial" w:hAnsi="Arial"/>
          <w:sz w:val="16"/>
          <w:szCs w:val="16"/>
          <w:i w:val="1"/>
          <w:iCs w:val="1"/>
          <w:color w:val="auto"/>
        </w:rPr>
        <w:t>Taxation of Israeli Resident Corporations on Receipt of Dividends. Israeli resident corporations are generally exempt from Israeli corporate tax for dividends paid on our ordinary shares.</w:t>
      </w:r>
    </w:p>
    <w:p>
      <w:pPr>
        <w:spacing w:after="0" w:line="151" w:lineRule="exact"/>
        <w:rPr>
          <w:sz w:val="20"/>
          <w:szCs w:val="20"/>
          <w:color w:val="auto"/>
        </w:rPr>
      </w:pPr>
    </w:p>
    <w:p>
      <w:pPr>
        <w:ind w:right="140" w:firstLine="584"/>
        <w:spacing w:after="0" w:line="261" w:lineRule="auto"/>
        <w:rPr>
          <w:sz w:val="20"/>
          <w:szCs w:val="20"/>
          <w:color w:val="auto"/>
        </w:rPr>
      </w:pPr>
      <w:r>
        <w:rPr>
          <w:rFonts w:ascii="Arial" w:cs="Arial" w:eastAsia="Arial" w:hAnsi="Arial"/>
          <w:sz w:val="16"/>
          <w:szCs w:val="16"/>
          <w:color w:val="auto"/>
        </w:rPr>
        <w:t>However, in the case of both Israeli individual shareholders and Israeli resident corporations, under the Investments Law, dividends distributed from taxable income accrued during the period of benefit of a Benefited Enterprise and which are attributable to a Benefited Enterprise are subject to tax at the rate of 20%, if the dividend is distributed during the tax benefit period under the Investment Law or within 12 years after that period. A weighted average rate may be set if the dividend is distributed from mixed types of income (regular and Benefited Enterprise income). Different tax rates might apply to dividends sourced from profits attributable to a Preferred Enterprise, but this matter is not currently relevant to the Company.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11" w:name="page112"/>
    <w:bookmarkEnd w:id="111"/>
    <w:p>
      <w:pPr>
        <w:ind w:right="100" w:firstLine="584"/>
        <w:spacing w:after="0" w:line="313" w:lineRule="auto"/>
        <w:rPr>
          <w:sz w:val="20"/>
          <w:szCs w:val="20"/>
          <w:color w:val="auto"/>
        </w:rPr>
      </w:pPr>
      <w:r>
        <w:rPr>
          <w:rFonts w:ascii="Arial" w:cs="Arial" w:eastAsia="Arial" w:hAnsi="Arial"/>
          <w:sz w:val="14"/>
          <w:szCs w:val="14"/>
          <w:i w:val="1"/>
          <w:iCs w:val="1"/>
          <w:color w:val="auto"/>
        </w:rPr>
        <w:t>Taxation of Non-Israeli Shareholders on Receipt of Dividends. Non-residents of Israel are generally subject to Israeli income tax on the receipt of dividends paid on our ordinary shares at the rate of 25% (or 30% if such person is a "substantial shareholder" at the time receiving the dividend or on any date in the 12 months preceding such date), which tax will be withheld at the source, unless a lower rate is provided in a tax treaty between Israel and the shareholder's country of residence. If the income out of which the dividend is being paid is sourced from profits attributable to a Benefited Enterprise under the Investments Law, the rate is generally not more than 20%.</w:t>
      </w:r>
    </w:p>
    <w:p>
      <w:pPr>
        <w:spacing w:after="0" w:line="134" w:lineRule="exact"/>
        <w:rPr>
          <w:sz w:val="20"/>
          <w:szCs w:val="20"/>
          <w:color w:val="auto"/>
        </w:rPr>
      </w:pPr>
    </w:p>
    <w:p>
      <w:pPr>
        <w:ind w:right="40" w:firstLine="584"/>
        <w:spacing w:after="0" w:line="286" w:lineRule="auto"/>
        <w:rPr>
          <w:sz w:val="20"/>
          <w:szCs w:val="20"/>
          <w:color w:val="auto"/>
        </w:rPr>
      </w:pPr>
      <w:r>
        <w:rPr>
          <w:rFonts w:ascii="Arial" w:cs="Arial" w:eastAsia="Arial" w:hAnsi="Arial"/>
          <w:sz w:val="15"/>
          <w:szCs w:val="15"/>
          <w:i w:val="1"/>
          <w:iCs w:val="1"/>
          <w:color w:val="auto"/>
        </w:rPr>
        <w:t>Under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stock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52" w:lineRule="exact"/>
        <w:rPr>
          <w:sz w:val="20"/>
          <w:szCs w:val="20"/>
          <w:color w:val="auto"/>
        </w:rPr>
      </w:pPr>
    </w:p>
    <w:p>
      <w:pPr>
        <w:ind w:right="260" w:firstLine="584"/>
        <w:spacing w:after="0" w:line="263" w:lineRule="auto"/>
        <w:rPr>
          <w:sz w:val="20"/>
          <w:szCs w:val="20"/>
          <w:color w:val="auto"/>
        </w:rPr>
      </w:pPr>
      <w:r>
        <w:rPr>
          <w:rFonts w:ascii="Arial" w:cs="Arial" w:eastAsia="Arial" w:hAnsi="Arial"/>
          <w:sz w:val="16"/>
          <w:szCs w:val="16"/>
          <w:i w:val="1"/>
          <w:iCs w:val="1"/>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68" w:lineRule="exact"/>
        <w:rPr>
          <w:sz w:val="20"/>
          <w:szCs w:val="20"/>
          <w:color w:val="auto"/>
        </w:rPr>
      </w:pPr>
    </w:p>
    <w:p>
      <w:pPr>
        <w:ind w:right="420" w:firstLine="584"/>
        <w:spacing w:after="0" w:line="358" w:lineRule="auto"/>
        <w:rPr>
          <w:sz w:val="20"/>
          <w:szCs w:val="20"/>
          <w:color w:val="auto"/>
        </w:rPr>
      </w:pPr>
      <w:r>
        <w:rPr>
          <w:rFonts w:ascii="Arial" w:cs="Arial" w:eastAsia="Arial" w:hAnsi="Arial"/>
          <w:sz w:val="14"/>
          <w:szCs w:val="14"/>
          <w:i w:val="1"/>
          <w:iCs w:val="1"/>
          <w:color w:val="auto"/>
        </w:rPr>
        <w:t>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04"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i w:val="1"/>
          <w:iCs w:val="1"/>
          <w:color w:val="auto"/>
        </w:rPr>
        <w:t>Taxation of Capital Gains. Israeli law imposes a capital gains tax on the sale of any capital assets by residents of Israel, as defined for Israeli tax purposes, and on the sale of assets located in Israel, including shares in Israeli companies, by non-residents of Israel, unless a specific exemption is available or unless a tax treaty between Israel and the shareholder's country of residence provides otherwise. The law distinguishes between real gain and inflationary surplus. The inflationary surplus is a portion of the total capital gain that is equivalent to the increase of the relevant asset's purchase price which is attributable to the increase in the Israeli consumer price index or, in certain circumstances, a foreign currency exchange rate, between the date of purchase and the date of sale. The real gain is the excess of the total capital gain over the inflationary surplus.</w:t>
      </w:r>
    </w:p>
    <w:p>
      <w:pPr>
        <w:spacing w:after="0" w:line="168" w:lineRule="exact"/>
        <w:rPr>
          <w:sz w:val="20"/>
          <w:szCs w:val="20"/>
          <w:color w:val="auto"/>
        </w:rPr>
      </w:pPr>
    </w:p>
    <w:p>
      <w:pPr>
        <w:ind w:right="300" w:firstLine="584"/>
        <w:spacing w:after="0" w:line="283" w:lineRule="auto"/>
        <w:rPr>
          <w:sz w:val="20"/>
          <w:szCs w:val="20"/>
          <w:color w:val="auto"/>
        </w:rPr>
      </w:pPr>
      <w:r>
        <w:rPr>
          <w:rFonts w:ascii="Arial" w:cs="Arial" w:eastAsia="Arial" w:hAnsi="Arial"/>
          <w:sz w:val="16"/>
          <w:szCs w:val="16"/>
          <w:i w:val="1"/>
          <w:iCs w:val="1"/>
          <w:color w:val="auto"/>
        </w:rPr>
        <w:t>Capital Gains Taxes Applicable to Israeli Resident Shareholders. An individual is subject to a tax at a rate of 25% on actual capital gains derived from the sale of shares, as long as the individual is not a substantial shareholder in the company issuing the shares.</w:t>
      </w:r>
    </w:p>
    <w:p>
      <w:pPr>
        <w:spacing w:after="0" w:line="151" w:lineRule="exact"/>
        <w:rPr>
          <w:sz w:val="20"/>
          <w:szCs w:val="20"/>
          <w:color w:val="auto"/>
        </w:rPr>
      </w:pPr>
    </w:p>
    <w:p>
      <w:pPr>
        <w:ind w:right="180" w:firstLine="584"/>
        <w:spacing w:after="0" w:line="263" w:lineRule="auto"/>
        <w:rPr>
          <w:sz w:val="20"/>
          <w:szCs w:val="20"/>
          <w:color w:val="auto"/>
        </w:rPr>
      </w:pPr>
      <w:r>
        <w:rPr>
          <w:rFonts w:ascii="Arial" w:cs="Arial" w:eastAsia="Arial" w:hAnsi="Arial"/>
          <w:sz w:val="16"/>
          <w:szCs w:val="16"/>
          <w:i w:val="1"/>
          <w:iCs w:val="1"/>
          <w:color w:val="auto"/>
        </w:rPr>
        <w:t>An individual who is a substantial shareholder is subject to tax at a rate of 30% in respect of actual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the date he or she had been a substantial shareholder.</w:t>
      </w:r>
    </w:p>
    <w:p>
      <w:pPr>
        <w:spacing w:after="0" w:line="168" w:lineRule="exact"/>
        <w:rPr>
          <w:sz w:val="20"/>
          <w:szCs w:val="20"/>
          <w:color w:val="auto"/>
        </w:rPr>
      </w:pPr>
    </w:p>
    <w:p>
      <w:pPr>
        <w:ind w:right="140" w:firstLine="584"/>
        <w:spacing w:after="0" w:line="282" w:lineRule="auto"/>
        <w:rPr>
          <w:sz w:val="20"/>
          <w:szCs w:val="20"/>
          <w:color w:val="auto"/>
        </w:rPr>
      </w:pPr>
      <w:r>
        <w:rPr>
          <w:rFonts w:ascii="Arial" w:cs="Arial" w:eastAsia="Arial" w:hAnsi="Arial"/>
          <w:sz w:val="15"/>
          <w:szCs w:val="15"/>
          <w:i w:val="1"/>
          <w:iCs w:val="1"/>
          <w:color w:val="auto"/>
        </w:rPr>
        <w:t>Capital Gains Taxes Applicable to Non-Israeli Resident Shareholders. Shareholders that are not Israeli residents are generally exempt from Israeli capital gains tax on any gains derived from the sale, exchange or disposition of our ordinary shares, provided that such shareholders did not acquire their ordinary shares prior to our initial public offering on the TASE and such gains were not derived from a permanent establishment or business activity of such shareholders in Israel. However, non-Israeli corporations will not be entitled to the foregoing exemptions if one or more Israeli residents (a) have a controlling interest of 25% or more in such non-Israeli corporation or (b) are the beneficiaries of or are entitled to 25% or more of the revenues or profits of such non-Israeli corporation, whether directly or indirectly.</w:t>
      </w:r>
    </w:p>
    <w:p>
      <w:pPr>
        <w:spacing w:after="0" w:line="156" w:lineRule="exact"/>
        <w:rPr>
          <w:sz w:val="20"/>
          <w:szCs w:val="20"/>
          <w:color w:val="auto"/>
        </w:rPr>
      </w:pPr>
    </w:p>
    <w:p>
      <w:pPr>
        <w:ind w:right="200" w:firstLine="584"/>
        <w:spacing w:after="0" w:line="258" w:lineRule="auto"/>
        <w:rPr>
          <w:sz w:val="20"/>
          <w:szCs w:val="20"/>
          <w:color w:val="auto"/>
        </w:rPr>
      </w:pPr>
      <w:r>
        <w:rPr>
          <w:rFonts w:ascii="Arial" w:cs="Arial" w:eastAsia="Arial" w:hAnsi="Arial"/>
          <w:sz w:val="16"/>
          <w:szCs w:val="16"/>
          <w:i w:val="1"/>
          <w:iCs w:val="1"/>
          <w:color w:val="auto"/>
        </w:rPr>
        <w:t>In addition, under the U.S.-Israel Tax Treaty, the sale, exchange or disposition of our ordinary shares by a shareholder who is a U.S. resident (for purposes of the U.S.-Israel Tax Treaty) holding the ordinary shares as a capital asset is exempt from Israeli capital gains tax unless (1) the shareholder holds, directly or indirectly, shares representing 10% or more of our voting capital during any part of the 12-month period preceding such sale, exchange or disposition; (2) the capital gains arising from such sale are attributable to a permanent establishment of the shareholder located in Israel; (3) a shareholder who is an individual is present in Israel for a period or periods aggregating 183 days or more during a taxable year. In either case, the sale, exchange or disposition of ordinary shares would be subject to Israeli tax, to the extent applicable; however, under the U.S.-Israel Tax Treaty, the U.S. resident would be permitted to claim a credit for the tax against the U.S. federal income tax imposed with respect to the sale, exchange or disposition, subject to the limitations in U.S. laws applicable to foreign tax credits. The U.S.-Israel Tax Treaty does not relate to U.S. state or local taxes.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725995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112" w:name="page113"/>
    <w:bookmarkEnd w:id="112"/>
    <w:p>
      <w:pPr>
        <w:ind w:left="580"/>
        <w:spacing w:after="0"/>
        <w:rPr>
          <w:sz w:val="20"/>
          <w:szCs w:val="20"/>
          <w:color w:val="auto"/>
        </w:rPr>
      </w:pPr>
      <w:r>
        <w:rPr>
          <w:rFonts w:ascii="Arial" w:cs="Arial" w:eastAsia="Arial" w:hAnsi="Arial"/>
          <w:sz w:val="15"/>
          <w:szCs w:val="15"/>
          <w:color w:val="auto"/>
        </w:rPr>
        <w:t>Shareholders may be required to demonstrate that they are exempt from tax on their capital gains in order to avoid withholding at source at the time of sale.</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 Considerations</w:t>
      </w:r>
    </w:p>
    <w:p>
      <w:pPr>
        <w:spacing w:after="0" w:line="220" w:lineRule="exact"/>
        <w:rPr>
          <w:sz w:val="20"/>
          <w:szCs w:val="20"/>
          <w:color w:val="auto"/>
        </w:rPr>
      </w:pPr>
    </w:p>
    <w:p>
      <w:pPr>
        <w:jc w:val="both"/>
        <w:ind w:right="100" w:firstLine="584"/>
        <w:spacing w:after="0" w:line="293" w:lineRule="auto"/>
        <w:rPr>
          <w:sz w:val="20"/>
          <w:szCs w:val="20"/>
          <w:color w:val="auto"/>
        </w:rPr>
      </w:pPr>
      <w:r>
        <w:rPr>
          <w:rFonts w:ascii="Arial" w:cs="Arial" w:eastAsia="Arial" w:hAnsi="Arial"/>
          <w:sz w:val="14"/>
          <w:szCs w:val="14"/>
          <w:color w:val="auto"/>
        </w:rPr>
        <w:t>The following is a general summary of the material U.S. federal income tax considerations relating to the purchase, ownership and disposition of our ordinary shares and ADSs by U.S. Investors (as defined below) that are initial purchasers of such ordinary shares or ADSs and that hold such ordinary shares or ADSs as capital assets. This summary is based on the Internal Revenue Code of 1986, as amended, or the Code, the regulations of the U.S. Department of the Treasury issued pursuant to the Code, or the Treasury Regulations, and administrative and judicial interpretations thereof, all as in effect on the date hereof and all of which are subject to change, possibly with retroactive effect, or to different interpretation. This summary is for general information only and does not address all of the tax considerations that may be relevant to specific U.S.</w:t>
      </w:r>
    </w:p>
    <w:p>
      <w:pPr>
        <w:spacing w:after="0" w:line="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Investors in light of their particular circumstances or to U.S. Investors subject to special treatment under U.S. federal income tax law (such as banks, insurance companies, tax-exempt entities, retirement plans, regulated investment companies, partnerships, dealers in securities, brokers, real estate investment trusts, certain former citizens or residents of the United States, persons who acquire our ordinary shares or ADSs as part of a straddle, hedge, conversion transaction or other integrated investment, persons that have a "functional currency" other than the Dollar, persons that own (or are deemed to own, indirectly or by attribution) 10% or more of our ordinary shares or ADSs or persons that generally mark their securities to market for U.S. federal income tax purposes). This summary does not address any U.S. state or local or non-U.S. tax considerations or any U.S. federal estate, gift or alternative minimum tax considerations.</w:t>
      </w:r>
    </w:p>
    <w:p>
      <w:pPr>
        <w:spacing w:after="0" w:line="174" w:lineRule="exact"/>
        <w:rPr>
          <w:sz w:val="20"/>
          <w:szCs w:val="20"/>
          <w:color w:val="auto"/>
        </w:rPr>
      </w:pPr>
    </w:p>
    <w:p>
      <w:pPr>
        <w:ind w:firstLine="616"/>
        <w:spacing w:after="0" w:line="260" w:lineRule="auto"/>
        <w:rPr>
          <w:sz w:val="20"/>
          <w:szCs w:val="20"/>
          <w:color w:val="auto"/>
        </w:rPr>
      </w:pPr>
      <w:r>
        <w:rPr>
          <w:rFonts w:ascii="Arial" w:cs="Arial" w:eastAsia="Arial" w:hAnsi="Arial"/>
          <w:sz w:val="16"/>
          <w:szCs w:val="16"/>
          <w:color w:val="auto"/>
        </w:rPr>
        <w:t>As used in this summary, the term "U.S. Investor" means a beneficial owner of our ordinary shares or ADSs that is, for U.S. federal income tax purposes, (i) an individual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 regardless of its source or (iv) a trust with respect to which a court within the United States is able to exercise primary supervision over its administration and one or more U.S. persons have the authority to control all of its substantial decisions, or a trust that has validly elected to be treated as a U.S. person for U.S. federal income tax purposes, whose status as a U.S. person is not overwritten by an applicable tax treaty.</w:t>
      </w:r>
    </w:p>
    <w:p>
      <w:pPr>
        <w:spacing w:after="0" w:line="217" w:lineRule="exact"/>
        <w:rPr>
          <w:sz w:val="20"/>
          <w:szCs w:val="20"/>
          <w:color w:val="auto"/>
        </w:rPr>
      </w:pPr>
    </w:p>
    <w:p>
      <w:pPr>
        <w:ind w:right="280" w:firstLine="584"/>
        <w:spacing w:after="0" w:line="263" w:lineRule="auto"/>
        <w:rPr>
          <w:sz w:val="20"/>
          <w:szCs w:val="20"/>
          <w:color w:val="auto"/>
        </w:rPr>
      </w:pPr>
      <w:r>
        <w:rPr>
          <w:rFonts w:ascii="Arial" w:cs="Arial" w:eastAsia="Arial" w:hAnsi="Arial"/>
          <w:sz w:val="16"/>
          <w:szCs w:val="16"/>
          <w:color w:val="auto"/>
        </w:rPr>
        <w:t>If an entity treated as a partnership for U.S. federal income tax purposes holds our ordinary shares or ADSs, the tax treatment of such partnership and each partner thereof will generally depend upon the status and activities of the partnership and such partner. A holder that is treated as a partnership for U.S. federal income tax purposes should consult its own tax advisor regarding the U.S. federal income tax considerations applicable to it and its partners of the purchase, ownership and disposition of its ordinary shares or ADSs.</w:t>
      </w:r>
    </w:p>
    <w:p>
      <w:pPr>
        <w:spacing w:after="0" w:line="164" w:lineRule="exact"/>
        <w:rPr>
          <w:sz w:val="20"/>
          <w:szCs w:val="20"/>
          <w:color w:val="auto"/>
        </w:rPr>
      </w:pPr>
    </w:p>
    <w:p>
      <w:pPr>
        <w:ind w:right="100" w:firstLine="584"/>
        <w:spacing w:after="0" w:line="271" w:lineRule="auto"/>
        <w:rPr>
          <w:sz w:val="20"/>
          <w:szCs w:val="20"/>
          <w:color w:val="auto"/>
        </w:rPr>
      </w:pPr>
      <w:r>
        <w:rPr>
          <w:rFonts w:ascii="Arial" w:cs="Arial" w:eastAsia="Arial" w:hAnsi="Arial"/>
          <w:sz w:val="16"/>
          <w:szCs w:val="16"/>
          <w:b w:val="1"/>
          <w:bCs w:val="1"/>
          <w:color w:val="auto"/>
        </w:rPr>
        <w:t>Prospective investors should be aware that this summary does not address the tax consequences to investors who are not U.S. Investors. Prospective investors should consult their own tax advisors as to the particular tax considerations applicable to them relating to the purchase, ownership and disposition of their ordinary shares or ADSs, including the applicability of U.S. federal, state and local tax laws and non-U.S. tax laws</w:t>
      </w:r>
      <w:r>
        <w:rPr>
          <w:rFonts w:ascii="Arial" w:cs="Arial" w:eastAsia="Arial" w:hAnsi="Arial"/>
          <w:sz w:val="16"/>
          <w:szCs w:val="16"/>
          <w:color w:val="auto"/>
        </w:rPr>
        <w:t>.</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Taxation of U.S. Investors</w:t>
      </w:r>
    </w:p>
    <w:p>
      <w:pPr>
        <w:spacing w:after="0" w:line="258"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The discussions under "— Distributions," and under "— Sale, Exchange or Other Disposition of Ordinary Shares or ADSs" below assumes that we will not be treated as a passive foreign investment company, or PFIC, for U.S. federal income tax purposes. However, we have not determined whether we will be a PFIC for the taxable year ending December 31, 2017, and it is possible that we will be a PFIC for the taxable year ending December 31, 2017 or in any subsequent year. For a discussion of the rules that would apply if we are treated as a PFIC, see the discussion under "— Passive Foreign Investment Company."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13" w:name="page114"/>
    <w:bookmarkEnd w:id="113"/>
    <w:p>
      <w:pPr>
        <w:ind w:firstLine="584"/>
        <w:spacing w:after="0" w:line="296" w:lineRule="auto"/>
        <w:rPr>
          <w:sz w:val="20"/>
          <w:szCs w:val="20"/>
          <w:color w:val="auto"/>
        </w:rPr>
      </w:pPr>
      <w:r>
        <w:rPr>
          <w:rFonts w:ascii="Arial" w:cs="Arial" w:eastAsia="Arial" w:hAnsi="Arial"/>
          <w:sz w:val="14"/>
          <w:szCs w:val="14"/>
          <w:i w:val="1"/>
          <w:iCs w:val="1"/>
          <w:color w:val="auto"/>
        </w:rPr>
        <w:t>Distributions. We have no current plans to pay dividends. To the extent we pay any dividends, a U.S. Investor will be required to include in gross income as a taxable dividend the amount of any distributions made on the ordinary shares or ADSs, including the amount of any Israeli taxes withheld, to the extent that those distributions are paid out of our current or accumulated earnings and profits as determined for U.S. federal income tax purposes. Any distributions in excess of our earnings and profits will be applied against and will reduce the U.S. Investor's tax basis in its ordinary shares or ADSs and to the extent they exceed that tax basis, will be treated as gain from the sale or exchange of those ordinary shares or ADSs. If we were to pay dividends to holders of our ordinary shares, we expect to pay such dividends in NIS; however, dividends paid to holders of our ADSs will be paid in Dollars. A dividend paid in NIS, including the amount of any Israeli taxes withheld, will be includible in a U.S. Investor's income as a Dollar amount calculated by reference to the exchange rate in effect on the date such dividend is received, regardless of whether the payment is in fact converted into Dollars. If the dividend is converted to Dollars on the date of receipt, a U.S. Investor generally will not recognize a foreign currency gain or loss. However, if the U.S. Investor converts the NIS into Dollars on a later date, the U.S. Investor must include, in computing its income, any gain or loss resulting from any exchange rate fluctuations. The gain or loss will be equal to the difference between (i) the Dollar value of the amount included in income when the dividend was received and (ii) the amount received on the conversion of the NIS into Dollars. Such gain or loss will generally be ordinary income or loss and United States source for U.S. foreign tax credit purposes. U.S. Investors should consult their own tax advisors regarding the tax consequences to them if we pay dividends in NIS or any other non-U.S. currency.</w:t>
      </w:r>
    </w:p>
    <w:p>
      <w:pPr>
        <w:spacing w:after="0" w:line="150" w:lineRule="exact"/>
        <w:rPr>
          <w:sz w:val="20"/>
          <w:szCs w:val="20"/>
          <w:color w:val="auto"/>
        </w:rPr>
      </w:pPr>
    </w:p>
    <w:p>
      <w:pPr>
        <w:ind w:right="80" w:firstLine="584"/>
        <w:spacing w:after="0" w:line="282" w:lineRule="auto"/>
        <w:rPr>
          <w:sz w:val="20"/>
          <w:szCs w:val="20"/>
          <w:color w:val="auto"/>
        </w:rPr>
      </w:pPr>
      <w:r>
        <w:rPr>
          <w:rFonts w:ascii="Arial" w:cs="Arial" w:eastAsia="Arial" w:hAnsi="Arial"/>
          <w:sz w:val="15"/>
          <w:szCs w:val="15"/>
          <w:color w:val="auto"/>
        </w:rPr>
        <w:t>Subject to certain significant conditions and limitations, including potential limitations under the United States-Israel income tax treaty, any Israeli taxes paid on or withheld from distributions from us and not refundable to a U.S. Investor may be credited against the investor's U.S. federal income tax liability or, alternatively, may be deducted from the investor's taxable income. This election is made on a year-by-year basis and applies to all foreign taxes paid by a U.S. Investor or withheld from amounts paid to a U.S. Investor that year. Dividends paid on the ordinary shares or ADSs generally will constitute income from sources outside the United States and be categorized as "passive category income" or, in the case of some U.S. Investors, as "general category income" for U.S. foreign tax credit purposes.</w:t>
      </w:r>
    </w:p>
    <w:p>
      <w:pPr>
        <w:spacing w:after="0" w:line="204" w:lineRule="exact"/>
        <w:rPr>
          <w:sz w:val="20"/>
          <w:szCs w:val="20"/>
          <w:color w:val="auto"/>
        </w:rPr>
      </w:pPr>
    </w:p>
    <w:p>
      <w:pPr>
        <w:ind w:right="100" w:firstLine="584"/>
        <w:spacing w:after="0" w:line="283" w:lineRule="auto"/>
        <w:rPr>
          <w:sz w:val="20"/>
          <w:szCs w:val="20"/>
          <w:color w:val="auto"/>
        </w:rPr>
      </w:pPr>
      <w:r>
        <w:rPr>
          <w:rFonts w:ascii="Arial" w:cs="Arial" w:eastAsia="Arial" w:hAnsi="Arial"/>
          <w:sz w:val="16"/>
          <w:szCs w:val="16"/>
          <w:color w:val="auto"/>
        </w:rPr>
        <w:t>Since the rules governing foreign tax credits are complex, U.S. Investors should consult their own tax advisor regarding the availability of foreign tax credits in their particular circumstances.</w:t>
      </w:r>
    </w:p>
    <w:p>
      <w:pPr>
        <w:spacing w:after="0" w:line="199" w:lineRule="exact"/>
        <w:rPr>
          <w:sz w:val="20"/>
          <w:szCs w:val="20"/>
          <w:color w:val="auto"/>
        </w:rPr>
      </w:pPr>
    </w:p>
    <w:p>
      <w:pPr>
        <w:ind w:firstLine="584"/>
        <w:spacing w:after="0" w:line="283" w:lineRule="auto"/>
        <w:rPr>
          <w:sz w:val="20"/>
          <w:szCs w:val="20"/>
          <w:color w:val="auto"/>
        </w:rPr>
      </w:pPr>
      <w:r>
        <w:rPr>
          <w:rFonts w:ascii="Arial" w:cs="Arial" w:eastAsia="Arial" w:hAnsi="Arial"/>
          <w:sz w:val="16"/>
          <w:szCs w:val="16"/>
          <w:color w:val="auto"/>
        </w:rPr>
        <w:t>Dividends paid on the ordinary shares and ADSs will not be eligible for the "dividends-received" deduction generally allowed to corporate U.S. Investors with respect to dividends received from U.S. corporations.</w:t>
      </w:r>
    </w:p>
    <w:p>
      <w:pPr>
        <w:spacing w:after="0" w:line="199"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Distributions treated as dividends that are received by an individual U.S. Investor from "qualified foreign corporations" generally qualify for a reduced maximum tax rate so long as certain holding period and other requirements are met. Dividends paid by us in a taxable year in which we are not a PFIC are expected to be eligible for the reduced maximum tax rate. However, any dividend paid by us in a taxable year in which we are a PFIC will be subject to tax at regular ordinary income rates. As mentioned above, we have not determined whether we are currently a PFIC or not.</w:t>
      </w:r>
    </w:p>
    <w:p>
      <w:pPr>
        <w:spacing w:after="0" w:line="168" w:lineRule="exact"/>
        <w:rPr>
          <w:sz w:val="20"/>
          <w:szCs w:val="20"/>
          <w:color w:val="auto"/>
        </w:rPr>
      </w:pPr>
    </w:p>
    <w:p>
      <w:pPr>
        <w:ind w:right="20" w:firstLine="584"/>
        <w:spacing w:after="0" w:line="260" w:lineRule="auto"/>
        <w:rPr>
          <w:sz w:val="20"/>
          <w:szCs w:val="20"/>
          <w:color w:val="auto"/>
        </w:rPr>
      </w:pPr>
      <w:r>
        <w:rPr>
          <w:rFonts w:ascii="Arial" w:cs="Arial" w:eastAsia="Arial" w:hAnsi="Arial"/>
          <w:sz w:val="16"/>
          <w:szCs w:val="16"/>
          <w:i w:val="1"/>
          <w:iCs w:val="1"/>
          <w:color w:val="auto"/>
        </w:rPr>
        <w:t xml:space="preserve">Sale, Exchange or Other Disposition of Ordinary Shares and ADSs. </w:t>
      </w:r>
      <w:r>
        <w:rPr>
          <w:rFonts w:ascii="Arial" w:cs="Arial" w:eastAsia="Arial" w:hAnsi="Arial"/>
          <w:sz w:val="16"/>
          <w:szCs w:val="16"/>
          <w:color w:val="auto"/>
        </w:rPr>
        <w:t>Subject to the discussion under "— Passive Foreign Investment Company" below, a U.S.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recognize capital gain or loss upon the sale, exchange or other disposition of ordinary shares or ADSs in an amount equal to the difference between the amount realized on the sale, exchange or other disposition and the U.S. Investor's adjusted tax basis in such ordinary shares or ADSs. This capital gain or loss will be long-term capital gain or loss if the U.S. Investor's holding period in the ordinary shares or ADSs exceeds one year. Preferential tax rates for long-term capital gain will apply to individual U.S. Investors. The deductibility of capital losses is subject to limitations. The gain or loss will generally be income or loss from sources within the United States for U.S. foreign tax credit purposes.</w:t>
      </w:r>
    </w:p>
    <w:p>
      <w:pPr>
        <w:spacing w:after="0" w:line="217" w:lineRule="exact"/>
        <w:rPr>
          <w:sz w:val="20"/>
          <w:szCs w:val="20"/>
          <w:color w:val="auto"/>
        </w:rPr>
      </w:pPr>
    </w:p>
    <w:p>
      <w:pPr>
        <w:ind w:firstLine="584"/>
        <w:spacing w:after="0" w:line="283" w:lineRule="auto"/>
        <w:rPr>
          <w:sz w:val="20"/>
          <w:szCs w:val="20"/>
          <w:color w:val="auto"/>
        </w:rPr>
      </w:pPr>
      <w:r>
        <w:rPr>
          <w:rFonts w:ascii="Arial" w:cs="Arial" w:eastAsia="Arial" w:hAnsi="Arial"/>
          <w:sz w:val="16"/>
          <w:szCs w:val="16"/>
          <w:color w:val="auto"/>
        </w:rPr>
        <w:t>U.S. Investors should consult their own tax advisors regarding the U.S. federal income tax consequences of receiving currency other than Dollars upon the disposition of ordinary shares or ADSs.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14" w:name="page115"/>
    <w:bookmarkEnd w:id="114"/>
    <w:p>
      <w:pPr>
        <w:ind w:right="100" w:firstLine="584"/>
        <w:spacing w:after="0" w:line="260" w:lineRule="auto"/>
        <w:rPr>
          <w:sz w:val="20"/>
          <w:szCs w:val="20"/>
          <w:color w:val="auto"/>
        </w:rPr>
      </w:pPr>
      <w:r>
        <w:rPr>
          <w:rFonts w:ascii="Arial" w:cs="Arial" w:eastAsia="Arial" w:hAnsi="Arial"/>
          <w:sz w:val="16"/>
          <w:szCs w:val="16"/>
          <w:i w:val="1"/>
          <w:iCs w:val="1"/>
          <w:color w:val="auto"/>
        </w:rPr>
        <w:t>Medicare Tax</w:t>
      </w:r>
      <w:r>
        <w:rPr>
          <w:rFonts w:ascii="Arial" w:cs="Arial" w:eastAsia="Arial" w:hAnsi="Arial"/>
          <w:sz w:val="16"/>
          <w:szCs w:val="16"/>
          <w:color w:val="auto"/>
        </w:rPr>
        <w:t>. In addition, certain U.S. persons, including individuals, estates and trusts, will be subject to an additional 3.8% Medicare tax on unearned income. For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the deductions that are allocable to such income. Investment income generally includes passive income such as interest, dividends, annuities, royalties, rents, and capital gains. U.S. Investors are urged to consult their own tax advisors regarding the implications of the additional Medicare tax resulting from their ownership and disposition of ordinary shares or ADSs.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Passive Foreign Investment Company</w:t>
      </w:r>
    </w:p>
    <w:p>
      <w:pPr>
        <w:spacing w:after="0" w:line="210"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In general, a corporation organized outside the United States will be treated as a PFIC for U.S. federal income tax purposes in any taxable year in which either (i) at least 75% of its gross income is "passive income" or (ii) on average at least 50% of its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the public offering. In determining whether a non-U.S. corporation is a PFIC, a proportionate share of the income and assets of each corporation in which it owns, directly or indirectly, at least a 25% interest (by value) is taken into account.</w:t>
      </w:r>
    </w:p>
    <w:p>
      <w:pPr>
        <w:spacing w:after="0" w:line="217" w:lineRule="exact"/>
        <w:rPr>
          <w:sz w:val="20"/>
          <w:szCs w:val="20"/>
          <w:color w:val="auto"/>
        </w:rPr>
      </w:pPr>
    </w:p>
    <w:p>
      <w:pPr>
        <w:ind w:right="460" w:firstLine="584"/>
        <w:spacing w:after="0" w:line="283" w:lineRule="auto"/>
        <w:rPr>
          <w:sz w:val="20"/>
          <w:szCs w:val="20"/>
          <w:color w:val="auto"/>
        </w:rPr>
      </w:pPr>
      <w:r>
        <w:rPr>
          <w:rFonts w:ascii="Arial" w:cs="Arial" w:eastAsia="Arial" w:hAnsi="Arial"/>
          <w:sz w:val="16"/>
          <w:szCs w:val="16"/>
          <w:color w:val="auto"/>
        </w:rPr>
        <w:t>Under the tests described above, whether or not we are a PFIC will be determined annually based upon the composition of our income and the composition and valuation of our assets, all of which are subject to change.</w:t>
      </w:r>
    </w:p>
    <w:p>
      <w:pPr>
        <w:spacing w:after="0" w:line="199" w:lineRule="exact"/>
        <w:rPr>
          <w:sz w:val="20"/>
          <w:szCs w:val="20"/>
          <w:color w:val="auto"/>
        </w:rPr>
      </w:pPr>
    </w:p>
    <w:p>
      <w:pPr>
        <w:ind w:right="60" w:firstLine="584"/>
        <w:spacing w:after="0" w:line="261" w:lineRule="auto"/>
        <w:rPr>
          <w:sz w:val="20"/>
          <w:szCs w:val="20"/>
          <w:color w:val="auto"/>
        </w:rPr>
      </w:pPr>
      <w:r>
        <w:rPr>
          <w:rFonts w:ascii="Arial" w:cs="Arial" w:eastAsia="Arial" w:hAnsi="Arial"/>
          <w:sz w:val="16"/>
          <w:szCs w:val="16"/>
          <w:color w:val="auto"/>
        </w:rPr>
        <w:t>We believe that we were a PFIC for U.S. federal income tax purposes for taxable years ended prior to December 31, 2009 and for taxable years ended December 31, 2011, 2012, 2014, 2015 and 2016. We were not a PFIC for taxable years ended 2009, 2010 and 2013, and we have not determined whether we will be a PFIC for the taxable year ending December 31, 2017. Because the PFIC determination is highly fact intensive and made at the end of each taxable year, there can be no assurance that we will not be a PFIC for taxable year ending December 31,2017 or in any subsequent year. Upon request, we will annually inform U.S. Investors if we and any of our subsidiaries were a PFIC with respect to the preceding year.</w:t>
      </w:r>
    </w:p>
    <w:p>
      <w:pPr>
        <w:spacing w:after="0" w:line="168" w:lineRule="exact"/>
        <w:rPr>
          <w:sz w:val="20"/>
          <w:szCs w:val="20"/>
          <w:color w:val="auto"/>
        </w:rPr>
      </w:pPr>
    </w:p>
    <w:p>
      <w:pPr>
        <w:ind w:right="220" w:firstLine="584"/>
        <w:spacing w:after="0" w:line="263" w:lineRule="auto"/>
        <w:rPr>
          <w:sz w:val="20"/>
          <w:szCs w:val="20"/>
          <w:color w:val="auto"/>
        </w:rPr>
      </w:pPr>
      <w:r>
        <w:rPr>
          <w:rFonts w:ascii="Arial" w:cs="Arial" w:eastAsia="Arial" w:hAnsi="Arial"/>
          <w:sz w:val="16"/>
          <w:szCs w:val="16"/>
          <w:color w:val="auto"/>
        </w:rPr>
        <w:t>U.S. Investors should be aware of certain tax consequences of investing directly or indirectly in us if we are a PFIC. A U.S. Investor is subject to different rules depending on whether the U.S. Investor makes an election to treat us as a "qualified electing fund," known as a QEF election, for the first taxable year that the U.S. Investor holds ordinary shares or ADSs, which is referred to in this disclosure as a "timely QEF election," makes a "mark-to-market" election with respect to the ordinary shares or ADSs (if such election is available) or makes neither election.</w:t>
      </w:r>
    </w:p>
    <w:p>
      <w:pPr>
        <w:spacing w:after="0" w:line="168"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i w:val="1"/>
          <w:iCs w:val="1"/>
          <w:color w:val="auto"/>
        </w:rPr>
        <w:t xml:space="preserve">QEF Election. </w:t>
      </w:r>
      <w:r>
        <w:rPr>
          <w:rFonts w:ascii="Arial" w:cs="Arial" w:eastAsia="Arial" w:hAnsi="Arial"/>
          <w:sz w:val="15"/>
          <w:szCs w:val="15"/>
          <w:color w:val="auto"/>
        </w:rPr>
        <w:t>A U.S. Investor who makes a timely QEF election, referred to in this disclosure as an "Electing U.S. Investor," with respect to us must report for U.S.</w:t>
      </w:r>
      <w:r>
        <w:rPr>
          <w:rFonts w:ascii="Arial" w:cs="Arial" w:eastAsia="Arial" w:hAnsi="Arial"/>
          <w:sz w:val="15"/>
          <w:szCs w:val="15"/>
          <w:i w:val="1"/>
          <w:iCs w:val="1"/>
          <w:color w:val="auto"/>
        </w:rPr>
        <w:t xml:space="preserve"> </w:t>
      </w:r>
      <w:r>
        <w:rPr>
          <w:rFonts w:ascii="Arial" w:cs="Arial" w:eastAsia="Arial" w:hAnsi="Arial"/>
          <w:sz w:val="15"/>
          <w:szCs w:val="15"/>
          <w:color w:val="auto"/>
        </w:rPr>
        <w:t>federal income tax purposes his pro rata share of our ordinary earnings and net capital gain, if any, for our taxable year that ends with or within the taxable year of the Electing U.S. Investor. The "net capital gain" of a PFIC is the excess, if any, of the PFIC's net long-term capital gains over its net short-term capital losses. The amount so included in income generally will be treated as ordinary income to the extent of such Electing U.S. Investor's allocable share of the PFIC's ordinary earnings and as long-term capital gain to the extent of such Electing U.S. Investor's allocable share of the PFIC's net capital gains. Such Electing U.S. Investor generally will be required to translate such income into Dollars based on the average exchange rate for the PFIC's taxable year with respect to the PFIC's functional currency. Such income generally will be treated as income from sources outside the United States for U.S. foreign tax credit purposes. Amounts previously included in income by such Electing U.S. Investor under the QEF rules generally will not be subject to tax when they are distributed to such Electing U.S. Investor. The Electing U.S. Investor's tax basis in ordinary shares or ADSs generally will increase by any amounts so included under the QEF rules and decrease by any amounts not included in income when distributed.</w:t>
      </w:r>
    </w:p>
    <w:p>
      <w:pPr>
        <w:spacing w:after="0" w:line="156" w:lineRule="exact"/>
        <w:rPr>
          <w:sz w:val="20"/>
          <w:szCs w:val="20"/>
          <w:color w:val="auto"/>
        </w:rPr>
      </w:pPr>
    </w:p>
    <w:p>
      <w:pPr>
        <w:ind w:right="200" w:firstLine="584"/>
        <w:spacing w:after="0" w:line="263" w:lineRule="auto"/>
        <w:rPr>
          <w:sz w:val="20"/>
          <w:szCs w:val="20"/>
          <w:color w:val="auto"/>
        </w:rPr>
      </w:pPr>
      <w:r>
        <w:rPr>
          <w:rFonts w:ascii="Arial" w:cs="Arial" w:eastAsia="Arial" w:hAnsi="Arial"/>
          <w:sz w:val="16"/>
          <w:szCs w:val="16"/>
          <w:color w:val="auto"/>
        </w:rPr>
        <w:t>An Electing U.S. Investor will be subject to U.S. federal income tax on such amounts for each taxable year in which we are a PFIC, regardless of whether such amounts are actually distributed to such Electing U.S. Investor. However, an Electing U.S. Investor may, subject to certain limitations, elect to defer payment of current U.S. federal income tax on such amounts, subject to an interest charge. If an Electing U.S. Investor is an individual, any such interest will be treated as non-deductible "personal interest."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5" w:name="page116"/>
    <w:bookmarkEnd w:id="115"/>
    <w:p>
      <w:pPr>
        <w:ind w:right="60" w:firstLine="584"/>
        <w:spacing w:after="0" w:line="268" w:lineRule="auto"/>
        <w:rPr>
          <w:sz w:val="20"/>
          <w:szCs w:val="20"/>
          <w:color w:val="auto"/>
        </w:rPr>
      </w:pPr>
      <w:r>
        <w:rPr>
          <w:rFonts w:ascii="Arial" w:cs="Arial" w:eastAsia="Arial" w:hAnsi="Arial"/>
          <w:sz w:val="16"/>
          <w:szCs w:val="16"/>
          <w:color w:val="auto"/>
        </w:rPr>
        <w:t>Any net operating losses or net capital losses of a PFIC will not pass through to the Electing U.S. Investor and will not offset any ordinary earnings or net capital gain of a PFIC recognized by Electing U.S. Investors in subsequent years (although such losses would ultimately reduce the gain, or increase the loss, recognized by the Electing U.S. Investor on its disposition of the ordinary shares or ADSs).</w:t>
      </w:r>
    </w:p>
    <w:p>
      <w:pPr>
        <w:spacing w:after="0" w:line="212"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So long as an Electing U.S. Investor's QEF election with respect to us is in effect with respect to the entire holding period for ordinary shares or ADSs, any gain or loss recognized by such Electing U.S. Investor on the sale, exchange or other disposition of such ordinary shares or ADSs generally will be long-term capital gain or loss if such Electing U.S. Investor has held such ordinary shares or ADSs for more than one year at the time of such sale, exchange or other disposition. Preferential tax rates for long-term capital gain will apply to individual U.S. Investors. The deductibility of capital losses is subject to limitations.</w:t>
      </w:r>
    </w:p>
    <w:p>
      <w:pPr>
        <w:spacing w:after="0" w:line="216" w:lineRule="exact"/>
        <w:rPr>
          <w:sz w:val="20"/>
          <w:szCs w:val="20"/>
          <w:color w:val="auto"/>
        </w:rPr>
      </w:pPr>
    </w:p>
    <w:p>
      <w:pPr>
        <w:ind w:right="80" w:firstLine="584"/>
        <w:spacing w:after="0" w:line="260" w:lineRule="auto"/>
        <w:rPr>
          <w:sz w:val="20"/>
          <w:szCs w:val="20"/>
          <w:color w:val="auto"/>
        </w:rPr>
      </w:pPr>
      <w:r>
        <w:rPr>
          <w:rFonts w:ascii="Arial" w:cs="Arial" w:eastAsia="Arial" w:hAnsi="Arial"/>
          <w:sz w:val="16"/>
          <w:szCs w:val="16"/>
          <w:color w:val="auto"/>
        </w:rPr>
        <w:t>A U.S. Investor makes a QEF election by completing the relevant portions of and filing IRS Form 8621 in accordance with the instructions thereto. A QEF election generally may not be revoked without the consent of the IRS. Upon request, we will annually furnish U.S. Investors with information needed in order to complete IRS Form 8621 (which form would be required to be filed with the IRS on an annual basis by the U.S. Investor) and to make and maintain a valid QEF election for any year in which we or any of our subsidiaries are a PFIC. A QEF election will not apply to any taxable year during which we are not a PFIC, but will remain in effect with respect to any subsequent taxable year in which we become a PFIC. Each U.S. Investor is encouraged to consult its own tax advisor with respect to tax consequences of a QEF election with respect to us.</w:t>
      </w:r>
    </w:p>
    <w:p>
      <w:pPr>
        <w:spacing w:after="0" w:line="168" w:lineRule="exact"/>
        <w:rPr>
          <w:sz w:val="20"/>
          <w:szCs w:val="20"/>
          <w:color w:val="auto"/>
        </w:rPr>
      </w:pPr>
    </w:p>
    <w:p>
      <w:pPr>
        <w:ind w:right="20" w:firstLine="584"/>
        <w:spacing w:after="0" w:line="275" w:lineRule="auto"/>
        <w:rPr>
          <w:sz w:val="20"/>
          <w:szCs w:val="20"/>
          <w:color w:val="auto"/>
        </w:rPr>
      </w:pPr>
      <w:r>
        <w:rPr>
          <w:rFonts w:ascii="Arial" w:cs="Arial" w:eastAsia="Arial" w:hAnsi="Arial"/>
          <w:sz w:val="15"/>
          <w:szCs w:val="15"/>
          <w:i w:val="1"/>
          <w:iCs w:val="1"/>
          <w:color w:val="auto"/>
        </w:rPr>
        <w:t>Mark-to-Market Election</w:t>
      </w:r>
      <w:r>
        <w:rPr>
          <w:rFonts w:ascii="Arial" w:cs="Arial" w:eastAsia="Arial" w:hAnsi="Arial"/>
          <w:sz w:val="15"/>
          <w:szCs w:val="15"/>
          <w:color w:val="auto"/>
        </w:rPr>
        <w:t>. Alternatively, if our ordinary shares or ADSs are treated as "marketable stock," a U.S. Investor would be allowed to make a "mark-to-market" election with respect to our ordinary shares or ADSs, provided the U.S. Investor completes and files IRS Form 8621 in accordance with the relevant instructions and related Treasury Regulations. If that election is made, the U.S. Investor generally would include as ordinary income in each taxable year the excess, if any, of the fair market value of the ordinary shares or ADSs at the end of the taxable year over such holder's adjusted tax basis in the ordinary shares or ADSs. Thus, the U.S. Investor may recognize taxable income without receiving any cash to pay its tax liability with respect to such income. The U.S. Investor would also be permitted an ordinary loss in respect of the excess, if any, of the U.S. Investor's adjusted tax basis in the ordinary shares or ADSs over their fair market value at the end of the taxable year, but only to the extent of the net amount previously included in income as a result of the mark-to-market election. A U.S. Investor's tax basis in the ordinary shares or ADSs would be adjusted to reflect any such income or loss amount. Gain realized on the sale, exchange or other disposition of the ordinary shares or ADSs would be treated as ordinary income, and any loss realized on the sale, exchange or other disposition of the ordinary shares or ADSs would be treated as ordinary loss to the extent that such loss does not exceed the net mark-to-market gains previously included in income by the U.S. Investor, and any loss in excess of such amount will be treated as capital loss. Amounts treated as ordinary income will not be eligible for the favorable tax rates applicable to qualified dividend income or long-term capital gains.</w:t>
      </w:r>
    </w:p>
    <w:p>
      <w:pPr>
        <w:spacing w:after="0" w:line="212" w:lineRule="exact"/>
        <w:rPr>
          <w:sz w:val="20"/>
          <w:szCs w:val="20"/>
          <w:color w:val="auto"/>
        </w:rPr>
      </w:pPr>
    </w:p>
    <w:p>
      <w:pPr>
        <w:ind w:firstLine="584"/>
        <w:spacing w:after="0" w:line="280" w:lineRule="auto"/>
        <w:rPr>
          <w:sz w:val="20"/>
          <w:szCs w:val="20"/>
          <w:color w:val="auto"/>
        </w:rPr>
      </w:pPr>
      <w:r>
        <w:rPr>
          <w:rFonts w:ascii="Arial" w:cs="Arial" w:eastAsia="Arial" w:hAnsi="Arial"/>
          <w:sz w:val="15"/>
          <w:szCs w:val="15"/>
          <w:color w:val="auto"/>
        </w:rPr>
        <w:t xml:space="preserve">Generally, stock will be considered marketable stock if it is "regularly traded" on a "qualified exchange" within the meaning of applicable Treasury Regulations. A class of stock is regularly traded on an exchange during any calendar year during which such class of stock is traded, other than in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quantities, on at least 15 days during each calendar quarter. A mark-to-market election will not apply to our ordinary shares or ADSs held by a U.S. Investor for any taxable year during which we are not a PFIC, but will remain in effect with respect to any subsequent taxable year in which we become a PFIC unless our ordinary shares or ADSs cease to be marketable. A mark-to-market election generally may not be revoked without the consent of the IRS. Such election will not apply to any PFIC subsidiary that we own. Each U.S. Investor is encouraged to consult its own tax advisor with respect to the availability and tax consequences of a mark-to-market election with respect to our ordinary shares or ADSs.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6" w:name="page117"/>
    <w:bookmarkEnd w:id="116"/>
    <w:p>
      <w:pPr>
        <w:ind w:right="20" w:firstLine="584"/>
        <w:spacing w:after="0" w:line="261" w:lineRule="auto"/>
        <w:rPr>
          <w:sz w:val="20"/>
          <w:szCs w:val="20"/>
          <w:color w:val="auto"/>
        </w:rPr>
      </w:pPr>
      <w:r>
        <w:rPr>
          <w:rFonts w:ascii="Arial" w:cs="Arial" w:eastAsia="Arial" w:hAnsi="Arial"/>
          <w:sz w:val="16"/>
          <w:szCs w:val="16"/>
          <w:i w:val="1"/>
          <w:iCs w:val="1"/>
          <w:color w:val="auto"/>
        </w:rPr>
        <w:t>Default PFIC Rules</w:t>
      </w:r>
      <w:r>
        <w:rPr>
          <w:rFonts w:ascii="Arial" w:cs="Arial" w:eastAsia="Arial" w:hAnsi="Arial"/>
          <w:sz w:val="16"/>
          <w:szCs w:val="16"/>
          <w:color w:val="auto"/>
        </w:rPr>
        <w:t>. A U.S. Investor who does not make a timely QEF election or a mark-to-market election, referred to in this disclosure as a "Non-Electing U.S.</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will be subject to special rules with respect to (a) any "excess distribution" (generally, the portion of any distributions received by the Non-Electing U.S. Investor on the ordinary shares or ADSs in a taxable year in excess of 125% of the average annual distributions received by the Non-Electing U.S. Investor in the three preceding taxable years, or, if shorter, the Non-Electing U.S. Investor's holding period for the ordinary shares or ADSs), and (b) any gain realized on the sale or other disposition of such ordinary shares or ADSs. Under these rules:</w:t>
      </w:r>
    </w:p>
    <w:p>
      <w:pPr>
        <w:spacing w:after="0" w:line="217" w:lineRule="exact"/>
        <w:rPr>
          <w:sz w:val="20"/>
          <w:szCs w:val="20"/>
          <w:color w:val="auto"/>
        </w:rPr>
      </w:pPr>
    </w:p>
    <w:p>
      <w:pPr>
        <w:ind w:left="580" w:hanging="290"/>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the Non-Electing U.S. Investor's holding period for the ordinary shares or ADSs;</w:t>
      </w:r>
    </w:p>
    <w:p>
      <w:pPr>
        <w:spacing w:after="0" w:line="254" w:lineRule="exact"/>
        <w:rPr>
          <w:rFonts w:ascii="Arial" w:cs="Arial" w:eastAsia="Arial" w:hAnsi="Arial"/>
          <w:sz w:val="16"/>
          <w:szCs w:val="16"/>
          <w:color w:val="auto"/>
        </w:rPr>
      </w:pPr>
    </w:p>
    <w:p>
      <w:pPr>
        <w:ind w:left="580" w:hanging="290"/>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 allocated to the current taxable year and any year prior to us becoming a PFIC would be taxed as ordinary income; and</w:t>
      </w:r>
    </w:p>
    <w:p>
      <w:pPr>
        <w:spacing w:after="0" w:line="254" w:lineRule="exact"/>
        <w:rPr>
          <w:rFonts w:ascii="Arial" w:cs="Arial" w:eastAsia="Arial" w:hAnsi="Arial"/>
          <w:sz w:val="16"/>
          <w:szCs w:val="16"/>
          <w:color w:val="auto"/>
        </w:rPr>
      </w:pPr>
    </w:p>
    <w:p>
      <w:pPr>
        <w:ind w:left="580" w:right="120" w:hanging="290"/>
        <w:spacing w:after="0" w:line="318" w:lineRule="auto"/>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27"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If a Non-Electing U.S. Investor who is an individual dies while owning our ordinary shares or ADSs, the Non-Electing U.S. Investor's successor would be ineligible to receive a step-up in tax basis of the ordinary shares or ADSs. Non-Electing U.S. Investors are encouraged to consult their tax advisors regarding the application of the PFIC rules to their specific situation.</w:t>
      </w:r>
    </w:p>
    <w:p>
      <w:pPr>
        <w:spacing w:after="0" w:line="212" w:lineRule="exact"/>
        <w:rPr>
          <w:sz w:val="20"/>
          <w:szCs w:val="20"/>
          <w:color w:val="auto"/>
        </w:rPr>
      </w:pPr>
    </w:p>
    <w:p>
      <w:pPr>
        <w:ind w:right="40" w:firstLine="584"/>
        <w:spacing w:after="0" w:line="313" w:lineRule="auto"/>
        <w:rPr>
          <w:sz w:val="20"/>
          <w:szCs w:val="20"/>
          <w:color w:val="auto"/>
        </w:rPr>
      </w:pPr>
      <w:r>
        <w:rPr>
          <w:rFonts w:ascii="Arial" w:cs="Arial" w:eastAsia="Arial" w:hAnsi="Arial"/>
          <w:sz w:val="14"/>
          <w:szCs w:val="14"/>
          <w:color w:val="auto"/>
        </w:rPr>
        <w:t>A Non-Electing U.S. Investor who wishes to make a QEF election for a subsequent year may be able to make a special "purging election" pursuant to Section 1291(d) of the Code. Pursuant to this election, a Non-Electing U.S. Investor would be treated as selling his or her ordinary shares or ADSs for fair market value on the first day of the taxable year for which the QEF election is made. Any gain on such deemed sale would be subject to tax under the rules for Non-Electing U.S. Investors as discussed above. Non-Electing U.S. Investors are encouraged to consult their tax advisors regarding the availability of a "purging election" as well as other available elections.</w:t>
      </w:r>
    </w:p>
    <w:p>
      <w:pPr>
        <w:spacing w:after="0" w:line="183"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To the extent a distribution on our ordinary shares or ADSs does not constitute an excess distribution to a Non-Electing U.S. Investor, such Non-Electing U.S. Investor generally will be required to include the amount of such distribution in gross income as a dividend to the extent of our current or accumulated earnings and profits (as determined for U.S. federal income tax purposes) that are not allocated to excess distributions. The tax consequences of such distributions are discussed above under "— Taxation of U.S. Investors — Distributions." Each U.S. Investor is encouraged to consult its own tax advisor with respect to the appropriate U.S. federal income tax treatment of any distribution on our ordinary shares or ADSs.</w:t>
      </w:r>
    </w:p>
    <w:p>
      <w:pPr>
        <w:spacing w:after="0" w:line="217" w:lineRule="exact"/>
        <w:rPr>
          <w:sz w:val="20"/>
          <w:szCs w:val="20"/>
          <w:color w:val="auto"/>
        </w:rPr>
      </w:pPr>
    </w:p>
    <w:p>
      <w:pPr>
        <w:ind w:right="120" w:firstLine="584"/>
        <w:spacing w:after="0" w:line="261" w:lineRule="auto"/>
        <w:rPr>
          <w:sz w:val="20"/>
          <w:szCs w:val="20"/>
          <w:color w:val="auto"/>
        </w:rPr>
      </w:pPr>
      <w:r>
        <w:rPr>
          <w:rFonts w:ascii="Arial" w:cs="Arial" w:eastAsia="Arial" w:hAnsi="Arial"/>
          <w:sz w:val="16"/>
          <w:szCs w:val="16"/>
          <w:color w:val="auto"/>
        </w:rPr>
        <w:t>If we are treated as a PFIC for any taxable year during the holding period of a Non-Electing U.S. Investor, we will continue to be treated as a PFIC for all succeeding years during which the Non-Electing U.S. Investor is treated as a direct or indirect Non-Electing U.S. Investor even if we are not a PFIC for such years. A U.S. Investor is encouraged to consult its tax advisor with respect to any available elections that may be applicable in such a situation, including the "deemed sale" election of Code Section 1298(b)(1). In addition, U.S. Investors should consult their tax advisors regarding the IRS information reporting and filing obligations that may arise as a result of the ownership of shares in a PFIC, including IRS Form 8621.</w:t>
      </w:r>
    </w:p>
    <w:p>
      <w:pPr>
        <w:spacing w:after="0" w:line="217" w:lineRule="exact"/>
        <w:rPr>
          <w:sz w:val="20"/>
          <w:szCs w:val="20"/>
          <w:color w:val="auto"/>
        </w:rPr>
      </w:pPr>
    </w:p>
    <w:p>
      <w:pPr>
        <w:ind w:right="100" w:firstLine="584"/>
        <w:spacing w:after="0" w:line="282" w:lineRule="auto"/>
        <w:rPr>
          <w:sz w:val="20"/>
          <w:szCs w:val="20"/>
          <w:color w:val="auto"/>
        </w:rPr>
      </w:pPr>
      <w:r>
        <w:rPr>
          <w:rFonts w:ascii="Arial" w:cs="Arial" w:eastAsia="Arial" w:hAnsi="Arial"/>
          <w:sz w:val="15"/>
          <w:szCs w:val="15"/>
          <w:color w:val="auto"/>
        </w:rPr>
        <w:t>We may invest in the equity of foreign corporations that are PFICs or may own subsidiaries that own PFICs. U.S. Investors will be subject to the PFIC rules with respect to their indirect ownership interests in such PFICs, such that a disposition of the shares of the PFIC or receipt by us of a distribution from the PFIC generally will be treated as a deemed disposition of such shares or the deemed receipt of such distribution by the U.S. Investor, subject to taxation under the PFIC rules. There can be no assurance that a U.S. Investor will be able to make a QEF election or a mark-to-market election with respect to PFICs in which we invest. Each U.S. Investor is encouraged to consult its own tax advisor with respect to tax consequences of an investment by us in a corporation that is a PFIC.</w:t>
      </w:r>
    </w:p>
    <w:p>
      <w:pPr>
        <w:spacing w:after="0" w:line="200" w:lineRule="exact"/>
        <w:rPr>
          <w:sz w:val="20"/>
          <w:szCs w:val="20"/>
          <w:color w:val="auto"/>
        </w:rPr>
      </w:pPr>
    </w:p>
    <w:p>
      <w:pPr>
        <w:ind w:right="340" w:firstLine="584"/>
        <w:spacing w:after="0" w:line="271" w:lineRule="auto"/>
        <w:rPr>
          <w:sz w:val="20"/>
          <w:szCs w:val="20"/>
          <w:color w:val="auto"/>
        </w:rPr>
      </w:pPr>
      <w:r>
        <w:rPr>
          <w:rFonts w:ascii="Arial" w:cs="Arial" w:eastAsia="Arial" w:hAnsi="Arial"/>
          <w:sz w:val="16"/>
          <w:szCs w:val="16"/>
          <w:b w:val="1"/>
          <w:bCs w:val="1"/>
          <w:color w:val="auto"/>
        </w:rPr>
        <w:t>The U.S. federal income tax rules relating to PFICs are complex. U.S. Investors are urged to consult their own tax advisors with respect to the purchase, ownership and disposition of ordinary shares or ADSs, any elections available with respect to such ordinary shares or ADSs and the IRS information reporting obligations with respect to the purchase, ownership and disposition of ordinary shares or ADSs.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ind w:left="580"/>
        <w:spacing w:after="0"/>
        <w:rPr>
          <w:sz w:val="20"/>
          <w:szCs w:val="20"/>
          <w:color w:val="auto"/>
        </w:rPr>
      </w:pPr>
      <w:r>
        <w:rPr>
          <w:rFonts w:ascii="Arial" w:cs="Arial" w:eastAsia="Arial" w:hAnsi="Arial"/>
          <w:sz w:val="16"/>
          <w:szCs w:val="16"/>
          <w:b w:val="1"/>
          <w:bCs w:val="1"/>
          <w:color w:val="auto"/>
        </w:rPr>
        <w:t>Certain Reporting Requirements</w:t>
      </w:r>
    </w:p>
    <w:p>
      <w:pPr>
        <w:spacing w:after="0" w:line="258" w:lineRule="exact"/>
        <w:rPr>
          <w:sz w:val="20"/>
          <w:szCs w:val="20"/>
          <w:color w:val="auto"/>
        </w:rPr>
      </w:pPr>
    </w:p>
    <w:p>
      <w:pPr>
        <w:ind w:right="60" w:firstLine="584"/>
        <w:spacing w:after="0" w:line="277" w:lineRule="auto"/>
        <w:rPr>
          <w:sz w:val="20"/>
          <w:szCs w:val="20"/>
          <w:color w:val="auto"/>
        </w:rPr>
      </w:pPr>
      <w:r>
        <w:rPr>
          <w:rFonts w:ascii="Arial" w:cs="Arial" w:eastAsia="Arial" w:hAnsi="Arial"/>
          <w:sz w:val="15"/>
          <w:szCs w:val="15"/>
          <w:color w:val="auto"/>
        </w:rPr>
        <w:t>Certain U.S. Investors owning "specified foreign financial assets" with an aggregate value in excess of $50,000 on the last day of the taxable year or $75,000 at any time during the taxable year (or such higher dollar amount as may be prescribed by applicable IRS guidance) may be required to file IRS Form 8938, Statement of Specified Foreign Financial Assets, with respect to such assets with their tax returns. "Specified foreign financial assets" generally include any financial accounts maintained by foreign financial institutions, as well as any of the following, but only if they are not held in accounts maintained by financial institutions: (i) stocks and securities issued by non-U.S. persons, which may include the ordinary shares or ADSs, (ii) financial instruments and contracts held for investment that have non-U.S. issuers or counterparties and (iii) interests in foreign entities. The IRS has issued guidance exempting "specified foreign financial assets" held in a financial account from reporting under this provision (although the financial account itself, if maintained by a foreign financial institution, may remain subject to this reporting requirement). U.S. Investors are urged to consult their tax advisors regarding the application of these requirements to their ownership of the ordinary shares or ADSs.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If we are a PFIC, U.S. Investors may be required to file annual tax returns (including on IRS Form 8621) containing such information as the U.S. Treasury requires.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U.S. Investor that is not otherwise required to file a U.S. tax return must still file IRS Form 8621 in accordance with the instructions for the Form.</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Backup Withholding Tax and Information Reporting Requirements</w:t>
      </w:r>
    </w:p>
    <w:p>
      <w:pPr>
        <w:spacing w:after="0" w:line="258"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Generally, information reporting requirements will apply to distributions on our ordinary shares or ADSs or proceeds on the disposition of our ordinary shares or ADSs paid within the United States (and, in certain cases, outside the United States) to U.S. Investors other than certain exempt recipients, such as corporations. Furthermore, backup withholding may apply to such amounts if the U.S. Investor fails to (i) provide a correct taxpayer identification number, (ii) report interest and dividends required to be shown on its U.S. federal income tax return, or (iii) make other appropriate certifications in the required manner. U.S. Investors who are required to establish their exempt status generally must provide such certification on IRS Form W-9.</w:t>
      </w:r>
    </w:p>
    <w:p>
      <w:pPr>
        <w:spacing w:after="0" w:line="217" w:lineRule="exact"/>
        <w:rPr>
          <w:sz w:val="20"/>
          <w:szCs w:val="20"/>
          <w:color w:val="auto"/>
        </w:rPr>
      </w:pPr>
    </w:p>
    <w:p>
      <w:pPr>
        <w:ind w:right="60" w:firstLine="584"/>
        <w:spacing w:after="0" w:line="268" w:lineRule="auto"/>
        <w:rPr>
          <w:sz w:val="20"/>
          <w:szCs w:val="20"/>
          <w:color w:val="auto"/>
        </w:rPr>
      </w:pPr>
      <w:r>
        <w:rPr>
          <w:rFonts w:ascii="Arial" w:cs="Arial" w:eastAsia="Arial" w:hAnsi="Arial"/>
          <w:sz w:val="16"/>
          <w:szCs w:val="16"/>
          <w:color w:val="auto"/>
        </w:rPr>
        <w:t>Backup withholding is not an additional tax. Amounts withheld as backup withholding from a payment may be credited against a U.S. Investor's U.S. federal income tax liability and such U.S. Investor may obtain a refund of any excess amounts withheld by timely filing the appropriate claim for refund with the IRS and furnishing any required information in a timely manner.</w:t>
      </w:r>
    </w:p>
    <w:p>
      <w:pPr>
        <w:spacing w:after="0" w:line="208" w:lineRule="exact"/>
        <w:rPr>
          <w:sz w:val="20"/>
          <w:szCs w:val="20"/>
          <w:color w:val="auto"/>
        </w:rPr>
      </w:pPr>
    </w:p>
    <w:p>
      <w:pPr>
        <w:ind w:right="240" w:firstLine="584"/>
        <w:spacing w:after="0" w:line="288" w:lineRule="auto"/>
        <w:rPr>
          <w:sz w:val="20"/>
          <w:szCs w:val="20"/>
          <w:color w:val="auto"/>
        </w:rPr>
      </w:pPr>
      <w:r>
        <w:rPr>
          <w:rFonts w:ascii="Arial" w:cs="Arial" w:eastAsia="Arial" w:hAnsi="Arial"/>
          <w:sz w:val="16"/>
          <w:szCs w:val="16"/>
          <w:b w:val="1"/>
          <w:bCs w:val="1"/>
          <w:color w:val="auto"/>
        </w:rPr>
        <w:t>U.S. Investors should consult their own tax advisors concerning the tax consequences relating to the purchase, ownership and disposition of the ordinary shares or ADSs.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 Dividends and Paying Agents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 Statement by Experts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 Documents on Display</w:t>
      </w:r>
    </w:p>
    <w:p>
      <w:pPr>
        <w:spacing w:after="0" w:line="258" w:lineRule="exact"/>
        <w:rPr>
          <w:sz w:val="20"/>
          <w:szCs w:val="20"/>
          <w:color w:val="auto"/>
        </w:rPr>
      </w:pPr>
    </w:p>
    <w:p>
      <w:pPr>
        <w:ind w:right="260" w:firstLine="584"/>
        <w:spacing w:after="0" w:line="282" w:lineRule="auto"/>
        <w:rPr>
          <w:sz w:val="20"/>
          <w:szCs w:val="20"/>
          <w:color w:val="auto"/>
        </w:rPr>
      </w:pPr>
      <w:r>
        <w:rPr>
          <w:rFonts w:ascii="Arial" w:cs="Arial" w:eastAsia="Arial" w:hAnsi="Arial"/>
          <w:sz w:val="15"/>
          <w:szCs w:val="15"/>
          <w:color w:val="auto"/>
        </w:rPr>
        <w:t xml:space="preserve">We are currently subject to the information and periodic reporting requirements of the Exchange Act, and file periodic reports and other information with the SEC through its electronic data gathering, analysis and retrieval (EDGAR) system. Our securities filings, including this Annual Report and the exhibits thereto, are available for inspection and copying at the public reference facilities of the SEC located at 100 F Street, N.E., Washington, D.C. 20549. You may also obtain copies of the documents at prescribed rates by writing to the Public Reference Section of the SEC at 100 F Street, N.E., Washington, DC 20549. Please call the SEC at 1-800-SEC-0330 for further information on the public reference room. The SEC also maintains a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xml:space="preserve"> from which certain filings may be accessed.</w:t>
      </w:r>
    </w:p>
    <w:p>
      <w:pPr>
        <w:spacing w:after="0" w:line="204"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United States companies whose securities are registered under the Exchange Act.</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118" w:name="page119"/>
    <w:bookmarkEnd w:id="118"/>
    <w:p>
      <w:pPr>
        <w:jc w:val="both"/>
        <w:ind w:right="100" w:firstLine="584"/>
        <w:spacing w:after="0" w:line="263" w:lineRule="auto"/>
        <w:rPr>
          <w:sz w:val="20"/>
          <w:szCs w:val="20"/>
          <w:color w:val="auto"/>
        </w:rPr>
      </w:pPr>
      <w:r>
        <w:rPr>
          <w:rFonts w:ascii="Arial" w:cs="Arial" w:eastAsia="Arial" w:hAnsi="Arial"/>
          <w:sz w:val="16"/>
          <w:szCs w:val="16"/>
          <w:color w:val="auto"/>
        </w:rPr>
        <w:t>In addition, since our ordinary shares are traded on the TASE, we also file periodic and immediate reports with, and furnish information to, the TASE and the ISA, or the ISA, as required under Chapter Six of the Israel Securities Law, 1968 and the regulations enacted pursuant thereof, as applicable to a public company which also trades on the Nasdaq. Copies of our filings with the ISA can be retrieved electronically through the MAGNA distribution site of the ISA (</w:t>
      </w:r>
      <w:r>
        <w:rPr>
          <w:rFonts w:ascii="Arial" w:cs="Arial" w:eastAsia="Arial" w:hAnsi="Arial"/>
          <w:sz w:val="16"/>
          <w:szCs w:val="16"/>
          <w:i w:val="1"/>
          <w:iCs w:val="1"/>
          <w:color w:val="auto"/>
        </w:rPr>
        <w:t>www.magna.isa.gov.il</w:t>
      </w:r>
      <w:r>
        <w:rPr>
          <w:rFonts w:ascii="Arial" w:cs="Arial" w:eastAsia="Arial" w:hAnsi="Arial"/>
          <w:sz w:val="16"/>
          <w:szCs w:val="16"/>
          <w:color w:val="auto"/>
        </w:rPr>
        <w:t>) and the TASE website (</w:t>
      </w:r>
      <w:r>
        <w:rPr>
          <w:rFonts w:ascii="Arial" w:cs="Arial" w:eastAsia="Arial" w:hAnsi="Arial"/>
          <w:sz w:val="16"/>
          <w:szCs w:val="16"/>
          <w:i w:val="1"/>
          <w:iCs w:val="1"/>
          <w:color w:val="auto"/>
        </w:rPr>
        <w:t>www.maya.tase.co.il</w:t>
      </w:r>
      <w:r>
        <w:rPr>
          <w:rFonts w:ascii="Arial" w:cs="Arial" w:eastAsia="Arial" w:hAnsi="Arial"/>
          <w:sz w:val="16"/>
          <w:szCs w:val="16"/>
          <w:color w:val="auto"/>
        </w:rPr>
        <w:t>).</w:t>
      </w:r>
    </w:p>
    <w:p>
      <w:pPr>
        <w:spacing w:after="0" w:line="168" w:lineRule="exact"/>
        <w:rPr>
          <w:sz w:val="20"/>
          <w:szCs w:val="20"/>
          <w:color w:val="auto"/>
        </w:rPr>
      </w:pPr>
    </w:p>
    <w:p>
      <w:pPr>
        <w:ind w:right="480" w:firstLine="584"/>
        <w:spacing w:after="0" w:line="318" w:lineRule="auto"/>
        <w:rPr>
          <w:sz w:val="20"/>
          <w:szCs w:val="20"/>
          <w:color w:val="auto"/>
        </w:rPr>
      </w:pPr>
      <w:r>
        <w:rPr>
          <w:rFonts w:ascii="Arial" w:cs="Arial" w:eastAsia="Arial" w:hAnsi="Arial"/>
          <w:sz w:val="15"/>
          <w:szCs w:val="15"/>
          <w:color w:val="auto"/>
        </w:rPr>
        <w:t xml:space="preserve">We maintain a corporate website at </w:t>
      </w:r>
      <w:r>
        <w:rPr>
          <w:rFonts w:ascii="Arial" w:cs="Arial" w:eastAsia="Arial" w:hAnsi="Arial"/>
          <w:sz w:val="15"/>
          <w:szCs w:val="15"/>
          <w:i w:val="1"/>
          <w:iCs w:val="1"/>
          <w:color w:val="auto"/>
        </w:rPr>
        <w:t>www.biolinerx.com.</w:t>
      </w:r>
      <w:r>
        <w:rPr>
          <w:rFonts w:ascii="Arial" w:cs="Arial" w:eastAsia="Arial" w:hAnsi="Arial"/>
          <w:sz w:val="15"/>
          <w:szCs w:val="15"/>
          <w:color w:val="auto"/>
        </w:rPr>
        <w:t xml:space="preserve"> Information contained on, or that can be accessed through, our website does not constitute a part of this Annual Report on Form 20-F. We have included our website address in this Annual Report on Form 20-F solely as an inactive textual reference.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 Subsidiary Information</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QUANTITATIVE AND QUALITATIVE DISCLOSURE ON MARKET RISK</w:t>
      </w:r>
    </w:p>
    <w:p>
      <w:pPr>
        <w:spacing w:after="0" w:line="258" w:lineRule="exact"/>
        <w:rPr>
          <w:sz w:val="20"/>
          <w:szCs w:val="20"/>
          <w:color w:val="auto"/>
        </w:rPr>
      </w:pPr>
    </w:p>
    <w:p>
      <w:pPr>
        <w:jc w:val="both"/>
        <w:ind w:right="420" w:firstLine="584"/>
        <w:spacing w:after="0" w:line="263" w:lineRule="auto"/>
        <w:rPr>
          <w:sz w:val="20"/>
          <w:szCs w:val="20"/>
          <w:color w:val="auto"/>
        </w:rPr>
      </w:pPr>
      <w:r>
        <w:rPr>
          <w:rFonts w:ascii="Arial" w:cs="Arial" w:eastAsia="Arial" w:hAnsi="Arial"/>
          <w:sz w:val="16"/>
          <w:szCs w:val="16"/>
          <w:color w:val="auto"/>
        </w:rPr>
        <w:t>Market risk is the risk of loss related to changes in market prices, including interest rates and foreign exchange rates, of financial instruments that may adversely impact our consolidated financial position, results of operations or cash flows. We do not use derivative financial instruments for trading purposes. Accordingly, we have concluded that there is no material market risk exposure of the type contemplated by Item 11, and that no quantitative tabular disclosures are required. We are exposed to certain other types of market risks, as described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of Interest Rate Fluctuation</w:t>
      </w:r>
    </w:p>
    <w:p>
      <w:pPr>
        <w:spacing w:after="0" w:line="258" w:lineRule="exact"/>
        <w:rPr>
          <w:sz w:val="20"/>
          <w:szCs w:val="20"/>
          <w:color w:val="auto"/>
        </w:rPr>
      </w:pPr>
    </w:p>
    <w:p>
      <w:pPr>
        <w:ind w:firstLine="584"/>
        <w:spacing w:after="0" w:line="260" w:lineRule="auto"/>
        <w:rPr>
          <w:sz w:val="20"/>
          <w:szCs w:val="20"/>
          <w:color w:val="auto"/>
        </w:rPr>
      </w:pPr>
      <w:r>
        <w:rPr>
          <w:rFonts w:ascii="Arial" w:cs="Arial" w:eastAsia="Arial" w:hAnsi="Arial"/>
          <w:sz w:val="16"/>
          <w:szCs w:val="16"/>
          <w:color w:val="auto"/>
        </w:rPr>
        <w:t>Our investments consist primarily of cash, cash equivalents and short-term bank deposits. We may also invest in investment-grade marketable securities with maturities of up to three years, including commercial paper, money market funds, and government/non-government debt securities. The primary objective of our investment activities is to preserve principal while maximizing the income that we receive from our investments without significantly increasing risk and loss. Our investments are exposed to market risk due to fluctuation in interest rates, which may affect our interest income and the fair market value of our investments. We manage this exposure by performing ongoing evaluations of our investments. Due to the short-term maturities of our investments to date, their carrying value has always approximated their fair value. It will be our policy to hold investments to maturity in order to limit our exposure to interest rate fluctuations.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58" w:lineRule="exact"/>
        <w:rPr>
          <w:sz w:val="20"/>
          <w:szCs w:val="20"/>
          <w:color w:val="auto"/>
        </w:rPr>
      </w:pPr>
    </w:p>
    <w:p>
      <w:pPr>
        <w:ind w:right="140" w:firstLine="584"/>
        <w:spacing w:after="0" w:line="260" w:lineRule="auto"/>
        <w:rPr>
          <w:sz w:val="20"/>
          <w:szCs w:val="20"/>
          <w:color w:val="auto"/>
        </w:rPr>
      </w:pPr>
      <w:r>
        <w:rPr>
          <w:rFonts w:ascii="Arial" w:cs="Arial" w:eastAsia="Arial" w:hAnsi="Arial"/>
          <w:sz w:val="16"/>
          <w:szCs w:val="16"/>
          <w:color w:val="auto"/>
        </w:rPr>
        <w:t>Effective January 1, 2015, our reporting and functional currency is the dollar. However, we pay a significant portion of our expenses in NIS, and we expect this to continue. If the dollar weakens against the NIS in the future, there may be a negative impact on our results of operations. The revenues from our current out-licensing and co-development arrangements are payable in dollars and euros. Although we expect our revenues from future licensing arrangements to be denominated primarily in dollars, we are exposed to the currency fluctuation risks relating to the recording of our revenues in currencies other than dollars. For example, if the euro strengthens against the dollar, our reported revenues in dollars may be lower than anticipated. To date, fluctuations in the exchange rates have not materially affected our results of operations or financial condition for the periods under review.</w:t>
      </w:r>
    </w:p>
    <w:p>
      <w:pPr>
        <w:spacing w:after="0" w:line="217"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From time to time, we have engaged in currency hedging transactions to decrease the risk of financial exposure from fluctuations in the exchange rates of our principal operating currencies, and we may continue to do so in the future. These measures, however, may not adequately protect us from the material adverse effects of such fluctuations.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Debt Securities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Warrants and Rights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auto"/>
        </w:rPr>
        <w:t>C. Other Securities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American Depositary Shares</w:t>
      </w:r>
    </w:p>
    <w:p>
      <w:pPr>
        <w:spacing w:after="0" w:line="258" w:lineRule="exact"/>
        <w:rPr>
          <w:sz w:val="20"/>
          <w:szCs w:val="20"/>
          <w:color w:val="auto"/>
        </w:rPr>
      </w:pPr>
    </w:p>
    <w:p>
      <w:pPr>
        <w:ind w:right="220" w:firstLine="584"/>
        <w:spacing w:after="0" w:line="283" w:lineRule="auto"/>
        <w:rPr>
          <w:sz w:val="20"/>
          <w:szCs w:val="20"/>
          <w:color w:val="auto"/>
        </w:rPr>
      </w:pPr>
      <w:r>
        <w:rPr>
          <w:rFonts w:ascii="Arial" w:cs="Arial" w:eastAsia="Arial" w:hAnsi="Arial"/>
          <w:sz w:val="16"/>
          <w:szCs w:val="16"/>
          <w:color w:val="auto"/>
        </w:rPr>
        <w:t>Set forth below is a summary of the material terms of the deposit agreement, as amended, among our company, The Bank of New York Mellon as depositary, or the Depositary, and the owners and holders from time to time of our ADSs.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ADSs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of our ADSs represents one of our ordinary shares. Our ADSs trade on the Nasdaq.</w:t>
      </w:r>
    </w:p>
    <w:p>
      <w:pPr>
        <w:spacing w:after="0" w:line="206" w:lineRule="exact"/>
        <w:rPr>
          <w:sz w:val="20"/>
          <w:szCs w:val="20"/>
          <w:color w:val="auto"/>
        </w:rPr>
      </w:pPr>
    </w:p>
    <w:p>
      <w:pPr>
        <w:ind w:firstLine="584"/>
        <w:spacing w:after="0" w:line="324" w:lineRule="auto"/>
        <w:rPr>
          <w:sz w:val="20"/>
          <w:szCs w:val="20"/>
          <w:color w:val="auto"/>
        </w:rPr>
      </w:pPr>
      <w:r>
        <w:rPr>
          <w:rFonts w:ascii="Arial" w:cs="Arial" w:eastAsia="Arial" w:hAnsi="Arial"/>
          <w:sz w:val="14"/>
          <w:szCs w:val="14"/>
          <w:color w:val="auto"/>
        </w:rPr>
        <w:t>The form of the deposit agreement for the ADS and the form of American Depositary Receipt (ADR) that represents an ADS have been incorporated by reference as exhibits to this Annual Report on Form 20-F. Copies of the deposit agreement are available for inspection at the principal office of The Bank of New York Mellon, located at 101 Barclay Street, New York, New York 10286, and at the principal office of our custodians, United Mizrahi-Tefahot Bank Ltd., 7 Jabotinsky Street, Ramat Gan 52520, Israel.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Other Distributions and Rights</w:t>
      </w:r>
    </w:p>
    <w:p>
      <w:pPr>
        <w:spacing w:after="0" w:line="258" w:lineRule="exact"/>
        <w:rPr>
          <w:sz w:val="20"/>
          <w:szCs w:val="20"/>
          <w:color w:val="auto"/>
        </w:rPr>
      </w:pPr>
    </w:p>
    <w:p>
      <w:pPr>
        <w:ind w:right="160" w:firstLine="584"/>
        <w:spacing w:after="0" w:line="286" w:lineRule="auto"/>
        <w:rPr>
          <w:sz w:val="20"/>
          <w:szCs w:val="20"/>
          <w:color w:val="auto"/>
        </w:rPr>
      </w:pPr>
      <w:r>
        <w:rPr>
          <w:rFonts w:ascii="Arial" w:cs="Arial" w:eastAsia="Arial" w:hAnsi="Arial"/>
          <w:sz w:val="15"/>
          <w:szCs w:val="15"/>
          <w:color w:val="auto"/>
        </w:rPr>
        <w:t>Amounts distributed to ADS holders will be reduced by any taxes or other governmental charges required to be withheld by the custodian or the Depositary. If the Depositary determines that any distribution in cash or property is subject to any tax or governmental charges that the Depositary or the custodian is obligated to withhold, the Depositary may use the cash or sell or otherwise dispose of all or a portion of that property to pay the taxes or governmental charges. The Depositary will then distribute the balance of the cash and/or property to the ADS holders entitled to the distribution, in proportion to their holdings.</w:t>
      </w:r>
    </w:p>
    <w:p>
      <w:pPr>
        <w:spacing w:after="0" w:line="201" w:lineRule="exact"/>
        <w:rPr>
          <w:sz w:val="20"/>
          <w:szCs w:val="20"/>
          <w:color w:val="auto"/>
        </w:rPr>
      </w:pPr>
    </w:p>
    <w:p>
      <w:pPr>
        <w:ind w:right="20" w:firstLine="584"/>
        <w:spacing w:after="0" w:line="286" w:lineRule="auto"/>
        <w:rPr>
          <w:sz w:val="20"/>
          <w:szCs w:val="20"/>
          <w:color w:val="auto"/>
        </w:rPr>
      </w:pPr>
      <w:r>
        <w:rPr>
          <w:rFonts w:ascii="Arial" w:cs="Arial" w:eastAsia="Arial" w:hAnsi="Arial"/>
          <w:sz w:val="15"/>
          <w:szCs w:val="15"/>
          <w:i w:val="1"/>
          <w:iCs w:val="1"/>
          <w:color w:val="auto"/>
        </w:rPr>
        <w:t xml:space="preserve">Cash dividends and cash distributions. </w:t>
      </w:r>
      <w:r>
        <w:rPr>
          <w:rFonts w:ascii="Arial" w:cs="Arial" w:eastAsia="Arial" w:hAnsi="Arial"/>
          <w:sz w:val="15"/>
          <w:szCs w:val="15"/>
          <w:color w:val="auto"/>
        </w:rPr>
        <w:t>The Depositary will convert into dollars all cash dividends and other cash distributions that it or the custodian receives in a</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currency. The Depositary will distribute to the ADS holders the amount it receives, after deducting any currency conversion expenses. If the Depositary determines that any foreign currency it receives cannot be converted and transferred on a reasonable basis, it may distribute the foreign currency (or an appropriate document evidencing the right to receive the currency), or hold that foreign currency uninvested, without liability for interest, for the accounts of the ADS holders entitled to receive it.</w:t>
      </w:r>
    </w:p>
    <w:p>
      <w:pPr>
        <w:spacing w:after="0" w:line="201"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i w:val="1"/>
          <w:iCs w:val="1"/>
          <w:color w:val="auto"/>
        </w:rPr>
        <w:t xml:space="preserve">Distributions of ordinary shares. </w:t>
      </w:r>
      <w:r>
        <w:rPr>
          <w:rFonts w:ascii="Arial" w:cs="Arial" w:eastAsia="Arial" w:hAnsi="Arial"/>
          <w:sz w:val="16"/>
          <w:szCs w:val="16"/>
          <w:color w:val="auto"/>
        </w:rPr>
        <w:t>If we distribute ordinary shares as a dividend or free distribution, the Depositary may, with our approval, and will, at our request,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 to ADS holders new ADSs representing the ordinary shares. The Depositary will distribute only whole ADSs. It will sell the ordinary shares that would have required it to use fractional ADSs and then distribute the proceeds in the same way it distributes cash. If the Depositary deposits the ordinary shares but does not distribute additional ADSs, the existing ADSs will also represent the new ordinary shares.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holders of ordinary shares have the option of receiving a dividend in cash or in shares, we may also grant that option to ADS holders.</w:t>
      </w:r>
    </w:p>
    <w:p>
      <w:pPr>
        <w:spacing w:after="0" w:line="254" w:lineRule="exact"/>
        <w:rPr>
          <w:sz w:val="20"/>
          <w:szCs w:val="20"/>
          <w:color w:val="auto"/>
        </w:rPr>
      </w:pPr>
    </w:p>
    <w:p>
      <w:pPr>
        <w:ind w:right="40" w:firstLine="584"/>
        <w:spacing w:after="0" w:line="261" w:lineRule="auto"/>
        <w:rPr>
          <w:sz w:val="20"/>
          <w:szCs w:val="20"/>
          <w:color w:val="auto"/>
        </w:rPr>
      </w:pP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If the Depositary or the custodian receives a distribution of anything other than cash or shares, the Depositary will distribute the property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to the ADS holder, in proportion to such holder's holdings upon payment of its fees. If the Depositary determines that it cannot distribute the property or securities in this manner or that it is not feasible to do so, then, after consultation with us, it may distribute the property or securities by any means it thinks are equitable and practical, or it may sell the property or securities and distribute the net proceeds of the sale to the ADS holders. The Depositary may sell a portion of any distributed property that is sufficient to pay its fees.</w:t>
      </w:r>
    </w:p>
    <w:p>
      <w:pPr>
        <w:spacing w:after="0" w:line="217" w:lineRule="exact"/>
        <w:rPr>
          <w:sz w:val="20"/>
          <w:szCs w:val="20"/>
          <w:color w:val="auto"/>
        </w:rPr>
      </w:pPr>
    </w:p>
    <w:p>
      <w:pPr>
        <w:ind w:right="120" w:firstLine="584"/>
        <w:spacing w:after="0" w:line="283" w:lineRule="auto"/>
        <w:rPr>
          <w:sz w:val="20"/>
          <w:szCs w:val="20"/>
          <w:color w:val="auto"/>
        </w:rPr>
      </w:pPr>
      <w:r>
        <w:rPr>
          <w:rFonts w:ascii="Arial" w:cs="Arial" w:eastAsia="Arial" w:hAnsi="Arial"/>
          <w:sz w:val="16"/>
          <w:szCs w:val="16"/>
          <w:i w:val="1"/>
          <w:iCs w:val="1"/>
          <w:color w:val="auto"/>
        </w:rPr>
        <w:t xml:space="preserve">Rights to subscribe for additional ordinary shares and other rights. </w:t>
      </w:r>
      <w:r>
        <w:rPr>
          <w:rFonts w:ascii="Arial" w:cs="Arial" w:eastAsia="Arial" w:hAnsi="Arial"/>
          <w:sz w:val="16"/>
          <w:szCs w:val="16"/>
          <w:color w:val="auto"/>
        </w:rPr>
        <w:t>If we offer our holders of ordinary shares any rights to subscribe for additional ordinary shares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rights, the Depositary will, if requested by us:</w:t>
      </w:r>
    </w:p>
    <w:p>
      <w:pPr>
        <w:spacing w:after="0" w:line="199" w:lineRule="exact"/>
        <w:rPr>
          <w:sz w:val="20"/>
          <w:szCs w:val="20"/>
          <w:color w:val="auto"/>
        </w:rPr>
      </w:pPr>
    </w:p>
    <w:p>
      <w:pPr>
        <w:ind w:left="5600" w:right="1760" w:hanging="5018"/>
        <w:spacing w:after="0" w:line="807" w:lineRule="auto"/>
        <w:tabs>
          <w:tab w:leader="none" w:pos="1171"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make the rights available to all or certain holders of ADSs, by means of warrants or otherwise, if lawful and practically feasible; or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725995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0" w:name="page121"/>
    <w:bookmarkEnd w:id="120"/>
    <w:p>
      <w:pPr>
        <w:ind w:left="1160" w:hanging="578"/>
        <w:spacing w:after="0"/>
        <w:tabs>
          <w:tab w:leader="none" w:pos="11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it is not lawful or practically feasible to make the rights available, attempt to sell those rights or warrants or other instruments.</w:t>
      </w:r>
    </w:p>
    <w:p>
      <w:pPr>
        <w:spacing w:after="0" w:line="254" w:lineRule="exact"/>
        <w:rPr>
          <w:sz w:val="20"/>
          <w:szCs w:val="20"/>
          <w:color w:val="auto"/>
        </w:rPr>
      </w:pPr>
    </w:p>
    <w:p>
      <w:pPr>
        <w:ind w:right="480" w:firstLine="584"/>
        <w:spacing w:after="0" w:line="283" w:lineRule="auto"/>
        <w:rPr>
          <w:sz w:val="20"/>
          <w:szCs w:val="20"/>
          <w:color w:val="auto"/>
        </w:rPr>
      </w:pPr>
      <w:r>
        <w:rPr>
          <w:rFonts w:ascii="Arial" w:cs="Arial" w:eastAsia="Arial" w:hAnsi="Arial"/>
          <w:sz w:val="16"/>
          <w:szCs w:val="16"/>
          <w:color w:val="auto"/>
        </w:rPr>
        <w:t>In that case, the Depositary will allocate the net proceeds of the sales to the account of the ADS holders entitled to the rights. The allocation will be made on an averaged or other practicable basis without regard to any distinctions among holders.</w:t>
      </w:r>
    </w:p>
    <w:p>
      <w:pPr>
        <w:spacing w:after="0" w:line="199" w:lineRule="exact"/>
        <w:rPr>
          <w:sz w:val="20"/>
          <w:szCs w:val="20"/>
          <w:color w:val="auto"/>
        </w:rPr>
      </w:pPr>
    </w:p>
    <w:p>
      <w:pPr>
        <w:ind w:right="40" w:firstLine="584"/>
        <w:spacing w:after="0" w:line="313" w:lineRule="auto"/>
        <w:rPr>
          <w:sz w:val="20"/>
          <w:szCs w:val="20"/>
          <w:color w:val="auto"/>
        </w:rPr>
      </w:pPr>
      <w:r>
        <w:rPr>
          <w:rFonts w:ascii="Arial" w:cs="Arial" w:eastAsia="Arial" w:hAnsi="Arial"/>
          <w:sz w:val="14"/>
          <w:szCs w:val="14"/>
          <w:color w:val="auto"/>
        </w:rPr>
        <w:t>If registration under the Securities Act of 1933, as amended, is required in order to offer or sell to the ADS holders the securities represented by any rights, the Depositary will not make the rights available to ADS holders unless a registration statement is in effect or such securities are exempt from registration. We do not, however, have any obligation to file a registration statement or to have a registration statement declared effective. If the Depositary cannot make any rights available to ADS holders and cannot dispose of the rights and make the net proceeds available to ADS holders, then it will allow the rights to lapse, and the ADS holders will not receive any value for them.</w:t>
      </w:r>
    </w:p>
    <w:p>
      <w:pPr>
        <w:spacing w:after="0" w:line="183" w:lineRule="exact"/>
        <w:rPr>
          <w:sz w:val="20"/>
          <w:szCs w:val="20"/>
          <w:color w:val="auto"/>
        </w:rPr>
      </w:pPr>
    </w:p>
    <w:p>
      <w:pPr>
        <w:ind w:firstLine="584"/>
        <w:spacing w:after="0" w:line="276" w:lineRule="auto"/>
        <w:rPr>
          <w:sz w:val="20"/>
          <w:szCs w:val="20"/>
          <w:color w:val="auto"/>
        </w:rPr>
      </w:pPr>
      <w:r>
        <w:rPr>
          <w:rFonts w:ascii="Arial" w:cs="Arial" w:eastAsia="Arial" w:hAnsi="Arial"/>
          <w:sz w:val="15"/>
          <w:szCs w:val="15"/>
          <w:i w:val="1"/>
          <w:iCs w:val="1"/>
          <w:color w:val="auto"/>
        </w:rPr>
        <w:t xml:space="preserve">Voting of the underlying shares. </w:t>
      </w:r>
      <w:r>
        <w:rPr>
          <w:rFonts w:ascii="Arial" w:cs="Arial" w:eastAsia="Arial" w:hAnsi="Arial"/>
          <w:sz w:val="15"/>
          <w:szCs w:val="15"/>
          <w:color w:val="auto"/>
        </w:rPr>
        <w:t>Under the deposit agreement, an ADS holder is entitled, subject to any applicable provisions of Israeli law, our Articles of Association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bylaws and the deposited securities, to exercise voting rights pertaining to the shares represented by its ADSs. If we so request, the Depositary will send to ADS holders such information as is contained in the notice of meeting that the Depositary receives from us, as well as a statement that holders of as the close of business on the specified record date will be entitled to instruct the Depositary as to the exercise of voting rights and a statement as to the manner in which the such instructions may be given. Under the terms of the Deposit Agreement, the Depositary shall endeavor (insofar as is practicable and in accordance with the applicable law and the articles of association of the Company) to vote or cause to be voted the number of shares represented by ADSs in accordance with the instructions provided by the holders of ADSs to the Depositary. If no instructions are received by the Depositary from any holder of ADSs with respect to any of the shares represented by the ADSs evidenced by such holder's receipts on or before the date established by the Depositary for such purpose, then the Depositary will deem the holder of the shares to have instructed the Depositary to give a discretionary proxy to a person designated by us with respect to the shares represented by such ADSs, and the Depositary will give such instruction. In such case, the restrictions of the Israeli Companies Law with respect to "personal interest," as described elsewhere in this annual report, would apply as well.</w:t>
      </w:r>
    </w:p>
    <w:p>
      <w:pPr>
        <w:spacing w:after="0" w:line="208" w:lineRule="exact"/>
        <w:rPr>
          <w:sz w:val="20"/>
          <w:szCs w:val="20"/>
          <w:color w:val="auto"/>
        </w:rPr>
      </w:pPr>
    </w:p>
    <w:p>
      <w:pPr>
        <w:ind w:right="80" w:firstLine="584"/>
        <w:spacing w:after="0" w:line="261" w:lineRule="auto"/>
        <w:rPr>
          <w:sz w:val="20"/>
          <w:szCs w:val="20"/>
          <w:color w:val="auto"/>
        </w:rPr>
      </w:pPr>
      <w:r>
        <w:rPr>
          <w:rFonts w:ascii="Arial" w:cs="Arial" w:eastAsia="Arial" w:hAnsi="Arial"/>
          <w:sz w:val="16"/>
          <w:szCs w:val="16"/>
          <w:i w:val="1"/>
          <w:iCs w:val="1"/>
          <w:color w:val="auto"/>
        </w:rPr>
        <w:t xml:space="preserve">Changes affecting deposited securities. </w:t>
      </w:r>
      <w:r>
        <w:rPr>
          <w:rFonts w:ascii="Arial" w:cs="Arial" w:eastAsia="Arial" w:hAnsi="Arial"/>
          <w:sz w:val="16"/>
          <w:szCs w:val="16"/>
          <w:color w:val="auto"/>
        </w:rPr>
        <w:t>If there is any change in nominal value or any split-up, consolidation, cancellation or other reclassification of deposited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or any recapitalization, reorganization, business combination or consolidation or sale of assets involving us, then any securities that the Depositary receives in respect of deposited securities will become new deposited securities. Each ADS will automatically represent its share of the new deposited securities, unless the Depositary delivers new ADSs as described in the following sentence. The Depositary may distribute new ADSs or ask ADS holders to surrender their outstanding ADRs in exchange for new ADRs describing the new deposited securities.</w:t>
      </w:r>
    </w:p>
    <w:p>
      <w:pPr>
        <w:spacing w:after="0" w:line="217" w:lineRule="exact"/>
        <w:rPr>
          <w:sz w:val="20"/>
          <w:szCs w:val="20"/>
          <w:color w:val="auto"/>
        </w:rPr>
      </w:pPr>
    </w:p>
    <w:p>
      <w:pPr>
        <w:ind w:right="20" w:firstLine="584"/>
        <w:spacing w:after="0" w:line="280" w:lineRule="auto"/>
        <w:rPr>
          <w:sz w:val="20"/>
          <w:szCs w:val="20"/>
          <w:color w:val="auto"/>
        </w:rPr>
      </w:pPr>
      <w:r>
        <w:rPr>
          <w:rFonts w:ascii="Arial" w:cs="Arial" w:eastAsia="Arial" w:hAnsi="Arial"/>
          <w:sz w:val="15"/>
          <w:szCs w:val="15"/>
          <w:i w:val="1"/>
          <w:iCs w:val="1"/>
          <w:color w:val="auto"/>
        </w:rPr>
        <w:t xml:space="preserve">Amendment of the deposit agreement. </w:t>
      </w:r>
      <w:r>
        <w:rPr>
          <w:rFonts w:ascii="Arial" w:cs="Arial" w:eastAsia="Arial" w:hAnsi="Arial"/>
          <w:sz w:val="15"/>
          <w:szCs w:val="15"/>
          <w:color w:val="auto"/>
        </w:rPr>
        <w:t>The Depositary and we may agree to amend the form of the ADSs and the deposit agreement at any time, without the consent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ADS holders. If the amendment adds or increases any fees or charges (other than taxes or other governmental charges) or prejudices an important right of ADS holders, it will not take effect as to outstanding ADSs until 30 days after the Depositary has sent the ADS holders a notice of the amendment. At the expiration of that 30-day period, each ADS holder will be considered by continuing to hold its ADSs to agree to the amendment and to be bound by the deposit agreement as so amended. The Depositary and we may not amend the deposit agreement or the form of ADRs to impair the ADS holder's right to surrender its ADSs and receive the ordinary shares and any other property represented by the ADRs, except to comply with mandatory provisions of applicable law.</w:t>
      </w:r>
    </w:p>
    <w:p>
      <w:pPr>
        <w:spacing w:after="0" w:line="205"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i w:val="1"/>
          <w:iCs w:val="1"/>
          <w:color w:val="auto"/>
        </w:rPr>
        <w:t xml:space="preserve">Termination of the deposit agreement. </w:t>
      </w:r>
      <w:r>
        <w:rPr>
          <w:rFonts w:ascii="Arial" w:cs="Arial" w:eastAsia="Arial" w:hAnsi="Arial"/>
          <w:sz w:val="16"/>
          <w:szCs w:val="16"/>
          <w:color w:val="auto"/>
        </w:rPr>
        <w:t>The Depositary will terminate the deposit agreement if we ask it to do so and will notify the ADS holders at least 30 days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termination. The Depositary may also terminate the deposit agreement if it resigns and a successor depositary has not been appointed by us and accepted its appointment within 60 days after the Depositary has given us notice of its resignation. After termination of the deposit agreement, the Depositary will no longer register transfers of ADSs, distribute dividends to the ADS holders, accept deposits of ordinary shares, give any notices, or perform any other acts under the deposit agreement whatsoever, except that the Depositary will continue to:</w:t>
      </w:r>
    </w:p>
    <w:p>
      <w:pPr>
        <w:spacing w:after="0" w:line="217" w:lineRule="exact"/>
        <w:rPr>
          <w:sz w:val="20"/>
          <w:szCs w:val="20"/>
          <w:color w:val="auto"/>
        </w:rPr>
      </w:pPr>
    </w:p>
    <w:p>
      <w:pPr>
        <w:ind w:left="5600" w:right="5420" w:hanging="5018"/>
        <w:spacing w:after="0" w:line="957" w:lineRule="auto"/>
        <w:tabs>
          <w:tab w:leader="none" w:pos="1171"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collect dividends and other distributions pertaining to deposited securities;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-273050</wp:posOffset>
            </wp:positionV>
            <wp:extent cx="725995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1" w:name="page122"/>
    <w:bookmarkEnd w:id="121"/>
    <w:p>
      <w:pPr>
        <w:ind w:left="1160" w:hanging="578"/>
        <w:spacing w:after="0"/>
        <w:tabs>
          <w:tab w:leader="none" w:pos="11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sell rights as described under the heading "Dividends, Other Distributions and Rights — Rights to subscribe for additional shares and other rights" above; and</w:t>
      </w:r>
    </w:p>
    <w:p>
      <w:pPr>
        <w:spacing w:after="0" w:line="277" w:lineRule="exact"/>
        <w:rPr>
          <w:rFonts w:ascii="Arial" w:cs="Arial" w:eastAsia="Arial" w:hAnsi="Arial"/>
          <w:sz w:val="14"/>
          <w:szCs w:val="14"/>
          <w:color w:val="auto"/>
        </w:rPr>
      </w:pPr>
    </w:p>
    <w:p>
      <w:pPr>
        <w:ind w:left="1160" w:right="180" w:hanging="578"/>
        <w:spacing w:after="0" w:line="283" w:lineRule="auto"/>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deliver deposited securities, together with any dividends or other distributions received with respect thereto and the net proceeds of the sale of any rights or other property, in exchange for surrendered ADRs.</w:t>
      </w:r>
    </w:p>
    <w:p>
      <w:pPr>
        <w:spacing w:after="0" w:line="199" w:lineRule="exact"/>
        <w:rPr>
          <w:sz w:val="20"/>
          <w:szCs w:val="20"/>
          <w:color w:val="auto"/>
        </w:rPr>
      </w:pPr>
    </w:p>
    <w:p>
      <w:pPr>
        <w:ind w:right="140" w:firstLine="584"/>
        <w:spacing w:after="0" w:line="318" w:lineRule="auto"/>
        <w:rPr>
          <w:sz w:val="20"/>
          <w:szCs w:val="20"/>
          <w:color w:val="auto"/>
        </w:rPr>
      </w:pPr>
      <w:r>
        <w:rPr>
          <w:rFonts w:ascii="Arial" w:cs="Arial" w:eastAsia="Arial" w:hAnsi="Arial"/>
          <w:sz w:val="15"/>
          <w:szCs w:val="15"/>
          <w:color w:val="auto"/>
        </w:rPr>
        <w:t>Four months after termination, the Depositary may sell the deposited securities and hold the proceeds of the sale, together with any other cash then held by it, for the pro rata benefit of ADS holders that have not surrendered their ADSs. The Depositary will not have liability for interest on the sale proceeds or any cash it holds.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Charges of Depositary</w:t>
      </w:r>
    </w:p>
    <w:p>
      <w:pPr>
        <w:spacing w:after="0" w:line="258" w:lineRule="exact"/>
        <w:rPr>
          <w:sz w:val="20"/>
          <w:szCs w:val="20"/>
          <w:color w:val="auto"/>
        </w:rPr>
      </w:pPr>
    </w:p>
    <w:p>
      <w:pPr>
        <w:ind w:right="100" w:firstLine="584"/>
        <w:spacing w:after="0" w:line="286" w:lineRule="auto"/>
        <w:rPr>
          <w:sz w:val="20"/>
          <w:szCs w:val="20"/>
          <w:color w:val="auto"/>
        </w:rPr>
      </w:pPr>
      <w:r>
        <w:rPr>
          <w:rFonts w:ascii="Arial" w:cs="Arial" w:eastAsia="Arial" w:hAnsi="Arial"/>
          <w:sz w:val="15"/>
          <w:szCs w:val="15"/>
          <w:color w:val="auto"/>
        </w:rPr>
        <w:t>We will pay the fees, reasonable expenses and out-of-pocket charges of the Depositary and those of any registrar only in accordance with agreements in writing entered into between us and the Depositary from time to time. The following charges shall be incurred by any party depositing or withdrawing ordinary shares or by any party surrendering ADRs or to whom ADRs are issued (including, without limitation, issuance pursuant to a stock dividend or stock split declared by us or an exchange of stock regarding the ADRs or deposited ordinary shares or a distribution of ADRs pursuant to the terms of the deposit agreement):</w:t>
      </w:r>
    </w:p>
    <w:p>
      <w:pPr>
        <w:spacing w:after="0" w:line="201" w:lineRule="exact"/>
        <w:rPr>
          <w:sz w:val="20"/>
          <w:szCs w:val="20"/>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taxes and other governmental charges;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applicable transfer or registration fees;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certain cable, telex and facsimile transmission charges as provided in the Deposit Agreement;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expenses incurred in the conversion of foreign currency;</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fee of $5.00 or less per 100 ADSs (or a portion thereof) for the execution and delivery of ADRs and the surrender of ADRs;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fee of $.05 or less per ADS (or portion thereof) for any cash distribution made pursuant to the Deposit Agreement;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fee for the distribution of securities pursuant to the Deposit Agreement;</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addition to any fee charged for a cash distribution, a fee of $.05 or less per ADS (or portion thereof) per annum for depositary services;</w:t>
      </w:r>
    </w:p>
    <w:p>
      <w:pPr>
        <w:spacing w:after="0" w:line="254" w:lineRule="exact"/>
        <w:rPr>
          <w:rFonts w:ascii="Arial" w:cs="Arial" w:eastAsia="Arial" w:hAnsi="Arial"/>
          <w:sz w:val="16"/>
          <w:szCs w:val="16"/>
          <w:color w:val="auto"/>
        </w:rPr>
      </w:pPr>
    </w:p>
    <w:p>
      <w:pPr>
        <w:ind w:left="1160" w:hanging="578"/>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fee for the distribution of proceeds of rights that the Depositary sells pursuant to the Deposit Agreement; and</w:t>
      </w:r>
    </w:p>
    <w:p>
      <w:pPr>
        <w:spacing w:after="0" w:line="254" w:lineRule="exact"/>
        <w:rPr>
          <w:rFonts w:ascii="Arial" w:cs="Arial" w:eastAsia="Arial" w:hAnsi="Arial"/>
          <w:sz w:val="16"/>
          <w:szCs w:val="16"/>
          <w:color w:val="auto"/>
        </w:rPr>
      </w:pPr>
    </w:p>
    <w:p>
      <w:pPr>
        <w:ind w:left="1160" w:right="420" w:hanging="578"/>
        <w:spacing w:after="0" w:line="283" w:lineRule="auto"/>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other charges payable by the Depositary, any of the Depositary's agents, or the agents of the Depositary's agents in connection with the servicing of ordinary shares or other Deposited Securities.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Depositary may own and deal in our securities and in our ADRs.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of Holders for Taxes, Duties or Other Charges</w:t>
      </w:r>
    </w:p>
    <w:p>
      <w:pPr>
        <w:spacing w:after="0" w:line="258" w:lineRule="exact"/>
        <w:rPr>
          <w:sz w:val="20"/>
          <w:szCs w:val="20"/>
          <w:color w:val="auto"/>
        </w:rPr>
      </w:pPr>
    </w:p>
    <w:p>
      <w:pPr>
        <w:ind w:right="60" w:firstLine="584"/>
        <w:spacing w:after="0" w:line="261" w:lineRule="auto"/>
        <w:rPr>
          <w:sz w:val="20"/>
          <w:szCs w:val="20"/>
          <w:color w:val="auto"/>
        </w:rPr>
      </w:pPr>
      <w:r>
        <w:rPr>
          <w:rFonts w:ascii="Arial" w:cs="Arial" w:eastAsia="Arial" w:hAnsi="Arial"/>
          <w:sz w:val="16"/>
          <w:szCs w:val="16"/>
          <w:color w:val="auto"/>
        </w:rPr>
        <w:t>Any tax or other governmental charge with respect to ADRs or any deposited ordinary shares represented by any ADR shall be payable by the holder of such ADR to the Depositary. The Depositary may refuse to effect transfer of such ADR or any withdrawal of deposited ordinary shares represented by such ADR until such payment is made, and may withhold any dividends or other distributions or may sell for the account of the holder any part or all of the deposited ordinary shares represented by such ADR and may apply such dividends or distributions or the proceeds of any such sale in payment of any such tax or other governmental charge and the holder of such ADR shall remain liable for any deficiency.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DEFAULTS, DIVIDENDS, ARREARAGES AND DELINQUENCIES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ITEM 14. MATERIAL MODIFICATIONS TO THE RIGHTS OF SECURITY HOLDERS AND USE OF PROCEEDS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CONTROLS AND PROCEDURES</w:t>
      </w:r>
    </w:p>
    <w:p>
      <w:pPr>
        <w:spacing w:after="0" w:line="254" w:lineRule="exact"/>
        <w:rPr>
          <w:sz w:val="20"/>
          <w:szCs w:val="20"/>
          <w:color w:val="auto"/>
        </w:rPr>
      </w:pPr>
    </w:p>
    <w:p>
      <w:pPr>
        <w:ind w:left="1340" w:hanging="758"/>
        <w:spacing w:after="0"/>
        <w:tabs>
          <w:tab w:leader="none" w:pos="1340"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Disclosure Controls and Procedures</w:t>
      </w:r>
    </w:p>
    <w:p>
      <w:pPr>
        <w:spacing w:after="0" w:line="258" w:lineRule="exact"/>
        <w:rPr>
          <w:sz w:val="20"/>
          <w:szCs w:val="20"/>
          <w:color w:val="auto"/>
        </w:rPr>
      </w:pPr>
    </w:p>
    <w:p>
      <w:pPr>
        <w:ind w:right="160" w:firstLine="584"/>
        <w:spacing w:after="0" w:line="282" w:lineRule="auto"/>
        <w:rPr>
          <w:sz w:val="20"/>
          <w:szCs w:val="20"/>
          <w:color w:val="auto"/>
        </w:rPr>
      </w:pPr>
      <w:r>
        <w:rPr>
          <w:rFonts w:ascii="Arial" w:cs="Arial" w:eastAsia="Arial" w:hAnsi="Arial"/>
          <w:sz w:val="15"/>
          <w:szCs w:val="15"/>
          <w:color w:val="auto"/>
        </w:rPr>
        <w:t>We have performed an evaluation of the effectiveness of our disclosure controls and procedures that are designed to ensure that the material financial and non-financial information required to be disclosed to the SEC is recorded, processed, summarized and reported timely. Based on our evaluation, our management, including the CEO and CFO, has concluded that our disclosure controls and procedures (as defined in Rules 13a-15(e) and 15d-15(e) of the Exchange Act) as of the end of the period covered by this report are effective. Notwithstanding the foregoing, there can be no assurance that our disclosure controls and procedures will detect or uncover all failures of persons within the Company to disclose material information otherwise required to be set forth in our reports.</w:t>
      </w:r>
    </w:p>
    <w:p>
      <w:pPr>
        <w:spacing w:after="0" w:line="200" w:lineRule="exact"/>
        <w:rPr>
          <w:sz w:val="20"/>
          <w:szCs w:val="20"/>
          <w:color w:val="auto"/>
        </w:rPr>
      </w:pPr>
    </w:p>
    <w:p>
      <w:pPr>
        <w:ind w:left="1360" w:hanging="778"/>
        <w:spacing w:after="0"/>
        <w:tabs>
          <w:tab w:leader="none" w:pos="1360"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Management's Annual Report on Internal Control over Financial Reporting</w:t>
      </w:r>
    </w:p>
    <w:p>
      <w:pPr>
        <w:spacing w:after="0" w:line="258" w:lineRule="exact"/>
        <w:rPr>
          <w:sz w:val="20"/>
          <w:szCs w:val="20"/>
          <w:color w:val="auto"/>
        </w:rPr>
      </w:pPr>
    </w:p>
    <w:p>
      <w:pPr>
        <w:ind w:firstLine="584"/>
        <w:spacing w:after="0" w:line="25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promulgated under the Exchange Act. Our internal control system was designed to provide reasonable assurance to our management and board of directors regarding the reliability of financial reporting and the preparation and fair presentation of published financial statements for external purposes in accordance with generally accepted accounting principles. All internal control systems, no matter how well designed, have inherent limitations. Therefore, even those systems determined to be effective can provide only reasonable assurance with respect to financial statement preparation and presentation and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7"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 xml:space="preserve">Our management, including the CEO and CFO, conducted an evaluation, pursuant to Rule 13a-15(c) promulgated under the Exchange Act, of the effectiveness, as of the end of the period covered by this Annual Report, of its internal control over financial reporting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(2013). Based on the results of this evaluation, management concluded that our internal control over financial reporting was effective as of December 31, 2016.</w:t>
      </w:r>
    </w:p>
    <w:p>
      <w:pPr>
        <w:spacing w:after="0" w:line="212" w:lineRule="exact"/>
        <w:rPr>
          <w:sz w:val="20"/>
          <w:szCs w:val="20"/>
          <w:color w:val="auto"/>
        </w:rPr>
      </w:pPr>
    </w:p>
    <w:p>
      <w:pPr>
        <w:ind w:left="1340" w:hanging="758"/>
        <w:spacing w:after="0"/>
        <w:tabs>
          <w:tab w:leader="none" w:pos="1340" w:val="left"/>
        </w:tabs>
        <w:numPr>
          <w:ilvl w:val="0"/>
          <w:numId w:val="76"/>
        </w:numPr>
        <w:rPr>
          <w:rFonts w:ascii="Arial" w:cs="Arial" w:eastAsia="Arial" w:hAnsi="Arial"/>
          <w:sz w:val="16"/>
          <w:szCs w:val="16"/>
          <w:color w:val="auto"/>
        </w:rPr>
      </w:pPr>
      <w:r>
        <w:rPr>
          <w:rFonts w:ascii="Arial" w:cs="Arial" w:eastAsia="Arial" w:hAnsi="Arial"/>
          <w:sz w:val="16"/>
          <w:szCs w:val="16"/>
          <w:b w:val="1"/>
          <w:bCs w:val="1"/>
          <w:u w:val="single" w:color="auto"/>
          <w:color w:val="auto"/>
        </w:rPr>
        <w:t>Attestation Report of Registered Public Accounting Firm</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ind w:left="1360" w:hanging="778"/>
        <w:spacing w:after="0"/>
        <w:tabs>
          <w:tab w:leader="none" w:pos="136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Changes in Internal Controls over Financial Reporting</w:t>
      </w:r>
    </w:p>
    <w:p>
      <w:pPr>
        <w:spacing w:after="0" w:line="258" w:lineRule="exact"/>
        <w:rPr>
          <w:sz w:val="20"/>
          <w:szCs w:val="20"/>
          <w:color w:val="auto"/>
        </w:rPr>
      </w:pPr>
    </w:p>
    <w:p>
      <w:pPr>
        <w:ind w:right="300" w:firstLine="584"/>
        <w:spacing w:after="0" w:line="283" w:lineRule="auto"/>
        <w:rPr>
          <w:sz w:val="20"/>
          <w:szCs w:val="20"/>
          <w:color w:val="auto"/>
        </w:rPr>
      </w:pPr>
      <w:r>
        <w:rPr>
          <w:rFonts w:ascii="Arial" w:cs="Arial" w:eastAsia="Arial" w:hAnsi="Arial"/>
          <w:sz w:val="16"/>
          <w:szCs w:val="16"/>
          <w:color w:val="auto"/>
        </w:rPr>
        <w:t>There were no changes in our internal control over financial reporting that occurred during the year ended December 31, 2016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[RESERVED]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EXPERTS</w:t>
      </w:r>
    </w:p>
    <w:p>
      <w:pPr>
        <w:spacing w:after="0" w:line="258" w:lineRule="exact"/>
        <w:rPr>
          <w:sz w:val="20"/>
          <w:szCs w:val="20"/>
          <w:color w:val="auto"/>
        </w:rPr>
      </w:pPr>
    </w:p>
    <w:p>
      <w:pPr>
        <w:ind w:right="580" w:firstLine="584"/>
        <w:spacing w:after="0" w:line="283" w:lineRule="auto"/>
        <w:rPr>
          <w:sz w:val="20"/>
          <w:szCs w:val="20"/>
          <w:color w:val="auto"/>
        </w:rPr>
      </w:pPr>
      <w:r>
        <w:rPr>
          <w:rFonts w:ascii="Arial" w:cs="Arial" w:eastAsia="Arial" w:hAnsi="Arial"/>
          <w:sz w:val="16"/>
          <w:szCs w:val="16"/>
          <w:color w:val="auto"/>
        </w:rPr>
        <w:t>Our Board of Directors has determined that Nurit Benjamini is the audit committee financial expert. Ms. Benjamini is one of our independent directors for the purposes of the Nasdaq rules.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ETHICS</w:t>
      </w:r>
    </w:p>
    <w:p>
      <w:pPr>
        <w:spacing w:after="0" w:line="258" w:lineRule="exact"/>
        <w:rPr>
          <w:sz w:val="20"/>
          <w:szCs w:val="20"/>
          <w:color w:val="auto"/>
        </w:rPr>
      </w:pPr>
    </w:p>
    <w:p>
      <w:pPr>
        <w:ind w:right="120" w:firstLine="584"/>
        <w:spacing w:after="0" w:line="263" w:lineRule="auto"/>
        <w:rPr>
          <w:sz w:val="20"/>
          <w:szCs w:val="20"/>
          <w:color w:val="auto"/>
        </w:rPr>
      </w:pPr>
      <w:r>
        <w:rPr>
          <w:rFonts w:ascii="Arial" w:cs="Arial" w:eastAsia="Arial" w:hAnsi="Arial"/>
          <w:sz w:val="16"/>
          <w:szCs w:val="16"/>
          <w:color w:val="auto"/>
        </w:rPr>
        <w:t xml:space="preserve">In July 2011, our Board of Directors adopted a Code of Business Conduct and Ethics (the "Code of Conduct") that applies to all our employees, including without limitation our chief executive officer, chief financial officer and controller. Our Code of Conduct may be viewed on our website at </w:t>
      </w:r>
      <w:r>
        <w:rPr>
          <w:rFonts w:ascii="Arial" w:cs="Arial" w:eastAsia="Arial" w:hAnsi="Arial"/>
          <w:sz w:val="16"/>
          <w:szCs w:val="16"/>
          <w:i w:val="1"/>
          <w:iCs w:val="1"/>
          <w:color w:val="auto"/>
        </w:rPr>
        <w:t>www.biolinerx.com</w:t>
      </w:r>
      <w:r>
        <w:rPr>
          <w:rFonts w:ascii="Arial" w:cs="Arial" w:eastAsia="Arial" w:hAnsi="Arial"/>
          <w:sz w:val="16"/>
          <w:szCs w:val="16"/>
          <w:color w:val="auto"/>
        </w:rPr>
        <w:t xml:space="preserve">. A copy of our Code of Conduct may be obtained, without charge, upon a written request addressed to our investor relations department, 2 HaMa'ayan Street, Modi'in 7177871, Israel (Telephone no. +972-8-642-9100) (e-mail: </w:t>
      </w:r>
      <w:r>
        <w:rPr>
          <w:rFonts w:ascii="Arial" w:cs="Arial" w:eastAsia="Arial" w:hAnsi="Arial"/>
          <w:sz w:val="16"/>
          <w:szCs w:val="16"/>
          <w:u w:val="single" w:color="auto"/>
          <w:color w:val="auto"/>
        </w:rPr>
        <w:t>info@BioLineRx.com</w:t>
      </w:r>
      <w:r>
        <w:rPr>
          <w:rFonts w:ascii="Arial" w:cs="Arial" w:eastAsia="Arial" w:hAnsi="Arial"/>
          <w:sz w:val="16"/>
          <w:szCs w:val="16"/>
          <w:color w:val="auto"/>
        </w:rPr>
        <w: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3" w:name="page124"/>
    <w:bookmarkEnd w:id="123"/>
    <w:p>
      <w:pPr>
        <w:ind w:left="3"/>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Fees Paid to Independent Registered Public Accounting Firm</w:t>
      </w:r>
    </w:p>
    <w:p>
      <w:pPr>
        <w:spacing w:after="0" w:line="258" w:lineRule="exact"/>
        <w:rPr>
          <w:sz w:val="20"/>
          <w:szCs w:val="20"/>
          <w:color w:val="auto"/>
        </w:rPr>
      </w:pPr>
    </w:p>
    <w:p>
      <w:pPr>
        <w:ind w:left="3" w:right="280" w:firstLine="584"/>
        <w:spacing w:after="0" w:line="283" w:lineRule="auto"/>
        <w:rPr>
          <w:sz w:val="20"/>
          <w:szCs w:val="20"/>
          <w:color w:val="auto"/>
        </w:rPr>
      </w:pPr>
      <w:r>
        <w:rPr>
          <w:rFonts w:ascii="Arial" w:cs="Arial" w:eastAsia="Arial" w:hAnsi="Arial"/>
          <w:sz w:val="16"/>
          <w:szCs w:val="16"/>
          <w:color w:val="auto"/>
        </w:rPr>
        <w:t>The following table sets forth, for each of the years indicated, the fees billed by Kesselman &amp; Kesselman, a member firm of PricewaterhouseCoopers International Ltd., our independent registered public accounting firm.</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16"/>
                <w:szCs w:val="16"/>
                <w:color w:val="auto"/>
              </w:rPr>
              <w:t>Year Ended 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80" w:type="dxa"/>
            <w:vAlign w:val="bottom"/>
            <w:tcBorders>
              <w:bottom w:val="single" w:sz="8" w:color="auto"/>
            </w:tcBorders>
          </w:tcPr>
          <w:p>
            <w:pPr>
              <w:ind w:left="3680"/>
              <w:spacing w:after="0"/>
              <w:rPr>
                <w:sz w:val="20"/>
                <w:szCs w:val="20"/>
                <w:color w:val="auto"/>
              </w:rPr>
            </w:pPr>
            <w:r>
              <w:rPr>
                <w:rFonts w:ascii="Arial" w:cs="Arial" w:eastAsia="Arial" w:hAnsi="Arial"/>
                <w:sz w:val="16"/>
                <w:szCs w:val="16"/>
                <w:b w:val="1"/>
                <w:bCs w:val="1"/>
                <w:color w:val="auto"/>
              </w:rPr>
              <w:t>Services Rendered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3"/>
              </w:rPr>
              <w:t xml:space="preserve">( </w:t>
            </w:r>
            <w:r>
              <w:rPr>
                <w:rFonts w:ascii="Arial" w:cs="Arial" w:eastAsia="Arial" w:hAnsi="Arial"/>
                <w:sz w:val="16"/>
                <w:szCs w:val="16"/>
                <w:i w:val="1"/>
                <w:iCs w:val="1"/>
                <w:color w:val="auto"/>
                <w:w w:val="93"/>
              </w:rPr>
              <w:t>in thousands</w:t>
            </w:r>
          </w:p>
        </w:tc>
        <w:tc>
          <w:tcPr>
            <w:tcW w:w="220" w:type="dxa"/>
            <w:vAlign w:val="bottom"/>
            <w:gridSpan w:val="2"/>
          </w:tcPr>
          <w:p>
            <w:pPr>
              <w:ind w:left="80"/>
              <w:spacing w:after="0"/>
              <w:rPr>
                <w:sz w:val="20"/>
                <w:szCs w:val="20"/>
                <w:color w:val="auto"/>
              </w:rPr>
            </w:pPr>
            <w:r>
              <w:rPr>
                <w:rFonts w:ascii="Arial" w:cs="Arial" w:eastAsia="Arial" w:hAnsi="Arial"/>
                <w:sz w:val="16"/>
                <w:szCs w:val="16"/>
                <w:i w:val="1"/>
                <w:iCs w:val="1"/>
                <w:color w:val="auto"/>
                <w:w w:val="89"/>
              </w:rPr>
              <w:t>of</w:t>
            </w:r>
          </w:p>
        </w:tc>
        <w:tc>
          <w:tcPr>
            <w:tcW w:w="1140" w:type="dxa"/>
            <w:vAlign w:val="bottom"/>
            <w:gridSpan w:val="2"/>
          </w:tcPr>
          <w:p>
            <w:pPr>
              <w:jc w:val="right"/>
              <w:ind w:right="199"/>
              <w:spacing w:after="0"/>
              <w:rPr>
                <w:sz w:val="20"/>
                <w:szCs w:val="20"/>
                <w:color w:val="auto"/>
              </w:rPr>
            </w:pPr>
            <w:r>
              <w:rPr>
                <w:rFonts w:ascii="Arial" w:cs="Arial" w:eastAsia="Arial" w:hAnsi="Arial"/>
                <w:sz w:val="16"/>
                <w:szCs w:val="16"/>
                <w:i w:val="1"/>
                <w:iCs w:val="1"/>
                <w:color w:val="auto"/>
                <w:w w:val="95"/>
              </w:rPr>
              <w:t>U.S. dollars</w:t>
            </w:r>
            <w:r>
              <w:rPr>
                <w:rFonts w:ascii="Arial" w:cs="Arial" w:eastAsia="Arial" w:hAnsi="Arial"/>
                <w:sz w:val="16"/>
                <w:szCs w:val="16"/>
                <w:color w:val="auto"/>
                <w:w w:val="95"/>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88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460" w:type="dxa"/>
            <w:vAlign w:val="bottom"/>
            <w:gridSpan w:val="2"/>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0" w:type="dxa"/>
            <w:vAlign w:val="bottom"/>
            <w:gridSpan w:val="2"/>
            <w:shd w:val="clear" w:color="auto" w:fill="CCEEFF"/>
          </w:tcPr>
          <w:p>
            <w:pPr>
              <w:spacing w:after="0" w:line="194" w:lineRule="exact"/>
              <w:rPr>
                <w:sz w:val="20"/>
                <w:szCs w:val="20"/>
                <w:color w:val="auto"/>
              </w:rPr>
            </w:pPr>
            <w:r>
              <w:rPr>
                <w:rFonts w:ascii="Arial" w:cs="Arial" w:eastAsia="Arial" w:hAnsi="Arial"/>
                <w:sz w:val="14"/>
                <w:szCs w:val="14"/>
                <w:color w:val="auto"/>
              </w:rPr>
              <w:t>Audit Fees</w:t>
            </w:r>
            <w:r>
              <w:rPr>
                <w:rFonts w:ascii="Arial" w:cs="Arial" w:eastAsia="Arial" w:hAnsi="Arial"/>
                <w:sz w:val="22"/>
                <w:szCs w:val="22"/>
                <w:color w:val="auto"/>
                <w:vertAlign w:val="superscript"/>
              </w:rPr>
              <w:t>(1)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46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gridSpan w:val="2"/>
          </w:tcPr>
          <w:p>
            <w:pPr>
              <w:spacing w:after="0" w:line="194" w:lineRule="exact"/>
              <w:rPr>
                <w:sz w:val="20"/>
                <w:szCs w:val="20"/>
                <w:color w:val="auto"/>
              </w:rPr>
            </w:pPr>
            <w:r>
              <w:rPr>
                <w:rFonts w:ascii="Arial" w:cs="Arial" w:eastAsia="Arial" w:hAnsi="Arial"/>
                <w:sz w:val="14"/>
                <w:szCs w:val="14"/>
                <w:color w:val="auto"/>
              </w:rPr>
              <w:t>Audit-Related Fees</w:t>
            </w:r>
            <w:r>
              <w:rPr>
                <w:rFonts w:ascii="Arial" w:cs="Arial" w:eastAsia="Arial" w:hAnsi="Arial"/>
                <w:sz w:val="22"/>
                <w:szCs w:val="22"/>
                <w:color w:val="auto"/>
                <w:vertAlign w:val="superscript"/>
              </w:rPr>
              <w:t>(2)</w:t>
            </w:r>
          </w:p>
        </w:tc>
        <w:tc>
          <w:tcPr>
            <w:tcW w:w="1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line="194" w:lineRule="exact"/>
              <w:rPr>
                <w:sz w:val="20"/>
                <w:szCs w:val="20"/>
                <w:color w:val="auto"/>
              </w:rPr>
            </w:pPr>
            <w:r>
              <w:rPr>
                <w:rFonts w:ascii="Arial" w:cs="Arial" w:eastAsia="Arial" w:hAnsi="Arial"/>
                <w:sz w:val="14"/>
                <w:szCs w:val="14"/>
                <w:color w:val="auto"/>
              </w:rPr>
              <w:t>Tax Fees</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663" w:right="160" w:hanging="663"/>
        <w:spacing w:after="0" w:line="261" w:lineRule="auto"/>
        <w:tabs>
          <w:tab w:leader="none" w:pos="66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Audit fees consist of services that would normally be provided in connection with statutory and regulatory filings or engagements, including services that generally only the independent accountant can reasonably provide.</w:t>
      </w:r>
    </w:p>
    <w:p>
      <w:pPr>
        <w:spacing w:after="0" w:line="1" w:lineRule="exact"/>
        <w:rPr>
          <w:rFonts w:ascii="Arial" w:cs="Arial" w:eastAsia="Arial" w:hAnsi="Arial"/>
          <w:sz w:val="16"/>
          <w:szCs w:val="16"/>
          <w:color w:val="auto"/>
        </w:rPr>
      </w:pPr>
    </w:p>
    <w:p>
      <w:pPr>
        <w:ind w:left="663" w:hanging="663"/>
        <w:spacing w:after="0"/>
        <w:tabs>
          <w:tab w:leader="none" w:pos="66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Audit related services relate to reports to the OCS and work regarding a public listing or offering.</w:t>
      </w:r>
    </w:p>
    <w:p>
      <w:pPr>
        <w:spacing w:after="0" w:line="10" w:lineRule="exact"/>
        <w:rPr>
          <w:rFonts w:ascii="Arial" w:cs="Arial" w:eastAsia="Arial" w:hAnsi="Arial"/>
          <w:sz w:val="16"/>
          <w:szCs w:val="16"/>
          <w:color w:val="auto"/>
        </w:rPr>
      </w:pPr>
    </w:p>
    <w:p>
      <w:pPr>
        <w:ind w:left="663" w:hanging="663"/>
        <w:spacing w:after="0"/>
        <w:tabs>
          <w:tab w:leader="none" w:pos="663" w:val="left"/>
        </w:tabs>
        <w:numPr>
          <w:ilvl w:val="0"/>
          <w:numId w:val="78"/>
        </w:numPr>
        <w:rPr>
          <w:rFonts w:ascii="Arial" w:cs="Arial" w:eastAsia="Arial" w:hAnsi="Arial"/>
          <w:sz w:val="16"/>
          <w:szCs w:val="16"/>
          <w:color w:val="auto"/>
        </w:rPr>
      </w:pPr>
      <w:r>
        <w:rPr>
          <w:rFonts w:ascii="Arial" w:cs="Arial" w:eastAsia="Arial" w:hAnsi="Arial"/>
          <w:sz w:val="16"/>
          <w:szCs w:val="16"/>
          <w:color w:val="auto"/>
        </w:rPr>
        <w:t>Tax fees relate to tax compliance, planning and advice.</w:t>
      </w:r>
    </w:p>
    <w:p>
      <w:pPr>
        <w:spacing w:after="0" w:line="243" w:lineRule="exact"/>
        <w:rPr>
          <w:sz w:val="20"/>
          <w:szCs w:val="20"/>
          <w:color w:val="auto"/>
        </w:rPr>
      </w:pPr>
    </w:p>
    <w:p>
      <w:pPr>
        <w:ind w:left="3" w:right="60" w:firstLine="584"/>
        <w:spacing w:after="0" w:line="283" w:lineRule="auto"/>
        <w:rPr>
          <w:sz w:val="20"/>
          <w:szCs w:val="20"/>
          <w:color w:val="auto"/>
        </w:rPr>
      </w:pPr>
      <w:r>
        <w:rPr>
          <w:rFonts w:ascii="Arial" w:cs="Arial" w:eastAsia="Arial" w:hAnsi="Arial"/>
          <w:sz w:val="16"/>
          <w:szCs w:val="16"/>
          <w:color w:val="auto"/>
        </w:rPr>
        <w:t>Our Audit Committee, in accordance with its charter, reviews and pre-approves all audit services and permitted non-audit services (including the fees and other terms) to be provided by our independent auditors.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5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5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5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ITEM 16G. CORPORATE GOVERNANCE</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Nasdaq Listing Rules and Home Country Practices</w:t>
      </w:r>
    </w:p>
    <w:p>
      <w:pPr>
        <w:spacing w:after="0" w:line="258" w:lineRule="exact"/>
        <w:rPr>
          <w:sz w:val="20"/>
          <w:szCs w:val="20"/>
          <w:color w:val="auto"/>
        </w:rPr>
      </w:pPr>
    </w:p>
    <w:p>
      <w:pPr>
        <w:ind w:left="3" w:right="80" w:firstLine="584"/>
        <w:spacing w:after="0" w:line="263"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complying with the Marketplace Rules of the Nasdaq Stock Market, we have elected to follow certain corporate governance practices permitted under the Companies Law and the rules of the TASE in lieu of compliance with certain corporate governance requirements otherwise required by the Marketplace Rules of the Nasdaq Stock Market.</w:t>
      </w:r>
    </w:p>
    <w:p>
      <w:pPr>
        <w:spacing w:after="0" w:line="37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124" w:name="page125"/>
    <w:bookmarkEnd w:id="124"/>
    <w:p>
      <w:pPr>
        <w:ind w:right="160" w:firstLine="584"/>
        <w:spacing w:after="0" w:line="283" w:lineRule="auto"/>
        <w:rPr>
          <w:sz w:val="20"/>
          <w:szCs w:val="20"/>
          <w:color w:val="auto"/>
        </w:rPr>
      </w:pPr>
      <w:r>
        <w:rPr>
          <w:rFonts w:ascii="Arial" w:cs="Arial" w:eastAsia="Arial" w:hAnsi="Arial"/>
          <w:sz w:val="16"/>
          <w:szCs w:val="16"/>
          <w:color w:val="auto"/>
        </w:rPr>
        <w:t>In accordance with Israeli law and practice and subject to the exemption set forth in Rule 5615 of the Marketplace Rules of the Nasdaq Stock Market, we follow the provisions of the Companies Law, rather than the Marketplace Rules of the Nasdaq Stock Market, with respect to the following requirements:</w:t>
      </w:r>
    </w:p>
    <w:p>
      <w:pPr>
        <w:spacing w:after="0" w:line="151" w:lineRule="exact"/>
        <w:rPr>
          <w:sz w:val="20"/>
          <w:szCs w:val="20"/>
          <w:color w:val="auto"/>
        </w:rPr>
      </w:pPr>
    </w:p>
    <w:p>
      <w:pPr>
        <w:ind w:left="1160" w:right="100" w:hanging="578"/>
        <w:spacing w:after="0" w:line="313" w:lineRule="auto"/>
        <w:tabs>
          <w:tab w:leader="none" w:pos="116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Distribution of annual and quarterly reports to shareholders</w:t>
      </w:r>
      <w:r>
        <w:rPr>
          <w:rFonts w:ascii="Arial" w:cs="Arial" w:eastAsia="Arial" w:hAnsi="Arial"/>
          <w:sz w:val="14"/>
          <w:szCs w:val="14"/>
          <w:color w:val="auto"/>
        </w:rPr>
        <w:t>. Under Israeli law, as a public company whose shares are traded on the TASE, we are not</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to distribute annual and quarterly reports directly to shareholders and the generally accepted business practice in Israel is not to distribute such reports to shareholders but to make such reports publicly available through the website of the ISA and the TASE. In addition, we make our audited financial statements available to our shareholders at our offices. As a foreign private issuer, we are generally exempt from the SEC's proxy solicitation rules.</w:t>
      </w:r>
    </w:p>
    <w:p>
      <w:pPr>
        <w:spacing w:after="0" w:line="182" w:lineRule="exact"/>
        <w:rPr>
          <w:rFonts w:ascii="Arial" w:cs="Arial" w:eastAsia="Arial" w:hAnsi="Arial"/>
          <w:sz w:val="14"/>
          <w:szCs w:val="14"/>
          <w:color w:val="auto"/>
        </w:rPr>
      </w:pPr>
    </w:p>
    <w:p>
      <w:pPr>
        <w:ind w:left="1160" w:right="20" w:hanging="578"/>
        <w:spacing w:after="0" w:line="260" w:lineRule="auto"/>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Quorum</w:t>
      </w:r>
      <w:r>
        <w:rPr>
          <w:rFonts w:ascii="Arial" w:cs="Arial" w:eastAsia="Arial" w:hAnsi="Arial"/>
          <w:sz w:val="16"/>
          <w:szCs w:val="16"/>
          <w:color w:val="auto"/>
        </w:rPr>
        <w:t>. While the Marketplace Rules of the Nasdaq Stock Market require that the quorum for purposes of any meeting of the holders of a listed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voting stock, as specified in the company's bylaws, be no less than 33 1/3% of the company's outstanding common voting stock, under Israeli law, a company is entitled to determine in its articles of association the number of shareholders and percentage of holdings required for a quorum at a shareholders meeting. Our Articles of Association provide that a quorum of two or more shareholders holding at least 25% of the voting rights in person or by proxy is required for commencement of business at a general meeting. However, the quorum set forth in our Articles of Association with respect to an adjourned meeting consists of any number of shareholders present in person or by proxy.</w:t>
      </w:r>
    </w:p>
    <w:p>
      <w:pPr>
        <w:spacing w:after="0" w:line="216" w:lineRule="exact"/>
        <w:rPr>
          <w:rFonts w:ascii="Arial" w:cs="Arial" w:eastAsia="Arial" w:hAnsi="Arial"/>
          <w:sz w:val="16"/>
          <w:szCs w:val="16"/>
          <w:color w:val="auto"/>
        </w:rPr>
      </w:pPr>
    </w:p>
    <w:p>
      <w:pPr>
        <w:ind w:left="1160" w:right="20" w:hanging="578"/>
        <w:spacing w:after="0" w:line="275" w:lineRule="auto"/>
        <w:tabs>
          <w:tab w:leader="none" w:pos="116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Independent Directors</w:t>
      </w:r>
      <w:r>
        <w:rPr>
          <w:rFonts w:ascii="Arial" w:cs="Arial" w:eastAsia="Arial" w:hAnsi="Arial"/>
          <w:sz w:val="15"/>
          <w:szCs w:val="15"/>
          <w:color w:val="auto"/>
        </w:rPr>
        <w:t>. Our Board of Directors includes two external directors in accordance with the provisions contained in Sections 239-249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Law and Rule 10A-3 of the general rules and regulations promulgated under the Securities Act of 1933, rather than a majority of external directors. Israeli law does not require, nor do our independent directors conduct, regularly scheduled meetings at which only they are present. We are required, however, to ensure that all members of our Audit Committee are "independent" under the applicable Nasdaq and SEC criteria for independence (as a foreign private issuer we are not exempt from the SEC independence requirement), and we must also ensure that a majority of the members of our Audit Committee are unaffiliated directors as defined in the Companies Law. Furthermore, Israeli law does not require, nor do our independent directors conduct, regularly scheduled meetings at which only they are present, which the Marketplace Rules of the Nasdaq Stock Market otherwise require. If we qualify as an Eligible Company and opt to follow the exemption provided under the Amendment to the Relief Regulations regarding appointment of external directors and composition of the audit and compensation committees, we will be required at all times to comply with the US rules and regulations governing the appointment of independent directors and composition of the audit and compensation committees applicable to US domestic issuers instead of complying with the Companies Law provisions relating to external directors and composition of the audit and compensation committees.</w:t>
      </w:r>
    </w:p>
    <w:p>
      <w:pPr>
        <w:spacing w:after="0" w:line="212" w:lineRule="exact"/>
        <w:rPr>
          <w:rFonts w:ascii="Arial" w:cs="Arial" w:eastAsia="Arial" w:hAnsi="Arial"/>
          <w:sz w:val="15"/>
          <w:szCs w:val="15"/>
          <w:color w:val="auto"/>
        </w:rPr>
      </w:pPr>
    </w:p>
    <w:p>
      <w:pPr>
        <w:ind w:left="1160" w:right="60" w:hanging="578"/>
        <w:spacing w:after="0" w:line="259" w:lineRule="auto"/>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Our Audit Committee complies with all of the requirements under Israeli law, and is composed of two external directors, which are all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external directors, and only one other director, who cannot be the chairman of our Board of Directors. Consistent with Israeli law, the independent auditors are elected at a meeting of shareholders instead of being appointed by the Audit Committee. If we qualify as an Eligible Company and opt to follow the exemption provided under the Amendment to the Relief Regulations regarding appointment of external directors and composition of the audit and compensation committees, we will be required at all times to comply with the US rules and regulations governing the appointment of independent directors and composition of the Audit Committee applicable to US domestic issuers instead of complying with the Companies Law provisions relating to external directors and composition of the Audit Committee.</w:t>
      </w:r>
    </w:p>
    <w:p>
      <w:pPr>
        <w:spacing w:after="0" w:line="217" w:lineRule="exact"/>
        <w:rPr>
          <w:rFonts w:ascii="Arial" w:cs="Arial" w:eastAsia="Arial" w:hAnsi="Arial"/>
          <w:sz w:val="16"/>
          <w:szCs w:val="16"/>
          <w:color w:val="auto"/>
        </w:rPr>
      </w:pPr>
    </w:p>
    <w:p>
      <w:pPr>
        <w:ind w:left="1160" w:hanging="578"/>
        <w:spacing w:after="0" w:line="276" w:lineRule="auto"/>
        <w:tabs>
          <w:tab w:leader="none" w:pos="116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Nomination of our Directors</w:t>
      </w:r>
      <w:r>
        <w:rPr>
          <w:rFonts w:ascii="Arial" w:cs="Arial" w:eastAsia="Arial" w:hAnsi="Arial"/>
          <w:sz w:val="15"/>
          <w:szCs w:val="15"/>
          <w:color w:val="auto"/>
        </w:rPr>
        <w:t>. With the exception of our external directors and directors elected by our Board of Directors due to vacancy, our directors are</w:t>
      </w:r>
      <w:r>
        <w:rPr>
          <w:rFonts w:ascii="Arial" w:cs="Arial" w:eastAsia="Arial" w:hAnsi="Arial"/>
          <w:sz w:val="15"/>
          <w:szCs w:val="15"/>
          <w:i w:val="1"/>
          <w:iCs w:val="1"/>
          <w:color w:val="auto"/>
        </w:rPr>
        <w:t xml:space="preserve"> </w:t>
      </w:r>
      <w:r>
        <w:rPr>
          <w:rFonts w:ascii="Arial" w:cs="Arial" w:eastAsia="Arial" w:hAnsi="Arial"/>
          <w:sz w:val="15"/>
          <w:szCs w:val="15"/>
          <w:color w:val="auto"/>
        </w:rPr>
        <w:t>elected by a general or special meeting of our shareholders, to hold office until they are removed from office by the majority of our shareholders at a general or special meeting of our shareholders. See "Item 6. Directors, Senior Management and Employees — Board Practices — Board of Directors." The nominations for directors, which are presented to our shareholders, are generally made by our directors, but nominations may be made by one or more of our shareholders as provided in our Articles of Association, under the Companies Law or in an agreement between us and our shareholders. Currently, there is no agreement between us and any shareholder regarding the nomination of directors. In accordance with our Articles of Association, under the Companies Law, any one or more shareholders holding, in the aggregate, either (1) 5% of our outstanding shares and 1% of our outstanding voting power or (2) 5% of our outstanding voting power, may nominate one or more persons for election as directors at a general or special meeting by delivering a written notice of such shareholder's intent to make such nomination or nominations to our registered office. Each such notice must set forth all of the details and information as required to be provided in our Articles of Association.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5" w:name="page126"/>
    <w:bookmarkEnd w:id="125"/>
    <w:p>
      <w:pPr>
        <w:ind w:left="578" w:hanging="578"/>
        <w:spacing w:after="0" w:line="273" w:lineRule="auto"/>
        <w:tabs>
          <w:tab w:leader="none" w:pos="578"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Compensation Committee and Compensation of Officers</w:t>
      </w:r>
      <w:r>
        <w:rPr>
          <w:rFonts w:ascii="Arial" w:cs="Arial" w:eastAsia="Arial" w:hAnsi="Arial"/>
          <w:sz w:val="15"/>
          <w:szCs w:val="15"/>
          <w:color w:val="auto"/>
        </w:rPr>
        <w:t>. Israeli law, and our amended and restated articles of association, do not require that a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composed solely of independent members of our Board of Directors determine (or recommend to the board of directors for determination) an executive officer's compensation, as required under Nasdaq's listing standards related to compensation committee independence and responsibilities; nor do they require that the Company adopt and file a compensation committee charter. Instead, our compensation committee has been established and conducts itself in accordance with provisions governing the composition of and the responsibilities of a compensation committee as set forth in the Companies Law, and is composed of two external directors, which are all of our external directors, and one additional director, who is not the chairman of our Board of Directors or otherwise employed by the Company. If we qualify as an Eligible Company and opt to follow the exemption provided under the Amendment to the Relief Regulations regarding appointment of external directors and composition of the audit and compensation committees, we will be required at all times to comply with the US rules and regulations governing the appointment of independent directors and composition of the compensation committee applicable to US domestic issuers instead of complying with the Companies Law provisions relating to external directors and composition of the compensation committee. Additionally, we comply with the requirements set forth under the Companies Law, pursuant to which transactions with office holders regarding their terms of office and employment, and transaction with a controlling shareholder in a company regarding his or her employment and/or his or her terms of office with the company, may require the approval of the compensation committee, the board of directors and under certain circumstances the shareholders, either in accordance with our previously approved compensation policy or, in special circumstances in deviation therefrom, taking into account certain considerations set forth in the Companies Law. See "Item 6. Directors, Senior Management and Employees — Board Practices — Compensation Committee" for information regarding the Compensation Committee, and "Item 6. Directors, Senior Management and Employees — Approval of Related Party Transactions under Israeli Law" for information regarding the special approvals required with respect to approval of terms of office and employment of office holders, pursuant to the Companies Law, as set forth under Amendment 20. The requirements for shareholder approval of any office holder compensation, and the relevant majority or special majority for such approval, are all as set forth in the Companies Law. Thus, we will seek shareholder approval for all corporate actions with respect to office holder compensation requiring such approval under the requirements of the Companies Law, including seeking prior approval of the shareholders for the compensation policy and for certain office holder compensation, rather than seeking approval for such corporate actions in accordance with Nasdaq Listing Rules.</w:t>
      </w:r>
    </w:p>
    <w:p>
      <w:pPr>
        <w:spacing w:after="0" w:line="213" w:lineRule="exact"/>
        <w:rPr>
          <w:rFonts w:ascii="Arial" w:cs="Arial" w:eastAsia="Arial" w:hAnsi="Arial"/>
          <w:sz w:val="15"/>
          <w:szCs w:val="15"/>
          <w:color w:val="auto"/>
        </w:rPr>
      </w:pPr>
    </w:p>
    <w:p>
      <w:pPr>
        <w:ind w:left="578" w:right="20" w:hanging="578"/>
        <w:spacing w:after="0" w:line="261" w:lineRule="auto"/>
        <w:tabs>
          <w:tab w:leader="none" w:pos="57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Approval of Related Party Transactions</w:t>
      </w:r>
      <w:r>
        <w:rPr>
          <w:rFonts w:ascii="Arial" w:cs="Arial" w:eastAsia="Arial" w:hAnsi="Arial"/>
          <w:sz w:val="16"/>
          <w:szCs w:val="16"/>
          <w:color w:val="auto"/>
        </w:rPr>
        <w:t>. All related party transactions are approved in accordance with the requirements and procedures for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interested party acts and transactions, set forth in sections 268 to 275 of the Companies Law, and the regulations promulgated thereunder, which require the approval of the audit committee, the compensation committee, the board of directors and shareholders, as may be applicable, for specified transactions, rather than approval by the audit committee or other independent body of our Board of Directors as required under the Marketplace Rules of the Nasdaq Stock Market.</w:t>
      </w:r>
    </w:p>
    <w:p>
      <w:pPr>
        <w:spacing w:after="0" w:line="217" w:lineRule="exact"/>
        <w:rPr>
          <w:rFonts w:ascii="Arial" w:cs="Arial" w:eastAsia="Arial" w:hAnsi="Arial"/>
          <w:sz w:val="16"/>
          <w:szCs w:val="16"/>
          <w:color w:val="auto"/>
        </w:rPr>
      </w:pPr>
    </w:p>
    <w:p>
      <w:pPr>
        <w:ind w:left="578" w:right="40" w:hanging="578"/>
        <w:spacing w:after="0" w:line="268" w:lineRule="auto"/>
        <w:tabs>
          <w:tab w:leader="none" w:pos="578"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Shareholder Approval</w:t>
      </w:r>
      <w:r>
        <w:rPr>
          <w:rFonts w:ascii="Arial" w:cs="Arial" w:eastAsia="Arial" w:hAnsi="Arial"/>
          <w:sz w:val="16"/>
          <w:szCs w:val="16"/>
          <w:color w:val="auto"/>
        </w:rPr>
        <w:t>. We seek shareholder approval for all corporate actions requiring such approval in accordance with the requirements of the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Law, which are different or in addition to the requirements for seeking shareholder approval under Nasdaq Listing Rule 5635, rather than seeking approval for corporation actions in accordance with such listing rules.</w:t>
      </w:r>
    </w:p>
    <w:p>
      <w:pPr>
        <w:spacing w:after="0" w:line="370" w:lineRule="exact"/>
        <w:rPr>
          <w:sz w:val="20"/>
          <w:szCs w:val="20"/>
          <w:color w:val="auto"/>
        </w:rPr>
      </w:pPr>
    </w:p>
    <w:p>
      <w:pPr>
        <w:ind w:left="5018"/>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45720</wp:posOffset>
            </wp:positionV>
            <wp:extent cx="725995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838"/>
          </w:cols>
          <w:pgMar w:left="822" w:top="127" w:right="239" w:bottom="1440" w:gutter="0" w:footer="0" w:header="0"/>
        </w:sectPr>
      </w:pPr>
    </w:p>
    <w:bookmarkStart w:id="126" w:name="page127"/>
    <w:bookmarkEnd w:id="126"/>
    <w:p>
      <w:pPr>
        <w:ind w:left="1160" w:hanging="578"/>
        <w:spacing w:after="0" w:line="263" w:lineRule="auto"/>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 xml:space="preserve">Equity Compensation Plans. </w:t>
      </w:r>
      <w:r>
        <w:rPr>
          <w:rFonts w:ascii="Arial" w:cs="Arial" w:eastAsia="Arial" w:hAnsi="Arial"/>
          <w:sz w:val="16"/>
          <w:szCs w:val="16"/>
          <w:color w:val="auto"/>
        </w:rPr>
        <w:t>We do not necessarily seek shareholder approval shareholder approval for the establishment of, and amendments to,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or equity compensation plans (as set forth in NASDAQ Listing Rule 5635(c)), as such matters are not subject to shareholder approval under Israeli law. Our equity compensation plan is available to our employees, none of whom are currently U.S. employees, and provide features necessary to comply with applicable non-U.S. tax laws.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17. FINANCIAL STATEMENTS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Registrant has responded to Item 18 in lieu of responding to this Item.</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18. FINANCIAL STATEMENTS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See the financial statements beginning on page F-1. The following financial statements and financial statement schedules are filed as part of this Annual Report 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Form 20-F together with the report of the independent registered public accounting firm: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4"/>
        </w:trPr>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320" w:type="dxa"/>
            <w:vAlign w:val="bottom"/>
          </w:tcPr>
          <w:p>
            <w:pPr>
              <w:ind w:left="3700"/>
              <w:spacing w:after="0"/>
              <w:rPr>
                <w:sz w:val="20"/>
                <w:szCs w:val="20"/>
                <w:color w:val="auto"/>
              </w:rPr>
            </w:pPr>
            <w:r>
              <w:rPr>
                <w:rFonts w:ascii="Arial" w:cs="Arial" w:eastAsia="Arial" w:hAnsi="Arial"/>
                <w:sz w:val="19"/>
                <w:szCs w:val="19"/>
                <w:b w:val="1"/>
                <w:bCs w:val="1"/>
                <w:color w:val="auto"/>
              </w:rPr>
              <w:t>ITEM 19. EXHIBITS</w:t>
            </w:r>
          </w:p>
        </w:tc>
      </w:tr>
      <w:tr>
        <w:trPr>
          <w:trHeight w:val="425"/>
        </w:trPr>
        <w:tc>
          <w:tcPr>
            <w:tcW w:w="9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4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216"/>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8"/>
                <w:szCs w:val="18"/>
                <w:color w:val="auto"/>
              </w:rPr>
            </w:pPr>
          </w:p>
        </w:tc>
        <w:tc>
          <w:tcPr>
            <w:tcW w:w="10320" w:type="dxa"/>
            <w:vAlign w:val="bottom"/>
            <w:tcBorders>
              <w:bottom w:val="single" w:sz="8" w:color="auto"/>
            </w:tcBorders>
          </w:tcPr>
          <w:p>
            <w:pPr>
              <w:ind w:left="4460"/>
              <w:spacing w:after="0"/>
              <w:rPr>
                <w:sz w:val="20"/>
                <w:szCs w:val="20"/>
                <w:color w:val="auto"/>
              </w:rPr>
            </w:pPr>
            <w:r>
              <w:rPr>
                <w:rFonts w:ascii="Arial" w:cs="Arial" w:eastAsia="Arial" w:hAnsi="Arial"/>
                <w:sz w:val="16"/>
                <w:szCs w:val="16"/>
                <w:b w:val="1"/>
                <w:bCs w:val="1"/>
                <w:color w:val="auto"/>
              </w:rPr>
              <w:t>Exhibit Description</w:t>
            </w:r>
          </w:p>
        </w:tc>
      </w:tr>
      <w:tr>
        <w:trPr>
          <w:trHeight w:val="424"/>
        </w:trPr>
        <w:tc>
          <w:tcPr>
            <w:tcW w:w="980" w:type="dxa"/>
            <w:vAlign w:val="bottom"/>
          </w:tcPr>
          <w:p>
            <w:pPr>
              <w:spacing w:after="0"/>
              <w:rPr>
                <w:sz w:val="20"/>
                <w:szCs w:val="20"/>
                <w:color w:val="auto"/>
              </w:rPr>
            </w:pPr>
            <w:r>
              <w:rPr>
                <w:rFonts w:ascii="Arial" w:cs="Arial" w:eastAsia="Arial" w:hAnsi="Arial"/>
                <w:sz w:val="32"/>
                <w:szCs w:val="32"/>
                <w:color w:val="auto"/>
                <w:vertAlign w:val="subscript"/>
              </w:rPr>
              <w:t>2.1</w:t>
            </w:r>
            <w:r>
              <w:rPr>
                <w:rFonts w:ascii="Arial" w:cs="Arial" w:eastAsia="Arial" w:hAnsi="Arial"/>
                <w:sz w:val="14"/>
                <w:szCs w:val="14"/>
                <w:color w:val="auto"/>
              </w:rPr>
              <w:t>(4)</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Articles of Association, as amended May 31, 2015</w:t>
            </w:r>
          </w:p>
        </w:tc>
      </w:tr>
      <w:tr>
        <w:trPr>
          <w:trHeight w:val="343"/>
        </w:trPr>
        <w:tc>
          <w:tcPr>
            <w:tcW w:w="980" w:type="dxa"/>
            <w:vAlign w:val="bottom"/>
          </w:tcPr>
          <w:p>
            <w:pPr>
              <w:spacing w:after="0" w:line="342" w:lineRule="exact"/>
              <w:rPr>
                <w:sz w:val="20"/>
                <w:szCs w:val="20"/>
                <w:color w:val="auto"/>
              </w:rPr>
            </w:pPr>
            <w:r>
              <w:rPr>
                <w:rFonts w:ascii="Arial" w:cs="Arial" w:eastAsia="Arial" w:hAnsi="Arial"/>
                <w:sz w:val="32"/>
                <w:szCs w:val="32"/>
                <w:color w:val="auto"/>
                <w:vertAlign w:val="subscript"/>
              </w:rPr>
              <w:t>2.2</w:t>
            </w: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w w:val="93"/>
              </w:rPr>
              <w:t>Form of Deposit Agreement dated as of July 21, 2011 among the Registrant, The Bank of New York Mellon, as Depositary, and all Owners and Holders from</w:t>
            </w:r>
          </w:p>
        </w:tc>
      </w:tr>
      <w:tr>
        <w:trPr>
          <w:trHeight w:val="207"/>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time to time of American Depositary Shares issued thereunder</w:t>
            </w:r>
          </w:p>
        </w:tc>
      </w:tr>
      <w:tr>
        <w:trPr>
          <w:trHeight w:val="526"/>
        </w:trPr>
        <w:tc>
          <w:tcPr>
            <w:tcW w:w="980" w:type="dxa"/>
            <w:vAlign w:val="bottom"/>
          </w:tcPr>
          <w:p>
            <w:pPr>
              <w:spacing w:after="0"/>
              <w:rPr>
                <w:sz w:val="20"/>
                <w:szCs w:val="20"/>
                <w:color w:val="auto"/>
              </w:rPr>
            </w:pPr>
            <w:r>
              <w:rPr>
                <w:rFonts w:ascii="Arial" w:cs="Arial" w:eastAsia="Arial" w:hAnsi="Arial"/>
                <w:sz w:val="16"/>
                <w:szCs w:val="16"/>
                <w:color w:val="auto"/>
              </w:rPr>
              <w:t>2.3</w:t>
            </w:r>
            <w:r>
              <w:rPr>
                <w:rFonts w:ascii="Arial" w:cs="Arial" w:eastAsia="Arial" w:hAnsi="Arial"/>
                <w:sz w:val="27"/>
                <w:szCs w:val="27"/>
                <w:color w:val="auto"/>
                <w:vertAlign w:val="superscript"/>
              </w:rPr>
              <w:t>(2)</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Form of American Depositary Receipt; the Form is Exhibit A of the Form of Depositary Agreement</w:t>
            </w:r>
          </w:p>
        </w:tc>
      </w:tr>
      <w:tr>
        <w:trPr>
          <w:trHeight w:val="253"/>
        </w:trPr>
        <w:tc>
          <w:tcPr>
            <w:tcW w:w="980" w:type="dxa"/>
            <w:vAlign w:val="bottom"/>
          </w:tcPr>
          <w:p>
            <w:pPr>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2"/>
                <w:szCs w:val="22"/>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Employment Agreement with Philip Serlin, dated May 24, 2009, as amended</w:t>
            </w:r>
          </w:p>
        </w:tc>
      </w:tr>
      <w:tr>
        <w:trPr>
          <w:trHeight w:val="526"/>
        </w:trPr>
        <w:tc>
          <w:tcPr>
            <w:tcW w:w="980" w:type="dxa"/>
            <w:vAlign w:val="bottom"/>
          </w:tcPr>
          <w:p>
            <w:pPr>
              <w:spacing w:after="0"/>
              <w:rPr>
                <w:sz w:val="20"/>
                <w:szCs w:val="20"/>
                <w:color w:val="auto"/>
              </w:rPr>
            </w:pPr>
            <w:r>
              <w:rPr>
                <w:rFonts w:ascii="Arial" w:cs="Arial" w:eastAsia="Arial" w:hAnsi="Arial"/>
                <w:sz w:val="16"/>
                <w:szCs w:val="16"/>
                <w:color w:val="auto"/>
              </w:rPr>
              <w:t>4.6†</w:t>
            </w:r>
            <w:r>
              <w:rPr>
                <w:rFonts w:ascii="Arial" w:cs="Arial" w:eastAsia="Arial" w:hAnsi="Arial"/>
                <w:sz w:val="27"/>
                <w:szCs w:val="27"/>
                <w:color w:val="auto"/>
                <w:vertAlign w:val="superscript"/>
              </w:rPr>
              <w:t>(1)</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w w:val="94"/>
              </w:rPr>
              <w:t>License Agreement entered into as of January 10, 2005, between BioLine Innovations Jerusalem L.P. and B.G. Negev Technologies and Applications Ltd.</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4.7</w:t>
            </w:r>
            <w:r>
              <w:rPr>
                <w:rFonts w:ascii="Arial" w:cs="Arial" w:eastAsia="Arial" w:hAnsi="Arial"/>
                <w:sz w:val="27"/>
                <w:szCs w:val="27"/>
                <w:color w:val="auto"/>
                <w:vertAlign w:val="superscript"/>
              </w:rPr>
              <w:t>(1)</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Assignment Agreement entered into as of January 1, 2009 entered into between BioLine Innovations Jerusalem L.P. and the Registrant</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4.16†</w:t>
            </w:r>
            <w:r>
              <w:rPr>
                <w:rFonts w:ascii="Arial" w:cs="Arial" w:eastAsia="Arial" w:hAnsi="Arial"/>
                <w:sz w:val="27"/>
                <w:szCs w:val="27"/>
                <w:color w:val="auto"/>
                <w:vertAlign w:val="superscript"/>
              </w:rPr>
              <w:t>(1)</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w w:val="97"/>
              </w:rPr>
              <w:t>License Agreement entered into as of November 25, 2007 between BioLine Innovations Jerusalem L.P. and Innovative Pharmaceutical Concepts, Inc.</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4.18</w:t>
            </w:r>
            <w:r>
              <w:rPr>
                <w:rFonts w:ascii="Arial" w:cs="Arial" w:eastAsia="Arial" w:hAnsi="Arial"/>
                <w:sz w:val="27"/>
                <w:szCs w:val="27"/>
                <w:color w:val="auto"/>
                <w:vertAlign w:val="superscript"/>
              </w:rPr>
              <w:t>(12)</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BioLineRx Ltd. Amended and Restated 2003 Share Incentive Plan</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4.30</w:t>
            </w:r>
            <w:r>
              <w:rPr>
                <w:rFonts w:ascii="Arial" w:cs="Arial" w:eastAsia="Arial" w:hAnsi="Arial"/>
                <w:sz w:val="27"/>
                <w:szCs w:val="27"/>
                <w:color w:val="auto"/>
                <w:vertAlign w:val="superscript"/>
              </w:rPr>
              <w:t>(3)</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Employment Agreement with David Malek, dated August 8, 2011</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4.32</w:t>
            </w:r>
            <w:r>
              <w:rPr>
                <w:rFonts w:ascii="Arial" w:cs="Arial" w:eastAsia="Arial" w:hAnsi="Arial"/>
                <w:sz w:val="27"/>
                <w:szCs w:val="27"/>
                <w:color w:val="auto"/>
                <w:vertAlign w:val="superscript"/>
              </w:rPr>
              <w:t>(6)</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Form of Warrant to purchase American Depositary Shares</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4.33</w:t>
            </w:r>
            <w:r>
              <w:rPr>
                <w:rFonts w:ascii="Arial" w:cs="Arial" w:eastAsia="Arial" w:hAnsi="Arial"/>
                <w:sz w:val="27"/>
                <w:szCs w:val="27"/>
                <w:color w:val="auto"/>
                <w:vertAlign w:val="superscript"/>
              </w:rPr>
              <w:t>(7)</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License Agreement entered into as of September 2, 2012 by and between the Registrant and Biokine Therapeutics Ltd.</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4.35</w:t>
            </w:r>
            <w:r>
              <w:rPr>
                <w:rFonts w:ascii="Arial" w:cs="Arial" w:eastAsia="Arial" w:hAnsi="Arial"/>
                <w:sz w:val="27"/>
                <w:szCs w:val="27"/>
                <w:color w:val="auto"/>
                <w:vertAlign w:val="superscript"/>
              </w:rPr>
              <w:t>(9)</w:t>
            </w: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License Agreement entered into as of February 15, 2011 between the Registrant and Valorisation-Recherche, Limited Partnership</w:t>
            </w:r>
          </w:p>
        </w:tc>
      </w:tr>
      <w:tr>
        <w:trPr>
          <w:trHeight w:val="390"/>
        </w:trPr>
        <w:tc>
          <w:tcPr>
            <w:tcW w:w="980" w:type="dxa"/>
            <w:vAlign w:val="bottom"/>
          </w:tcPr>
          <w:p>
            <w:pPr>
              <w:spacing w:after="0"/>
              <w:rPr>
                <w:sz w:val="20"/>
                <w:szCs w:val="20"/>
                <w:color w:val="auto"/>
              </w:rPr>
            </w:pPr>
            <w:r>
              <w:rPr>
                <w:rFonts w:ascii="Arial" w:cs="Arial" w:eastAsia="Arial" w:hAnsi="Arial"/>
                <w:sz w:val="16"/>
                <w:szCs w:val="16"/>
                <w:color w:val="auto"/>
              </w:rPr>
              <w:t>4.36</w:t>
            </w:r>
            <w:r>
              <w:rPr>
                <w:rFonts w:ascii="Arial" w:cs="Arial" w:eastAsia="Arial" w:hAnsi="Arial"/>
                <w:sz w:val="27"/>
                <w:szCs w:val="27"/>
                <w:color w:val="auto"/>
                <w:vertAlign w:val="superscript"/>
              </w:rPr>
              <w:t>(8)</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Compensation Policy for Executives and Directors</w:t>
            </w:r>
          </w:p>
        </w:tc>
      </w:tr>
      <w:tr>
        <w:trPr>
          <w:trHeight w:val="242"/>
        </w:trPr>
        <w:tc>
          <w:tcPr>
            <w:tcW w:w="980" w:type="dxa"/>
            <w:vAlign w:val="bottom"/>
          </w:tcPr>
          <w:p>
            <w:pPr>
              <w:spacing w:after="0" w:line="242" w:lineRule="exact"/>
              <w:rPr>
                <w:sz w:val="20"/>
                <w:szCs w:val="20"/>
                <w:color w:val="auto"/>
              </w:rPr>
            </w:pPr>
            <w:r>
              <w:rPr>
                <w:rFonts w:ascii="Arial" w:cs="Arial" w:eastAsia="Arial" w:hAnsi="Arial"/>
                <w:sz w:val="28"/>
                <w:szCs w:val="28"/>
                <w:color w:val="auto"/>
                <w:vertAlign w:val="subscript"/>
              </w:rPr>
              <w:t>4.37</w:t>
            </w: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320" w:type="dxa"/>
            <w:vAlign w:val="bottom"/>
          </w:tcPr>
          <w:p>
            <w:pPr>
              <w:spacing w:after="0"/>
              <w:rPr>
                <w:sz w:val="20"/>
                <w:szCs w:val="20"/>
                <w:color w:val="auto"/>
              </w:rPr>
            </w:pPr>
            <w:r>
              <w:rPr>
                <w:rFonts w:ascii="Arial" w:cs="Arial" w:eastAsia="Arial" w:hAnsi="Arial"/>
                <w:sz w:val="16"/>
                <w:szCs w:val="16"/>
                <w:color w:val="auto"/>
                <w:w w:val="95"/>
              </w:rPr>
              <w:t>Lease Agreement entered into as of August 7, 2014 between S.M.L. Solomon Industrial Buildings Ltd. and Infrastructure Management and Development</w:t>
            </w:r>
          </w:p>
        </w:tc>
      </w:tr>
      <w:tr>
        <w:trPr>
          <w:trHeight w:val="207"/>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Established by C.P.M. Ltd. as Lessor and the Registrant as Lessee, as amended (English summary of the Hebrew original)</w:t>
            </w:r>
          </w:p>
        </w:tc>
      </w:tr>
      <w:tr>
        <w:trPr>
          <w:trHeight w:val="526"/>
        </w:trPr>
        <w:tc>
          <w:tcPr>
            <w:tcW w:w="980" w:type="dxa"/>
            <w:vAlign w:val="bottom"/>
          </w:tcPr>
          <w:p>
            <w:pPr>
              <w:spacing w:after="0"/>
              <w:rPr>
                <w:sz w:val="20"/>
                <w:szCs w:val="20"/>
                <w:color w:val="auto"/>
              </w:rPr>
            </w:pPr>
            <w:r>
              <w:rPr>
                <w:rFonts w:ascii="Arial" w:cs="Arial" w:eastAsia="Arial" w:hAnsi="Arial"/>
                <w:sz w:val="16"/>
                <w:szCs w:val="16"/>
                <w:color w:val="auto"/>
              </w:rPr>
              <w:t>4.38</w:t>
            </w:r>
            <w:r>
              <w:rPr>
                <w:rFonts w:ascii="Arial" w:cs="Arial" w:eastAsia="Arial" w:hAnsi="Arial"/>
                <w:sz w:val="27"/>
                <w:szCs w:val="27"/>
                <w:color w:val="auto"/>
                <w:vertAlign w:val="superscript"/>
              </w:rPr>
              <w:t>(10)</w:t>
            </w: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6"/>
                <w:szCs w:val="16"/>
                <w:color w:val="auto"/>
              </w:rPr>
              <w:t>Investment and Collaboration Agreement entered into as of December 16, 2014 between the Registrant and Novartis Pharma AG</w:t>
            </w:r>
          </w:p>
        </w:tc>
      </w:tr>
      <w:tr>
        <w:trPr>
          <w:trHeight w:val="460"/>
        </w:trPr>
        <w:tc>
          <w:tcPr>
            <w:tcW w:w="980" w:type="dxa"/>
            <w:vAlign w:val="bottom"/>
          </w:tcPr>
          <w:p>
            <w:pPr>
              <w:spacing w:after="0"/>
              <w:rPr>
                <w:sz w:val="24"/>
                <w:szCs w:val="24"/>
                <w:color w:val="auto"/>
              </w:rPr>
            </w:pPr>
          </w:p>
        </w:tc>
        <w:tc>
          <w:tcPr>
            <w:tcW w:w="10460" w:type="dxa"/>
            <w:vAlign w:val="bottom"/>
            <w:gridSpan w:val="2"/>
          </w:tcPr>
          <w:p>
            <w:pPr>
              <w:ind w:left="4620"/>
              <w:spacing w:after="0"/>
              <w:rPr>
                <w:sz w:val="20"/>
                <w:szCs w:val="20"/>
                <w:color w:val="auto"/>
              </w:rPr>
            </w:pPr>
            <w:r>
              <w:rPr>
                <w:rFonts w:ascii="Arial" w:cs="Arial" w:eastAsia="Arial" w:hAnsi="Arial"/>
                <w:sz w:val="16"/>
                <w:szCs w:val="16"/>
                <w:color w:val="auto"/>
              </w:rPr>
              <w:t>124</w:t>
            </w:r>
          </w:p>
        </w:tc>
      </w:tr>
      <w:tr>
        <w:trPr>
          <w:trHeight w:val="54"/>
        </w:trPr>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3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128" w:name="page129"/>
    <w:bookmarkEnd w:id="128"/>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9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10420" w:type="dxa"/>
            <w:vAlign w:val="bottom"/>
          </w:tcPr>
          <w:p>
            <w:pPr>
              <w:spacing w:after="0"/>
              <w:rPr>
                <w:sz w:val="16"/>
                <w:szCs w:val="16"/>
                <w:color w:val="auto"/>
              </w:rPr>
            </w:pPr>
          </w:p>
        </w:tc>
      </w:tr>
      <w:tr>
        <w:trPr>
          <w:trHeight w:val="216"/>
        </w:trPr>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10420" w:type="dxa"/>
            <w:vAlign w:val="bottom"/>
            <w:tcBorders>
              <w:bottom w:val="single" w:sz="8" w:color="auto"/>
            </w:tcBorders>
          </w:tcPr>
          <w:p>
            <w:pPr>
              <w:ind w:left="4520"/>
              <w:spacing w:after="0"/>
              <w:rPr>
                <w:sz w:val="20"/>
                <w:szCs w:val="20"/>
                <w:color w:val="auto"/>
              </w:rPr>
            </w:pPr>
            <w:r>
              <w:rPr>
                <w:rFonts w:ascii="Arial" w:cs="Arial" w:eastAsia="Arial" w:hAnsi="Arial"/>
                <w:sz w:val="16"/>
                <w:szCs w:val="16"/>
                <w:b w:val="1"/>
                <w:bCs w:val="1"/>
                <w:color w:val="auto"/>
              </w:rPr>
              <w:t>Exhibit Description</w:t>
            </w:r>
          </w:p>
        </w:tc>
      </w:tr>
      <w:tr>
        <w:trPr>
          <w:trHeight w:val="537"/>
        </w:trPr>
        <w:tc>
          <w:tcPr>
            <w:tcW w:w="900" w:type="dxa"/>
            <w:vAlign w:val="bottom"/>
          </w:tcPr>
          <w:p>
            <w:pPr>
              <w:spacing w:after="0"/>
              <w:rPr>
                <w:sz w:val="20"/>
                <w:szCs w:val="20"/>
                <w:color w:val="auto"/>
              </w:rPr>
            </w:pPr>
            <w:r>
              <w:rPr>
                <w:rFonts w:ascii="Arial" w:cs="Arial" w:eastAsia="Arial" w:hAnsi="Arial"/>
                <w:sz w:val="16"/>
                <w:szCs w:val="16"/>
                <w:color w:val="auto"/>
              </w:rPr>
              <w:t>4.39</w:t>
            </w:r>
            <w:r>
              <w:rPr>
                <w:rFonts w:ascii="Arial" w:cs="Arial" w:eastAsia="Arial" w:hAnsi="Arial"/>
                <w:sz w:val="27"/>
                <w:szCs w:val="27"/>
                <w:color w:val="auto"/>
                <w:vertAlign w:val="superscript"/>
              </w:rPr>
              <w:t>(11)</w:t>
            </w: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License Agreement entered into as of December 22, 2014 between the Registrant and Wartner Europe BV</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4.40</w:t>
            </w:r>
            <w:r>
              <w:rPr>
                <w:rFonts w:ascii="Arial" w:cs="Arial" w:eastAsia="Arial" w:hAnsi="Arial"/>
                <w:sz w:val="27"/>
                <w:szCs w:val="27"/>
                <w:color w:val="auto"/>
                <w:vertAlign w:val="superscript"/>
              </w:rPr>
              <w:t>(7)</w:t>
            </w: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Clinical Trial Collaboration and Supply Agreement entered into as of January 11, 2016 between the Registrant and Merck Sharp &amp; Dohme B.V.</w:t>
            </w:r>
          </w:p>
        </w:tc>
      </w:tr>
      <w:tr>
        <w:trPr>
          <w:trHeight w:val="253"/>
        </w:trPr>
        <w:tc>
          <w:tcPr>
            <w:tcW w:w="900" w:type="dxa"/>
            <w:vAlign w:val="bottom"/>
          </w:tcPr>
          <w:p>
            <w:pPr>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2"/>
                <w:szCs w:val="22"/>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Combination Study Agreement entered into as of September 6, 2016 between the Registrant and Genentech, Inc.</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Employment Agreement with Mali Zeevi, dated September 16, 2009, as amended</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Employment Agreement with Abi Vainstein-Haras, dated April 2, 2014, as amended</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Employment Agreement with Ella Sorani, dated January 11, 2017</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w w:val="97"/>
              </w:rPr>
              <w:t>Amended and Restated Exclusive License Agreement entered into as of April 30, 2013 between the University of Massachusetts and Agalimmune Ltd.</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Evaluation License and Option Agreement entered into as of March 31, 2015 between Agalimmune Ltd. and Kode Biotech Limited</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Certification by Chief Executive Officer pursuant to Section 302 of the Sarbanes-Oxley Act of 2002</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Certification by Chief Financial Officer pursuant to Section 302 of the Sarbanes-Oxley Act of 2002</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Certification by Chief Executive Officer pursuant to 18 U.S.C. Section 1350, as adopted pursuant to Section 906 of the Sarbanes-Oxley Act of 2002</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Certification by Chief Financial Officer pursuant to 18 U.S.C. Section 1350, as adopted pursuant to Section 906 of the Sarbanes-Oxley Act of 2002</w:t>
            </w:r>
          </w:p>
        </w:tc>
      </w:tr>
      <w:tr>
        <w:trPr>
          <w:trHeight w:val="526"/>
        </w:trPr>
        <w:tc>
          <w:tcPr>
            <w:tcW w:w="900" w:type="dxa"/>
            <w:vAlign w:val="bottom"/>
          </w:tcPr>
          <w:p>
            <w:pPr>
              <w:spacing w:after="0"/>
              <w:rPr>
                <w:sz w:val="20"/>
                <w:szCs w:val="20"/>
                <w:color w:val="auto"/>
              </w:rPr>
            </w:pPr>
            <w:r>
              <w:rPr>
                <w:rFonts w:ascii="Arial" w:cs="Arial" w:eastAsia="Arial" w:hAnsi="Arial"/>
                <w:sz w:val="16"/>
                <w:szCs w:val="16"/>
                <w:color w:val="auto"/>
              </w:rPr>
              <w:t>15.4</w:t>
            </w:r>
            <w:r>
              <w:rPr>
                <w:rFonts w:ascii="Arial" w:cs="Arial" w:eastAsia="Arial" w:hAnsi="Arial"/>
                <w:sz w:val="27"/>
                <w:szCs w:val="27"/>
                <w:color w:val="auto"/>
                <w:vertAlign w:val="superscript"/>
              </w:rPr>
              <w:t>(6)</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Subscription Agreement entered into as of February 6, 2013 between the Registrant and OrbiMed Israel Partners Limited Partnership</w:t>
            </w:r>
          </w:p>
        </w:tc>
      </w:tr>
      <w:tr>
        <w:trPr>
          <w:trHeight w:val="242"/>
        </w:trPr>
        <w:tc>
          <w:tcPr>
            <w:tcW w:w="900" w:type="dxa"/>
            <w:vAlign w:val="bottom"/>
          </w:tcPr>
          <w:p>
            <w:pPr>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1"/>
                <w:szCs w:val="21"/>
                <w:color w:val="auto"/>
              </w:rPr>
            </w:pPr>
          </w:p>
        </w:tc>
        <w:tc>
          <w:tcPr>
            <w:tcW w:w="10420" w:type="dxa"/>
            <w:vAlign w:val="bottom"/>
          </w:tcPr>
          <w:p>
            <w:pPr>
              <w:spacing w:after="0"/>
              <w:rPr>
                <w:sz w:val="20"/>
                <w:szCs w:val="20"/>
                <w:color w:val="auto"/>
              </w:rPr>
            </w:pPr>
            <w:r>
              <w:rPr>
                <w:rFonts w:ascii="Arial" w:cs="Arial" w:eastAsia="Arial" w:hAnsi="Arial"/>
                <w:sz w:val="16"/>
                <w:szCs w:val="16"/>
                <w:color w:val="auto"/>
                <w:w w:val="94"/>
              </w:rPr>
              <w:t>Consent of Kesselman &amp; Kesselman, Certified Public Accountant (Isr.), a member of PricewaterhouseCoopers International Limited, independent registered</w:t>
            </w:r>
          </w:p>
        </w:tc>
      </w:tr>
      <w:tr>
        <w:trPr>
          <w:trHeight w:val="207"/>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public accounting firm for the Registrant</w:t>
            </w:r>
          </w:p>
        </w:tc>
      </w:tr>
      <w:tr>
        <w:trPr>
          <w:trHeight w:val="526"/>
        </w:trPr>
        <w:tc>
          <w:tcPr>
            <w:tcW w:w="900" w:type="dxa"/>
            <w:vAlign w:val="bottom"/>
          </w:tcPr>
          <w:p>
            <w:pPr>
              <w:spacing w:after="0"/>
              <w:rPr>
                <w:sz w:val="20"/>
                <w:szCs w:val="20"/>
                <w:color w:val="auto"/>
              </w:rPr>
            </w:pPr>
            <w:r>
              <w:rPr>
                <w:rFonts w:ascii="Arial" w:cs="Arial" w:eastAsia="Arial" w:hAnsi="Arial"/>
                <w:sz w:val="16"/>
                <w:szCs w:val="16"/>
                <w:color w:val="auto"/>
              </w:rPr>
              <w:t>15.6</w:t>
            </w:r>
            <w:r>
              <w:rPr>
                <w:rFonts w:ascii="Arial" w:cs="Arial" w:eastAsia="Arial" w:hAnsi="Arial"/>
                <w:sz w:val="27"/>
                <w:szCs w:val="27"/>
                <w:color w:val="auto"/>
                <w:vertAlign w:val="superscript"/>
              </w:rPr>
              <w:t>(5)</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Purchase Agreement entered into as of May 28, 2014 between the Registrant and Lincoln Park Capital Fund, LLC</w:t>
            </w:r>
          </w:p>
        </w:tc>
      </w:tr>
      <w:tr>
        <w:trPr>
          <w:trHeight w:val="390"/>
        </w:trPr>
        <w:tc>
          <w:tcPr>
            <w:tcW w:w="900" w:type="dxa"/>
            <w:vAlign w:val="bottom"/>
          </w:tcPr>
          <w:p>
            <w:pPr>
              <w:spacing w:after="0"/>
              <w:rPr>
                <w:sz w:val="20"/>
                <w:szCs w:val="20"/>
                <w:color w:val="auto"/>
              </w:rPr>
            </w:pPr>
            <w:r>
              <w:rPr>
                <w:rFonts w:ascii="Arial" w:cs="Arial" w:eastAsia="Arial" w:hAnsi="Arial"/>
                <w:sz w:val="16"/>
                <w:szCs w:val="16"/>
                <w:color w:val="auto"/>
              </w:rPr>
              <w:t>15.7</w:t>
            </w:r>
            <w:r>
              <w:rPr>
                <w:rFonts w:ascii="Arial" w:cs="Arial" w:eastAsia="Arial" w:hAnsi="Arial"/>
                <w:sz w:val="27"/>
                <w:szCs w:val="27"/>
                <w:color w:val="auto"/>
                <w:vertAlign w:val="superscript"/>
              </w:rPr>
              <w:t>(5)</w:t>
            </w:r>
          </w:p>
        </w:tc>
        <w:tc>
          <w:tcPr>
            <w:tcW w:w="12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6"/>
                <w:szCs w:val="16"/>
                <w:color w:val="auto"/>
              </w:rPr>
              <w:t>Registration Rights Agreement entered into as of May 28, 2014 between the Registrant and Lincoln Park Capital Fund,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45351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3515" cy="7620"/>
                    </a:xfrm>
                    <a:prstGeom prst="rect">
                      <a:avLst/>
                    </a:prstGeom>
                    <a:noFill/>
                  </pic:spPr>
                </pic:pic>
              </a:graphicData>
            </a:graphic>
          </wp:anchor>
        </w:drawing>
      </w:r>
    </w:p>
    <w:p>
      <w:pPr>
        <w:spacing w:after="0" w:line="282" w:lineRule="exact"/>
        <w:rPr>
          <w:sz w:val="20"/>
          <w:szCs w:val="20"/>
          <w:color w:val="auto"/>
        </w:rPr>
      </w:pPr>
    </w:p>
    <w:p>
      <w:pPr>
        <w:ind w:left="363" w:hanging="363"/>
        <w:spacing w:after="0"/>
        <w:tabs>
          <w:tab w:leader="none" w:pos="363" w:val="left"/>
        </w:tabs>
        <w:numPr>
          <w:ilvl w:val="0"/>
          <w:numId w:val="82"/>
        </w:numPr>
        <w:rPr>
          <w:rFonts w:ascii="Arial" w:cs="Arial" w:eastAsia="Arial" w:hAnsi="Arial"/>
          <w:sz w:val="16"/>
          <w:szCs w:val="16"/>
          <w:color w:val="auto"/>
        </w:rPr>
      </w:pPr>
      <w:r>
        <w:rPr>
          <w:rFonts w:ascii="Arial" w:cs="Arial" w:eastAsia="Arial" w:hAnsi="Arial"/>
          <w:sz w:val="16"/>
          <w:szCs w:val="16"/>
          <w:color w:val="auto"/>
        </w:rPr>
        <w:t>Portions of this exhibit have been omitted and filed separately with the Securities and Exchange Commission pursuant to a confidential treatment request.</w:t>
      </w:r>
    </w:p>
    <w:p>
      <w:pPr>
        <w:spacing w:after="0" w:line="254" w:lineRule="exact"/>
        <w:rPr>
          <w:sz w:val="20"/>
          <w:szCs w:val="20"/>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Registration Statement on Form 20-F (No. 001-35223) filed on July 1, 2011.</w:t>
      </w:r>
    </w:p>
    <w:p>
      <w:pPr>
        <w:spacing w:after="0" w:line="254" w:lineRule="exact"/>
        <w:rPr>
          <w:rFonts w:ascii="Arial" w:cs="Arial" w:eastAsia="Arial" w:hAnsi="Arial"/>
          <w:sz w:val="16"/>
          <w:szCs w:val="16"/>
          <w:color w:val="auto"/>
        </w:rPr>
      </w:pPr>
    </w:p>
    <w:p>
      <w:pPr>
        <w:ind w:left="363" w:right="800" w:hanging="363"/>
        <w:spacing w:after="0" w:line="283" w:lineRule="auto"/>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Exhibit 1 of the Registration Statement on Form F-6 (No. 333-175360) filed by the Bank of New York Mellon with respect to the Registrant's American Depositary Receipts.</w:t>
      </w:r>
    </w:p>
    <w:p>
      <w:pPr>
        <w:spacing w:after="0" w:line="199"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Registration Statement on Form F-1 (No. 333-179792) filed on February 29, 2012.</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Registration Statement on Form F-3 (No. 333-205700) filed on July 16, 2015.</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6-K filed on May 30, 2014.</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6-K filed on February 6, 2013.</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20-F/A filed on May 31, 2016</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6-K filed on May 31, 2016.</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20-F/A filed on May 15, 2014.</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20-F filed on March 23, 2015.</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20-F/A filed on September 22, 2015.</w:t>
      </w:r>
    </w:p>
    <w:p>
      <w:pPr>
        <w:spacing w:after="0" w:line="254" w:lineRule="exact"/>
        <w:rPr>
          <w:rFonts w:ascii="Arial" w:cs="Arial" w:eastAsia="Arial" w:hAnsi="Arial"/>
          <w:sz w:val="16"/>
          <w:szCs w:val="16"/>
          <w:color w:val="auto"/>
        </w:rPr>
      </w:pPr>
    </w:p>
    <w:p>
      <w:pPr>
        <w:ind w:left="363" w:hanging="363"/>
        <w:spacing w:after="0"/>
        <w:tabs>
          <w:tab w:leader="none" w:pos="363"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20-F filed on March 10, 2016.</w:t>
      </w: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342" w:right="21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6"/>
          <w:szCs w:val="16"/>
          <w:b w:val="1"/>
          <w:bCs w:val="1"/>
          <w:color w:val="auto"/>
        </w:rPr>
        <w:t>SIGNATURES</w:t>
      </w:r>
    </w:p>
    <w:p>
      <w:pPr>
        <w:spacing w:after="0" w:line="25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9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BIOLINERX LTD.</w:t>
      </w:r>
    </w:p>
    <w:p>
      <w:pPr>
        <w:spacing w:after="0" w:line="206" w:lineRule="exact"/>
        <w:rPr>
          <w:sz w:val="20"/>
          <w:szCs w:val="20"/>
          <w:color w:val="auto"/>
        </w:rPr>
      </w:pPr>
    </w:p>
    <w:p>
      <w:pPr>
        <w:ind w:left="5700"/>
        <w:spacing w:after="0"/>
        <w:tabs>
          <w:tab w:leader="none" w:pos="6120" w:val="left"/>
        </w:tabs>
        <w:rPr>
          <w:sz w:val="20"/>
          <w:szCs w:val="20"/>
          <w:color w:val="auto"/>
        </w:rPr>
      </w:pPr>
      <w:r>
        <w:rPr>
          <w:rFonts w:ascii="Arial" w:cs="Arial" w:eastAsia="Arial" w:hAnsi="Arial"/>
          <w:sz w:val="16"/>
          <w:szCs w:val="16"/>
          <w:color w:val="auto"/>
        </w:rPr>
        <w:t>By:</w:t>
        <w:tab/>
        <w:t>/s/ Philip A. Serlin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14605</wp:posOffset>
            </wp:positionV>
            <wp:extent cx="33635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3595" cy="15240"/>
                    </a:xfrm>
                    <a:prstGeom prst="rect">
                      <a:avLst/>
                    </a:prstGeom>
                    <a:noFill/>
                  </pic:spPr>
                </pic:pic>
              </a:graphicData>
            </a:graphic>
          </wp:anchor>
        </w:drawing>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Philip A. Serlin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Date: March 23, 2017</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725995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6"/>
          <w:szCs w:val="16"/>
          <w:color w:val="auto"/>
        </w:rPr>
        <w:t>INDEX TO CONSOLIDATED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20" w:type="dxa"/>
            <w:vAlign w:val="bottom"/>
            <w:gridSpan w:val="7"/>
          </w:tcPr>
          <w:p>
            <w:pPr>
              <w:spacing w:after="0"/>
              <w:rPr>
                <w:sz w:val="20"/>
                <w:szCs w:val="20"/>
                <w:color w:val="auto"/>
              </w:rPr>
            </w:pPr>
            <w:r>
              <w:rPr>
                <w:rFonts w:ascii="Arial" w:cs="Arial" w:eastAsia="Arial" w:hAnsi="Arial"/>
                <w:sz w:val="16"/>
                <w:szCs w:val="16"/>
                <w:color w:val="auto"/>
              </w:rPr>
              <w:t>Audited Consolidated Financial Statements at December 31, 2016 and 2015 and for each of the three years in the period ended December 31, 2016</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549"/>
        </w:trPr>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r>
      <w:tr>
        <w:trPr>
          <w:trHeight w:val="370"/>
        </w:trPr>
        <w:tc>
          <w:tcPr>
            <w:tcW w:w="10620" w:type="dxa"/>
            <w:vAlign w:val="bottom"/>
            <w:gridSpan w:val="7"/>
          </w:tcPr>
          <w:p>
            <w:pPr>
              <w:spacing w:after="0"/>
              <w:rPr>
                <w:rFonts w:ascii="Arial" w:cs="Arial" w:eastAsia="Arial" w:hAnsi="Arial"/>
                <w:sz w:val="16"/>
                <w:szCs w:val="16"/>
                <w:color w:val="0000EE"/>
              </w:rPr>
            </w:pPr>
            <w:hyperlink w:anchor="page132">
              <w:r>
                <w:rPr>
                  <w:rFonts w:ascii="Arial" w:cs="Arial" w:eastAsia="Arial" w:hAnsi="Arial"/>
                  <w:sz w:val="16"/>
                  <w:szCs w:val="16"/>
                  <w:color w:val="0000EE"/>
                </w:rPr>
                <w:t>Report of Independent Registered Public Accounting Firm</w:t>
              </w:r>
            </w:hyperlink>
          </w:p>
        </w:tc>
        <w:tc>
          <w:tcPr>
            <w:tcW w:w="3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F-1</w:t>
            </w:r>
          </w:p>
        </w:tc>
        <w:tc>
          <w:tcPr>
            <w:tcW w:w="480" w:type="dxa"/>
            <w:vAlign w:val="bottom"/>
          </w:tcPr>
          <w:p>
            <w:pPr>
              <w:spacing w:after="0"/>
              <w:rPr>
                <w:sz w:val="24"/>
                <w:szCs w:val="24"/>
                <w:color w:val="auto"/>
              </w:rPr>
            </w:pPr>
          </w:p>
        </w:tc>
      </w:tr>
      <w:tr>
        <w:trPr>
          <w:trHeight w:val="175"/>
        </w:trPr>
        <w:tc>
          <w:tcPr>
            <w:tcW w:w="3000" w:type="dxa"/>
            <w:vAlign w:val="bottom"/>
            <w:tcBorders>
              <w:top w:val="single" w:sz="8" w:color="0000EE"/>
              <w:bottom w:val="single" w:sz="8" w:color="0000EE"/>
            </w:tcBorders>
            <w:gridSpan w:val="4"/>
          </w:tcPr>
          <w:p>
            <w:pPr>
              <w:spacing w:after="0" w:line="175" w:lineRule="exact"/>
              <w:rPr>
                <w:rFonts w:ascii="Arial" w:cs="Arial" w:eastAsia="Arial" w:hAnsi="Arial"/>
                <w:sz w:val="16"/>
                <w:szCs w:val="16"/>
                <w:color w:val="0000EE"/>
                <w:w w:val="91"/>
              </w:rPr>
            </w:pPr>
            <w:hyperlink w:anchor="page133">
              <w:r>
                <w:rPr>
                  <w:rFonts w:ascii="Arial" w:cs="Arial" w:eastAsia="Arial" w:hAnsi="Arial"/>
                  <w:sz w:val="16"/>
                  <w:szCs w:val="16"/>
                  <w:color w:val="0000EE"/>
                  <w:w w:val="91"/>
                </w:rPr>
                <w:t>Consolidated Statements of Financial Position</w:t>
              </w:r>
            </w:hyperlink>
          </w:p>
        </w:tc>
        <w:tc>
          <w:tcPr>
            <w:tcW w:w="800" w:type="dxa"/>
            <w:vAlign w:val="bottom"/>
            <w:tcBorders>
              <w:top w:val="single" w:sz="8" w:color="0000EE"/>
            </w:tcBorders>
            <w:gridSpan w:val="2"/>
          </w:tcPr>
          <w:p>
            <w:pPr>
              <w:spacing w:after="0"/>
              <w:rPr>
                <w:sz w:val="15"/>
                <w:szCs w:val="15"/>
                <w:color w:val="auto"/>
              </w:rPr>
            </w:pPr>
          </w:p>
        </w:tc>
        <w:tc>
          <w:tcPr>
            <w:tcW w:w="6820" w:type="dxa"/>
            <w:vAlign w:val="bottom"/>
          </w:tcPr>
          <w:p>
            <w:pPr>
              <w:spacing w:after="0"/>
              <w:rPr>
                <w:sz w:val="15"/>
                <w:szCs w:val="15"/>
                <w:color w:val="auto"/>
              </w:rPr>
            </w:pP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F-2</w:t>
            </w:r>
          </w:p>
        </w:tc>
      </w:tr>
      <w:tr>
        <w:trPr>
          <w:trHeight w:val="175"/>
        </w:trPr>
        <w:tc>
          <w:tcPr>
            <w:tcW w:w="10620" w:type="dxa"/>
            <w:vAlign w:val="bottom"/>
            <w:gridSpan w:val="7"/>
          </w:tcPr>
          <w:p>
            <w:pPr>
              <w:spacing w:after="0" w:line="175" w:lineRule="exact"/>
              <w:rPr>
                <w:rFonts w:ascii="Arial" w:cs="Arial" w:eastAsia="Arial" w:hAnsi="Arial"/>
                <w:sz w:val="16"/>
                <w:szCs w:val="16"/>
                <w:color w:val="0000EE"/>
              </w:rPr>
            </w:pPr>
            <w:hyperlink w:anchor="page134">
              <w:r>
                <w:rPr>
                  <w:rFonts w:ascii="Arial" w:cs="Arial" w:eastAsia="Arial" w:hAnsi="Arial"/>
                  <w:sz w:val="16"/>
                  <w:szCs w:val="16"/>
                  <w:color w:val="0000EE"/>
                </w:rPr>
                <w:t>Consolidated Statements of Comprehensive Loss</w:t>
              </w:r>
            </w:hyperlink>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F-3</w:t>
            </w:r>
          </w:p>
        </w:tc>
      </w:tr>
      <w:tr>
        <w:trPr>
          <w:trHeight w:val="175"/>
        </w:trPr>
        <w:tc>
          <w:tcPr>
            <w:tcW w:w="3180" w:type="dxa"/>
            <w:vAlign w:val="bottom"/>
            <w:tcBorders>
              <w:top w:val="single" w:sz="8" w:color="0000EE"/>
            </w:tcBorders>
            <w:gridSpan w:val="5"/>
          </w:tcPr>
          <w:p>
            <w:pPr>
              <w:spacing w:after="0" w:line="175" w:lineRule="exact"/>
              <w:rPr>
                <w:rFonts w:ascii="Arial" w:cs="Arial" w:eastAsia="Arial" w:hAnsi="Arial"/>
                <w:sz w:val="16"/>
                <w:szCs w:val="16"/>
                <w:color w:val="0000EE"/>
              </w:rPr>
            </w:pPr>
            <w:hyperlink w:anchor="page135">
              <w:r>
                <w:rPr>
                  <w:rFonts w:ascii="Arial" w:cs="Arial" w:eastAsia="Arial" w:hAnsi="Arial"/>
                  <w:sz w:val="16"/>
                  <w:szCs w:val="16"/>
                  <w:color w:val="0000EE"/>
                </w:rPr>
                <w:t>Statements of Changes in Equity</w:t>
              </w:r>
            </w:hyperlink>
          </w:p>
        </w:tc>
        <w:tc>
          <w:tcPr>
            <w:tcW w:w="7440" w:type="dxa"/>
            <w:vAlign w:val="bottom"/>
            <w:gridSpan w:val="2"/>
          </w:tcPr>
          <w:p>
            <w:pPr>
              <w:spacing w:after="0"/>
              <w:rPr>
                <w:sz w:val="15"/>
                <w:szCs w:val="15"/>
                <w:color w:val="auto"/>
              </w:rPr>
            </w:pP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F-4</w:t>
            </w:r>
          </w:p>
        </w:tc>
      </w:tr>
      <w:tr>
        <w:trPr>
          <w:trHeight w:val="20"/>
        </w:trPr>
        <w:tc>
          <w:tcPr>
            <w:tcW w:w="2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8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75"/>
        </w:trPr>
        <w:tc>
          <w:tcPr>
            <w:tcW w:w="10620" w:type="dxa"/>
            <w:vAlign w:val="bottom"/>
            <w:gridSpan w:val="7"/>
          </w:tcPr>
          <w:p>
            <w:pPr>
              <w:spacing w:after="0" w:line="175" w:lineRule="exact"/>
              <w:rPr>
                <w:rFonts w:ascii="Arial" w:cs="Arial" w:eastAsia="Arial" w:hAnsi="Arial"/>
                <w:sz w:val="16"/>
                <w:szCs w:val="16"/>
                <w:color w:val="0000EE"/>
              </w:rPr>
            </w:pPr>
            <w:hyperlink w:anchor="page136">
              <w:r>
                <w:rPr>
                  <w:rFonts w:ascii="Arial" w:cs="Arial" w:eastAsia="Arial" w:hAnsi="Arial"/>
                  <w:sz w:val="16"/>
                  <w:szCs w:val="16"/>
                  <w:color w:val="0000EE"/>
                </w:rPr>
                <w:t>Consolidated Cash Flow Statements</w:t>
              </w:r>
            </w:hyperlink>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F-5</w:t>
            </w:r>
          </w:p>
        </w:tc>
      </w:tr>
      <w:tr>
        <w:trPr>
          <w:trHeight w:val="175"/>
        </w:trPr>
        <w:tc>
          <w:tcPr>
            <w:tcW w:w="2340" w:type="dxa"/>
            <w:vAlign w:val="bottom"/>
            <w:tcBorders>
              <w:top w:val="single" w:sz="8" w:color="0000EE"/>
            </w:tcBorders>
            <w:gridSpan w:val="3"/>
          </w:tcPr>
          <w:p>
            <w:pPr>
              <w:spacing w:after="0" w:line="175" w:lineRule="exact"/>
              <w:rPr>
                <w:rFonts w:ascii="Arial" w:cs="Arial" w:eastAsia="Arial" w:hAnsi="Arial"/>
                <w:sz w:val="16"/>
                <w:szCs w:val="16"/>
                <w:color w:val="0000EE"/>
                <w:w w:val="96"/>
              </w:rPr>
            </w:pPr>
            <w:hyperlink w:anchor="page138">
              <w:r>
                <w:rPr>
                  <w:rFonts w:ascii="Arial" w:cs="Arial" w:eastAsia="Arial" w:hAnsi="Arial"/>
                  <w:sz w:val="16"/>
                  <w:szCs w:val="16"/>
                  <w:color w:val="0000EE"/>
                  <w:w w:val="96"/>
                </w:rPr>
                <w:t>Notes to the Financial Statements</w:t>
              </w:r>
            </w:hyperlink>
          </w:p>
        </w:tc>
        <w:tc>
          <w:tcPr>
            <w:tcW w:w="8280" w:type="dxa"/>
            <w:vAlign w:val="bottom"/>
            <w:gridSpan w:val="4"/>
          </w:tcPr>
          <w:p>
            <w:pPr>
              <w:spacing w:after="0"/>
              <w:rPr>
                <w:sz w:val="15"/>
                <w:szCs w:val="15"/>
                <w:color w:val="auto"/>
              </w:rPr>
            </w:pP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F-7</w:t>
            </w:r>
          </w:p>
        </w:tc>
      </w:tr>
      <w:tr>
        <w:trPr>
          <w:trHeight w:val="374"/>
        </w:trPr>
        <w:tc>
          <w:tcPr>
            <w:tcW w:w="2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322" w:right="219" w:bottom="1440" w:gutter="0" w:footer="0" w:header="0"/>
        </w:sectPr>
      </w:pPr>
    </w:p>
    <w:bookmarkStart w:id="131" w:name="page132"/>
    <w:bookmarkEnd w:id="131"/>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136650" cy="958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36650" cy="9588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BioLineRx Ltd.</w:t>
      </w:r>
    </w:p>
    <w:p>
      <w:pPr>
        <w:spacing w:after="0" w:line="194" w:lineRule="exact"/>
        <w:rPr>
          <w:sz w:val="20"/>
          <w:szCs w:val="20"/>
          <w:color w:val="auto"/>
        </w:rPr>
      </w:pPr>
    </w:p>
    <w:p>
      <w:pPr>
        <w:jc w:val="both"/>
        <w:spacing w:after="0" w:line="324" w:lineRule="auto"/>
        <w:rPr>
          <w:sz w:val="20"/>
          <w:szCs w:val="20"/>
          <w:color w:val="auto"/>
        </w:rPr>
      </w:pPr>
      <w:r>
        <w:rPr>
          <w:rFonts w:ascii="Arial" w:cs="Arial" w:eastAsia="Arial" w:hAnsi="Arial"/>
          <w:sz w:val="14"/>
          <w:szCs w:val="14"/>
          <w:color w:val="auto"/>
        </w:rPr>
        <w:t>We have audited the accompanying consolidated statements of financial position of BioLineRx Ltd. and its subsidiaries as of December 31, 2016 and 2015 and the related consolidated statements of comprehensive loss, changes in equity and cash flows for each of the three years in the period ended December 31, 2016. These financial statements are the responsibility of the Company’s Board of Directors and management. Our responsibility is to express an opinion on these financial statements based on our audits.</w:t>
      </w:r>
    </w:p>
    <w:p>
      <w:pPr>
        <w:spacing w:after="0" w:line="12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Board of Directors and management, as well as evaluating the overall financial statement presentation. We believe that our audits provide a reasonable basis for our opinion.</w:t>
      </w:r>
    </w:p>
    <w:p>
      <w:pPr>
        <w:spacing w:after="0" w:line="363"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BioLineRx Ltd. and its subsidiaries as of December 31, 2016 and 2015 and their results of operations, and their cash flows for each of the three years in the period ended December 31, 2016, in conformity with International Financial Reporting Standards ("IFRS"), as issued by the International Accounting Standards Board ("IASB").</w:t>
      </w:r>
    </w:p>
    <w:p>
      <w:pPr>
        <w:sectPr>
          <w:pgSz w:w="11900" w:h="16838" w:orient="portrait"/>
          <w:cols w:equalWidth="0" w:num="1">
            <w:col w:w="11440"/>
          </w:cols>
          <w:pgMar w:left="240" w:top="1440" w:right="21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Tel Aviv, Israel</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March 23, 2017</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Accountants (Isr.)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 member firm of PricewaterhouseCoopers International Ltd.</w:t>
      </w:r>
    </w:p>
    <w:p>
      <w:pPr>
        <w:spacing w:after="0" w:line="200" w:lineRule="exact"/>
        <w:rPr>
          <w:sz w:val="20"/>
          <w:szCs w:val="20"/>
          <w:color w:val="auto"/>
        </w:rPr>
      </w:pPr>
    </w:p>
    <w:p>
      <w:pPr>
        <w:sectPr>
          <w:pgSz w:w="11900" w:h="16838" w:orient="portrait"/>
          <w:cols w:equalWidth="0" w:num="2">
            <w:col w:w="2240" w:space="720"/>
            <w:col w:w="8480"/>
          </w:cols>
          <w:pgMar w:left="240" w:top="1440" w:right="219" w:bottom="1440" w:gutter="0" w:footer="0" w:header="0"/>
          <w:type w:val="continuous"/>
        </w:sectPr>
      </w:pPr>
    </w:p>
    <w:p>
      <w:pPr>
        <w:spacing w:after="0" w:line="7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Kesselman &amp; Kesselman, Trade Tower, 25 Hamered Street, Tel-Aviv 6812508,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259955" cy="1314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9955" cy="13144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P.O Box 50oo5 Tel-Aviv 6150001 Telephone: +972 -3- 7954555, Fax:+972 -3- 7954556, www.pwc.com/il</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Kesselman &amp; Kesselman is a member firm of PricewaterhouseCoopers International Limited, each member firm of which is a separate legal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276860</wp:posOffset>
            </wp:positionV>
            <wp:extent cx="725995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type w:val="continuous"/>
        </w:sectPr>
      </w:pPr>
    </w:p>
    <w:bookmarkStart w:id="132" w:name="page133"/>
    <w:bookmarkEnd w:id="132"/>
    <w:p>
      <w:pPr>
        <w:jc w:val="center"/>
        <w:ind w:right="2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FINANCIAL POSITION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Note</w:t>
            </w:r>
          </w:p>
        </w:tc>
        <w:tc>
          <w:tcPr>
            <w:tcW w:w="240" w:type="dxa"/>
            <w:vAlign w:val="bottom"/>
          </w:tcPr>
          <w:p>
            <w:pPr>
              <w:spacing w:after="0"/>
              <w:rPr>
                <w:sz w:val="18"/>
                <w:szCs w:val="18"/>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w w:val="92"/>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USD</w:t>
            </w:r>
          </w:p>
        </w:tc>
        <w:tc>
          <w:tcPr>
            <w:tcW w:w="13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88"/>
              </w:rPr>
              <w:t>thousands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1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5,544</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Short-term bank deposits</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89"/>
              </w:rPr>
              <w:t>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42,119</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33,154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1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Other receivables</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89"/>
              </w:rPr>
              <w:t>15a</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291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48,183</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 ASSETS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Long-term prepaid expenses</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89"/>
              </w:rPr>
              <w:t>15b</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1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89"/>
              </w:rPr>
              <w:t>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non-current assets</w:t>
            </w:r>
          </w:p>
        </w:tc>
        <w:tc>
          <w:tcPr>
            <w:tcW w:w="1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b w:val="1"/>
                <w:bCs w:val="1"/>
                <w:color w:val="auto"/>
              </w:rPr>
              <w:t>Total assets</w:t>
            </w:r>
          </w:p>
        </w:tc>
        <w:tc>
          <w:tcPr>
            <w:tcW w:w="11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51,302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38,939</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5"/>
                <w:szCs w:val="15"/>
                <w:color w:val="auto"/>
              </w:rPr>
            </w:pPr>
          </w:p>
        </w:tc>
        <w:tc>
          <w:tcPr>
            <w:tcW w:w="7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Current maturities of long-term bank loan</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89"/>
              </w:rPr>
              <w:t>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accruals: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Trade</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92"/>
              </w:rPr>
              <w:t>15c</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1,910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1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2"/>
              </w:rPr>
              <w:t>15c</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top w:val="single" w:sz="8" w:color="CCEEFF"/>
            </w:tcBorders>
          </w:tcPr>
          <w:p>
            <w:pPr>
              <w:ind w:left="440"/>
              <w:spacing w:after="0"/>
              <w:rPr>
                <w:sz w:val="20"/>
                <w:szCs w:val="20"/>
                <w:color w:val="auto"/>
              </w:rPr>
            </w:pPr>
            <w:r>
              <w:rPr>
                <w:rFonts w:ascii="Arial" w:cs="Arial" w:eastAsia="Arial" w:hAnsi="Arial"/>
                <w:sz w:val="16"/>
                <w:szCs w:val="16"/>
                <w:color w:val="auto"/>
              </w:rPr>
              <w:t>Total current liabilities</w:t>
            </w: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3,140</w:t>
            </w: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3,661</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Long-term bank loan, net of current maturities</w:t>
            </w:r>
          </w:p>
        </w:tc>
        <w:tc>
          <w:tcPr>
            <w:tcW w:w="11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Warrants</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92"/>
              </w:rPr>
              <w:t>10c</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non-current liabilities</w:t>
            </w:r>
          </w:p>
        </w:tc>
        <w:tc>
          <w:tcPr>
            <w:tcW w:w="1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CONTINGENT LIABILITIES</w:t>
            </w:r>
          </w:p>
        </w:tc>
        <w:tc>
          <w:tcPr>
            <w:tcW w:w="11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auto"/>
              </w:rPr>
              <w:t>Total liabilities</w:t>
            </w:r>
          </w:p>
        </w:tc>
        <w:tc>
          <w:tcPr>
            <w:tcW w:w="11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3,692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160" w:type="dxa"/>
            <w:vAlign w:val="bottom"/>
          </w:tcPr>
          <w:p>
            <w:pPr>
              <w:jc w:val="center"/>
              <w:ind w:left="39"/>
              <w:spacing w:after="0"/>
              <w:rPr>
                <w:sz w:val="20"/>
                <w:szCs w:val="20"/>
                <w:color w:val="auto"/>
              </w:rPr>
            </w:pPr>
            <w:r>
              <w:rPr>
                <w:rFonts w:ascii="Arial" w:cs="Arial" w:eastAsia="Arial" w:hAnsi="Arial"/>
                <w:sz w:val="16"/>
                <w:szCs w:val="16"/>
                <w:color w:val="auto"/>
                <w:w w:val="89"/>
              </w:rPr>
              <w:t>10</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w:t>
            </w:r>
          </w:p>
        </w:tc>
        <w:tc>
          <w:tcPr>
            <w:tcW w:w="1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Share premium</w:t>
            </w:r>
          </w:p>
        </w:tc>
        <w:tc>
          <w:tcPr>
            <w:tcW w:w="116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196,201</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199,567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Capital reserve</w:t>
            </w:r>
          </w:p>
        </w:tc>
        <w:tc>
          <w:tcPr>
            <w:tcW w:w="1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10,735</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160" w:type="dxa"/>
            <w:vAlign w:val="bottom"/>
          </w:tcPr>
          <w:p>
            <w:pPr>
              <w:spacing w:after="0"/>
              <w:rPr>
                <w:sz w:val="16"/>
                <w:szCs w:val="16"/>
                <w:color w:val="auto"/>
              </w:rPr>
            </w:pPr>
          </w:p>
        </w:tc>
        <w:tc>
          <w:tcPr>
            <w:tcW w:w="1580" w:type="dxa"/>
            <w:vAlign w:val="bottom"/>
            <w:gridSpan w:val="3"/>
          </w:tcPr>
          <w:p>
            <w:pPr>
              <w:jc w:val="right"/>
              <w:ind w:right="79"/>
              <w:spacing w:after="0"/>
              <w:rPr>
                <w:sz w:val="20"/>
                <w:szCs w:val="20"/>
                <w:color w:val="auto"/>
              </w:rPr>
            </w:pPr>
            <w:r>
              <w:rPr>
                <w:rFonts w:ascii="Arial" w:cs="Arial" w:eastAsia="Arial" w:hAnsi="Arial"/>
                <w:sz w:val="16"/>
                <w:szCs w:val="16"/>
                <w:color w:val="auto"/>
              </w:rPr>
              <w:t>(1,416)</w:t>
            </w:r>
          </w:p>
        </w:tc>
        <w:tc>
          <w:tcPr>
            <w:tcW w:w="4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(1,416)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(159,365)</w:t>
            </w: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(175,206)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auto"/>
              </w:rPr>
              <w:t>Total equity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47,610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35,027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Total liabilities and equity</w:t>
            </w: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51,302</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COMPREHENSIVE LOSS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Note</w:t>
            </w:r>
          </w:p>
        </w:tc>
        <w:tc>
          <w:tcPr>
            <w:tcW w:w="260" w:type="dxa"/>
            <w:vAlign w:val="bottom"/>
          </w:tcPr>
          <w:p>
            <w:pPr>
              <w:spacing w:after="0"/>
              <w:rPr>
                <w:sz w:val="18"/>
                <w:szCs w:val="18"/>
                <w:color w:val="auto"/>
              </w:rPr>
            </w:pPr>
          </w:p>
        </w:tc>
        <w:tc>
          <w:tcPr>
            <w:tcW w:w="292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2015</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in USD thousands</w:t>
            </w: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gridSpan w:val="3"/>
          </w:tcPr>
          <w:p>
            <w:pPr>
              <w:spacing w:after="0"/>
              <w:rPr>
                <w:sz w:val="16"/>
                <w:szCs w:val="16"/>
                <w:color w:val="auto"/>
              </w:rPr>
            </w:pPr>
          </w:p>
        </w:tc>
        <w:tc>
          <w:tcPr>
            <w:tcW w:w="144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RESEARCH AND DEVELOPMENT EXPENSES</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15d</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(11,866)</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(11,489)</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(11,177)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SALES AND MARKETING EXPENSES</w:t>
            </w:r>
          </w:p>
        </w:tc>
        <w:tc>
          <w:tcPr>
            <w:tcW w:w="1400" w:type="dxa"/>
            <w:vAlign w:val="bottom"/>
          </w:tcPr>
          <w:p>
            <w:pPr>
              <w:jc w:val="center"/>
              <w:spacing w:after="0"/>
              <w:rPr>
                <w:sz w:val="20"/>
                <w:szCs w:val="20"/>
                <w:color w:val="auto"/>
              </w:rPr>
            </w:pPr>
            <w:r>
              <w:rPr>
                <w:rFonts w:ascii="Arial" w:cs="Arial" w:eastAsia="Arial" w:hAnsi="Arial"/>
                <w:sz w:val="16"/>
                <w:szCs w:val="16"/>
                <w:color w:val="auto"/>
                <w:w w:val="82"/>
              </w:rPr>
              <w:t>15e</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(1,589)</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(1,003)</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GENERAL AND ADMINISTRATIVE EXPENSES</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15f</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(3,800)</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(3,704)</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(17,255)</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(16,196)</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(16,513)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NON-OPERATING INCOME, NET</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0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1,445</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FINANCIAL INCOME</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15h</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457</w:t>
            </w:r>
          </w:p>
        </w:tc>
        <w:tc>
          <w:tcPr>
            <w:tcW w:w="26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EXPENSES</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15i</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(448)</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(106)</w:t>
            </w: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(11,076)</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(14,400)</w:t>
            </w:r>
          </w:p>
        </w:tc>
        <w:tc>
          <w:tcPr>
            <w:tcW w:w="2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(15,841)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 -</w:t>
            </w: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00" w:type="dxa"/>
            <w:vAlign w:val="bottom"/>
          </w:tcPr>
          <w:p>
            <w:pPr>
              <w:ind w:left="200"/>
              <w:spacing w:after="0"/>
              <w:rPr>
                <w:sz w:val="20"/>
                <w:szCs w:val="20"/>
                <w:color w:val="auto"/>
              </w:rPr>
            </w:pPr>
            <w:r>
              <w:rPr>
                <w:rFonts w:ascii="Arial" w:cs="Arial" w:eastAsia="Arial" w:hAnsi="Arial"/>
                <w:sz w:val="16"/>
                <w:szCs w:val="16"/>
                <w:b w:val="1"/>
                <w:bCs w:val="1"/>
                <w:color w:val="auto"/>
              </w:rPr>
              <w:t>CURRENCY TRANSLATION DIFFERENCES</w:t>
            </w:r>
          </w:p>
        </w:tc>
        <w:tc>
          <w:tcPr>
            <w:tcW w:w="1400" w:type="dxa"/>
            <w:vAlign w:val="bottom"/>
          </w:tcPr>
          <w:p>
            <w:pPr>
              <w:spacing w:after="0"/>
              <w:rPr>
                <w:sz w:val="17"/>
                <w:szCs w:val="17"/>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(2,834)</w:t>
            </w: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LOSS</w:t>
            </w:r>
          </w:p>
        </w:tc>
        <w:tc>
          <w:tcPr>
            <w:tcW w:w="1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(14,400)</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in USD</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PER ORDINARY SHARE – BASIC AND DILUTED</w:t>
            </w:r>
          </w:p>
        </w:tc>
        <w:tc>
          <w:tcPr>
            <w:tcW w:w="14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12</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(0.34)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60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608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WEIGHTED AVERAGE NUMBER OF SHARES USED IN CALCULATION OF</w:t>
            </w:r>
          </w:p>
        </w:tc>
        <w:tc>
          <w:tcPr>
            <w:tcW w:w="1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LOSS PER ORDINARY SHARE</w:t>
            </w:r>
          </w:p>
        </w:tc>
        <w:tc>
          <w:tcPr>
            <w:tcW w:w="14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12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32,433,883</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51,406,434</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56,144,727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STATEMENTS OF CHANGES IN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Ordinary</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w:t>
            </w:r>
          </w:p>
        </w:tc>
        <w:tc>
          <w:tcPr>
            <w:tcW w:w="13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Capital</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comprehensive</w:t>
            </w:r>
          </w:p>
        </w:tc>
        <w:tc>
          <w:tcPr>
            <w:tcW w:w="13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9"/>
              </w:rPr>
              <w:t>Accumulated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premium</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reserve</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income (loss)</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USD</w:t>
            </w:r>
          </w:p>
        </w:tc>
        <w:tc>
          <w:tcPr>
            <w:tcW w:w="13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w w:val="81"/>
              </w:rPr>
              <w:t>thousands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134,390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(133,889)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b w:val="1"/>
                <w:bCs w:val="1"/>
                <w:color w:val="auto"/>
              </w:rPr>
              <w:t>CHANGES IN 2014:</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Issuance of share capital, net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32,523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32,938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Employee stock options exercised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22</w:t>
            </w:r>
          </w:p>
        </w:tc>
        <w:tc>
          <w:tcPr>
            <w:tcW w:w="1360" w:type="dxa"/>
            <w:vAlign w:val="bottom"/>
            <w:gridSpan w:val="2"/>
          </w:tcPr>
          <w:p>
            <w:pPr>
              <w:jc w:val="right"/>
              <w:ind w:right="79"/>
              <w:spacing w:after="0"/>
              <w:rPr>
                <w:sz w:val="20"/>
                <w:szCs w:val="20"/>
                <w:color w:val="auto"/>
              </w:rPr>
            </w:pPr>
            <w:r>
              <w:rPr>
                <w:rFonts w:ascii="Arial" w:cs="Arial" w:eastAsia="Arial" w:hAnsi="Arial"/>
                <w:sz w:val="16"/>
                <w:szCs w:val="16"/>
                <w:color w:val="auto"/>
              </w:rPr>
              <w:t>(22)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stock options 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396</w:t>
            </w:r>
          </w:p>
        </w:tc>
        <w:tc>
          <w:tcPr>
            <w:tcW w:w="1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1,055</w:t>
            </w: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(2,834)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Comprehensive loss for the year</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(11,076)</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(11,076)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167,331</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(144,965)</w:t>
            </w: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b w:val="1"/>
                <w:bCs w:val="1"/>
                <w:color w:val="auto"/>
              </w:rPr>
              <w:t>CHANGES IN 2015:</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Issuance of share capital, net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28,653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Employee stock options expired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217</w:t>
            </w:r>
          </w:p>
        </w:tc>
        <w:tc>
          <w:tcPr>
            <w:tcW w:w="1360" w:type="dxa"/>
            <w:vAlign w:val="bottom"/>
            <w:gridSpan w:val="2"/>
          </w:tcPr>
          <w:p>
            <w:pPr>
              <w:jc w:val="right"/>
              <w:ind w:right="79"/>
              <w:spacing w:after="0"/>
              <w:rPr>
                <w:sz w:val="20"/>
                <w:szCs w:val="20"/>
                <w:color w:val="auto"/>
              </w:rPr>
            </w:pPr>
            <w:r>
              <w:rPr>
                <w:rFonts w:ascii="Arial" w:cs="Arial" w:eastAsia="Arial" w:hAnsi="Arial"/>
                <w:sz w:val="16"/>
                <w:szCs w:val="16"/>
                <w:color w:val="auto"/>
              </w:rPr>
              <w:t>(217)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Comprehensive loss for the year</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(14,400)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(14,400)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196,201</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10,735</w:t>
            </w: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(159,365)</w:t>
            </w: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47,610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b w:val="1"/>
                <w:bCs w:val="1"/>
                <w:color w:val="auto"/>
              </w:rPr>
              <w:t>CHANGES IN 2016:</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Issuance of share capital, net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2,126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Employee stock options exercised</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171</w:t>
            </w:r>
          </w:p>
        </w:tc>
        <w:tc>
          <w:tcPr>
            <w:tcW w:w="1360" w:type="dxa"/>
            <w:vAlign w:val="bottom"/>
            <w:gridSpan w:val="2"/>
          </w:tcPr>
          <w:p>
            <w:pPr>
              <w:jc w:val="right"/>
              <w:ind w:right="79"/>
              <w:spacing w:after="0"/>
              <w:rPr>
                <w:sz w:val="20"/>
                <w:szCs w:val="20"/>
                <w:color w:val="auto"/>
              </w:rPr>
            </w:pPr>
            <w:r>
              <w:rPr>
                <w:rFonts w:ascii="Arial" w:cs="Arial" w:eastAsia="Arial" w:hAnsi="Arial"/>
                <w:sz w:val="16"/>
                <w:szCs w:val="16"/>
                <w:color w:val="auto"/>
              </w:rPr>
              <w:t>(172)</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stock options 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1,069</w:t>
            </w:r>
          </w:p>
        </w:tc>
        <w:tc>
          <w:tcPr>
            <w:tcW w:w="1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Pr>
          <w:p>
            <w:pPr>
              <w:ind w:left="60"/>
              <w:spacing w:after="0"/>
              <w:rPr>
                <w:sz w:val="20"/>
                <w:szCs w:val="20"/>
                <w:color w:val="auto"/>
              </w:rPr>
            </w:pPr>
            <w:r>
              <w:rPr>
                <w:rFonts w:ascii="Arial" w:cs="Arial" w:eastAsia="Arial" w:hAnsi="Arial"/>
                <w:sz w:val="16"/>
                <w:szCs w:val="16"/>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1,075</w:t>
            </w: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Comprehensive loss for the year</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(15,841)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b w:val="1"/>
                <w:bCs w:val="1"/>
                <w:color w:val="auto"/>
              </w:rPr>
              <w:t>BALANCE AT DECEMBER 31, 2016</w:t>
            </w:r>
          </w:p>
        </w:tc>
        <w:tc>
          <w:tcPr>
            <w:tcW w:w="1160" w:type="dxa"/>
            <w:vAlign w:val="bottom"/>
          </w:tcPr>
          <w:p>
            <w:pPr>
              <w:jc w:val="right"/>
              <w:spacing w:after="0"/>
              <w:rPr>
                <w:sz w:val="20"/>
                <w:szCs w:val="20"/>
                <w:color w:val="auto"/>
              </w:rPr>
            </w:pPr>
            <w:r>
              <w:rPr>
                <w:rFonts w:ascii="Arial" w:cs="Arial" w:eastAsia="Arial" w:hAnsi="Arial"/>
                <w:sz w:val="16"/>
                <w:szCs w:val="16"/>
                <w:color w:val="auto"/>
              </w:rPr>
              <w:t>1,513</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199,567</w:t>
            </w:r>
          </w:p>
        </w:tc>
        <w:tc>
          <w:tcPr>
            <w:tcW w:w="240" w:type="dxa"/>
            <w:vAlign w:val="bottom"/>
          </w:tcPr>
          <w:p>
            <w:pPr>
              <w:spacing w:after="0"/>
              <w:rPr>
                <w:sz w:val="16"/>
                <w:szCs w:val="16"/>
                <w:color w:val="auto"/>
              </w:rPr>
            </w:pPr>
          </w:p>
        </w:tc>
        <w:tc>
          <w:tcPr>
            <w:tcW w:w="1360" w:type="dxa"/>
            <w:vAlign w:val="bottom"/>
            <w:gridSpan w:val="2"/>
          </w:tcPr>
          <w:p>
            <w:pPr>
              <w:jc w:val="right"/>
              <w:ind w:right="139"/>
              <w:spacing w:after="0"/>
              <w:rPr>
                <w:sz w:val="20"/>
                <w:szCs w:val="20"/>
                <w:color w:val="auto"/>
              </w:rPr>
            </w:pPr>
            <w:r>
              <w:rPr>
                <w:rFonts w:ascii="Arial" w:cs="Arial" w:eastAsia="Arial" w:hAnsi="Arial"/>
                <w:sz w:val="16"/>
                <w:szCs w:val="16"/>
                <w:color w:val="auto"/>
              </w:rPr>
              <w:t>10,569</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(1,416)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(175,206)</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35,027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CASH FLOW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980" w:type="dxa"/>
            <w:vAlign w:val="bottom"/>
            <w:tcBorders>
              <w:bottom w:val="single" w:sz="8" w:color="auto"/>
            </w:tcBorders>
            <w:gridSpan w:val="6"/>
          </w:tcPr>
          <w:p>
            <w:pPr>
              <w:jc w:val="center"/>
              <w:ind w:left="819"/>
              <w:spacing w:after="0"/>
              <w:rPr>
                <w:sz w:val="20"/>
                <w:szCs w:val="20"/>
                <w:color w:val="auto"/>
              </w:rPr>
            </w:pPr>
            <w:r>
              <w:rPr>
                <w:rFonts w:ascii="Arial" w:cs="Arial" w:eastAsia="Arial" w:hAnsi="Arial"/>
                <w:sz w:val="16"/>
                <w:szCs w:val="16"/>
                <w:b w:val="1"/>
                <w:bCs w:val="1"/>
                <w:color w:val="auto"/>
                <w:w w:val="90"/>
              </w:rPr>
              <w:t>Year ended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in USD thousands</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 OPERATING ACTIVITIES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(11,076)</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(14,400)</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(15,841)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required to reflect net cash used in operating activities (see appendix below)</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(4,674)</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232</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Net cash used in operating activities</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(15,750)</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(14,168)</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(14,513)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CASH FLOWS - INVESTING ACTIVITIES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Investments in short-term deposits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(57,186)</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(63,130)</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(32,982)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180"/>
              <w:spacing w:after="0"/>
              <w:rPr>
                <w:sz w:val="20"/>
                <w:szCs w:val="20"/>
                <w:color w:val="auto"/>
              </w:rPr>
            </w:pPr>
            <w:r>
              <w:rPr>
                <w:rFonts w:ascii="Arial" w:cs="Arial" w:eastAsia="Arial" w:hAnsi="Arial"/>
                <w:sz w:val="16"/>
                <w:szCs w:val="16"/>
                <w:color w:val="auto"/>
              </w:rPr>
              <w:t>Maturities of short-term deposits</w:t>
            </w:r>
          </w:p>
        </w:tc>
        <w:tc>
          <w:tcPr>
            <w:tcW w:w="1160" w:type="dxa"/>
            <w:vAlign w:val="bottom"/>
          </w:tcPr>
          <w:p>
            <w:pPr>
              <w:jc w:val="right"/>
              <w:spacing w:after="0"/>
              <w:rPr>
                <w:sz w:val="20"/>
                <w:szCs w:val="20"/>
                <w:color w:val="auto"/>
              </w:rPr>
            </w:pPr>
            <w:r>
              <w:rPr>
                <w:rFonts w:ascii="Arial" w:cs="Arial" w:eastAsia="Arial" w:hAnsi="Arial"/>
                <w:sz w:val="16"/>
                <w:szCs w:val="16"/>
                <w:color w:val="auto"/>
              </w:rPr>
              <w:t>37,650</w:t>
            </w:r>
          </w:p>
        </w:tc>
        <w:tc>
          <w:tcPr>
            <w:tcW w:w="100" w:type="dxa"/>
            <w:vAlign w:val="bottom"/>
          </w:tcPr>
          <w:p>
            <w:pPr>
              <w:spacing w:after="0"/>
              <w:rPr>
                <w:sz w:val="16"/>
                <w:szCs w:val="16"/>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50,083</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42,334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Maturities of restricted deposits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Purchase of property and equipment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(187)</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(2,683)</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 of intangible assets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Net cash provided by (used in) investing activities</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(19,729)</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(15,600)</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CASH FLOWS - FINANCING ACTIVITIES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share capital and warrants, net of issuance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32,635</w:t>
            </w:r>
          </w:p>
        </w:tc>
        <w:tc>
          <w:tcPr>
            <w:tcW w:w="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29,053</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180"/>
              <w:spacing w:after="0"/>
              <w:rPr>
                <w:sz w:val="20"/>
                <w:szCs w:val="20"/>
                <w:color w:val="auto"/>
              </w:rPr>
            </w:pPr>
            <w:r>
              <w:rPr>
                <w:rFonts w:ascii="Arial" w:cs="Arial" w:eastAsia="Arial" w:hAnsi="Arial"/>
                <w:sz w:val="16"/>
                <w:szCs w:val="16"/>
                <w:color w:val="auto"/>
              </w:rPr>
              <w:t>Proceeds of bank loan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467</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bank loan</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1160" w:type="dxa"/>
            <w:vAlign w:val="bottom"/>
          </w:tcPr>
          <w:p>
            <w:pPr>
              <w:jc w:val="right"/>
              <w:spacing w:after="0"/>
              <w:rPr>
                <w:sz w:val="20"/>
                <w:szCs w:val="20"/>
                <w:color w:val="auto"/>
              </w:rPr>
            </w:pPr>
            <w:r>
              <w:rPr>
                <w:rFonts w:ascii="Arial" w:cs="Arial" w:eastAsia="Arial" w:hAnsi="Arial"/>
                <w:sz w:val="16"/>
                <w:szCs w:val="16"/>
                <w:color w:val="auto"/>
              </w:rPr>
              <w:t>32,635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29,489</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(2,844)</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(279)</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 BEGINNING OF YEAR</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8,899</w:t>
            </w:r>
          </w:p>
        </w:tc>
        <w:tc>
          <w:tcPr>
            <w:tcW w:w="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5,790</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EXCHANGE DIFFERENCES ON CASH AND CASH EQUIVALENTS</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(265)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 END OF YEAR</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6" w:name="page137"/>
    <w:bookmarkEnd w:id="136"/>
    <w:p>
      <w:pPr>
        <w:jc w:val="center"/>
        <w:ind w:right="2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CASH FLOW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980" w:type="dxa"/>
            <w:vAlign w:val="bottom"/>
            <w:tcBorders>
              <w:bottom w:val="single" w:sz="8" w:color="auto"/>
            </w:tcBorders>
            <w:gridSpan w:val="6"/>
          </w:tcPr>
          <w:p>
            <w:pPr>
              <w:ind w:left="1060"/>
              <w:spacing w:after="0"/>
              <w:rPr>
                <w:sz w:val="20"/>
                <w:szCs w:val="20"/>
                <w:color w:val="auto"/>
              </w:rPr>
            </w:pPr>
            <w:r>
              <w:rPr>
                <w:rFonts w:ascii="Arial" w:cs="Arial" w:eastAsia="Arial" w:hAnsi="Arial"/>
                <w:sz w:val="16"/>
                <w:szCs w:val="16"/>
                <w:b w:val="1"/>
                <w:bCs w:val="1"/>
                <w:color w:val="auto"/>
                <w:w w:val="97"/>
              </w:rPr>
              <w:t>Year ended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in USD thousands</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APPENDIX</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Adjustments required to reflect net cash used in operating activities: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200"/>
              <w:spacing w:after="0"/>
              <w:rPr>
                <w:sz w:val="20"/>
                <w:szCs w:val="20"/>
                <w:color w:val="auto"/>
              </w:rPr>
            </w:pPr>
            <w:r>
              <w:rPr>
                <w:rFonts w:ascii="Arial" w:cs="Arial" w:eastAsia="Arial" w:hAnsi="Arial"/>
                <w:sz w:val="16"/>
                <w:szCs w:val="16"/>
                <w:b w:val="1"/>
                <w:bCs w:val="1"/>
                <w:color w:val="auto"/>
              </w:rPr>
              <w:t>Income and expenses not involving cash flows: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441</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340"/>
              <w:spacing w:after="0"/>
              <w:rPr>
                <w:sz w:val="20"/>
                <w:szCs w:val="20"/>
                <w:color w:val="auto"/>
              </w:rPr>
            </w:pPr>
            <w:r>
              <w:rPr>
                <w:rFonts w:ascii="Arial" w:cs="Arial" w:eastAsia="Arial" w:hAnsi="Arial"/>
                <w:sz w:val="16"/>
                <w:szCs w:val="16"/>
                <w:color w:val="auto"/>
              </w:rPr>
              <w:t>Write-off of intangible assets</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105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Retirement benefit obligations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340"/>
              <w:spacing w:after="0"/>
              <w:rPr>
                <w:sz w:val="20"/>
                <w:szCs w:val="20"/>
                <w:color w:val="auto"/>
              </w:rPr>
            </w:pPr>
            <w:r>
              <w:rPr>
                <w:rFonts w:ascii="Arial" w:cs="Arial" w:eastAsia="Arial" w:hAnsi="Arial"/>
                <w:sz w:val="16"/>
                <w:szCs w:val="16"/>
                <w:color w:val="auto"/>
              </w:rPr>
              <w:t>Long-term prepaid expenses</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Exchange differences on cash and cash equivalents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(261)</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340"/>
              <w:spacing w:after="0"/>
              <w:rPr>
                <w:sz w:val="20"/>
                <w:szCs w:val="20"/>
                <w:color w:val="auto"/>
              </w:rPr>
            </w:pPr>
            <w:r>
              <w:rPr>
                <w:rFonts w:ascii="Arial" w:cs="Arial" w:eastAsia="Arial" w:hAnsi="Arial"/>
                <w:sz w:val="16"/>
                <w:szCs w:val="16"/>
                <w:color w:val="auto"/>
              </w:rPr>
              <w:t>Gain on adjustment of warrants to fair value</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(3,454)</w:t>
            </w:r>
          </w:p>
        </w:tc>
        <w:tc>
          <w:tcPr>
            <w:tcW w:w="1480" w:type="dxa"/>
            <w:vAlign w:val="bottom"/>
            <w:gridSpan w:val="3"/>
          </w:tcPr>
          <w:p>
            <w:pPr>
              <w:jc w:val="right"/>
              <w:ind w:right="160"/>
              <w:spacing w:after="0"/>
              <w:rPr>
                <w:sz w:val="20"/>
                <w:szCs w:val="20"/>
                <w:color w:val="auto"/>
              </w:rPr>
            </w:pPr>
            <w:r>
              <w:rPr>
                <w:rFonts w:ascii="Arial" w:cs="Arial" w:eastAsia="Arial" w:hAnsi="Arial"/>
                <w:sz w:val="16"/>
                <w:szCs w:val="16"/>
                <w:color w:val="auto"/>
              </w:rPr>
              <w:t>(1,292)</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Commitment fee paid by issuance of share capital</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6"/>
                <w:szCs w:val="16"/>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1,152</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exchange differences on short-term deposits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(2,787)</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(182)</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340"/>
              <w:spacing w:after="0"/>
              <w:rPr>
                <w:sz w:val="20"/>
                <w:szCs w:val="20"/>
                <w:color w:val="auto"/>
              </w:rPr>
            </w:pPr>
            <w:r>
              <w:rPr>
                <w:rFonts w:ascii="Arial" w:cs="Arial" w:eastAsia="Arial" w:hAnsi="Arial"/>
                <w:sz w:val="16"/>
                <w:szCs w:val="16"/>
                <w:color w:val="auto"/>
              </w:rPr>
              <w:t>Interest and linkage differences on bank loan</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exchange differences on restricted deposits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(4,838)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200"/>
              <w:spacing w:after="0"/>
              <w:rPr>
                <w:sz w:val="20"/>
                <w:szCs w:val="20"/>
                <w:color w:val="auto"/>
              </w:rPr>
            </w:pPr>
            <w:r>
              <w:rPr>
                <w:rFonts w:ascii="Arial" w:cs="Arial" w:eastAsia="Arial" w:hAnsi="Arial"/>
                <w:sz w:val="16"/>
                <w:szCs w:val="16"/>
                <w:b w:val="1"/>
                <w:bCs w:val="1"/>
                <w:color w:val="auto"/>
              </w:rPr>
              <w:t>Changes in operating asset and liability items: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(increase) in prepaid expenses and other receivables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ind w:left="340"/>
              <w:spacing w:after="0"/>
              <w:rPr>
                <w:sz w:val="20"/>
                <w:szCs w:val="20"/>
                <w:color w:val="auto"/>
              </w:rPr>
            </w:pPr>
            <w:r>
              <w:rPr>
                <w:rFonts w:ascii="Arial" w:cs="Arial" w:eastAsia="Arial" w:hAnsi="Arial"/>
                <w:sz w:val="16"/>
                <w:szCs w:val="16"/>
                <w:color w:val="auto"/>
              </w:rPr>
              <w:t>Increase in accounts payable and accruals</w:t>
            </w: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6"/>
                <w:szCs w:val="16"/>
                <w:color w:val="auto"/>
              </w:rPr>
              <w:t>196</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48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(4,674)</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232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742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Supplementary information on investing and financing activities not involving cash flows:</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ind w:left="200"/>
              <w:spacing w:after="0"/>
              <w:rPr>
                <w:sz w:val="20"/>
                <w:szCs w:val="20"/>
                <w:color w:val="auto"/>
              </w:rPr>
            </w:pPr>
            <w:r>
              <w:rPr>
                <w:rFonts w:ascii="Arial" w:cs="Arial" w:eastAsia="Arial" w:hAnsi="Arial"/>
                <w:sz w:val="16"/>
                <w:szCs w:val="16"/>
                <w:color w:val="auto"/>
              </w:rPr>
              <w:t>Credit received in connection with purchase of property and equipment and intangible assets</w:t>
            </w:r>
          </w:p>
        </w:tc>
        <w:tc>
          <w:tcPr>
            <w:tcW w:w="11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restart"/>
          </w:tcPr>
          <w:p>
            <w:pPr>
              <w:spacing w:after="0"/>
              <w:rPr>
                <w:sz w:val="15"/>
                <w:szCs w:val="15"/>
                <w:color w:val="auto"/>
              </w:rPr>
            </w:pPr>
          </w:p>
        </w:tc>
        <w:tc>
          <w:tcPr>
            <w:tcW w:w="7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Supplementary information on interest received in cash</w:t>
            </w: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173</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gridSpan w:val="3"/>
          </w:tcPr>
          <w:p>
            <w:pPr>
              <w:ind w:left="3360"/>
              <w:spacing w:after="0"/>
              <w:rPr>
                <w:sz w:val="20"/>
                <w:szCs w:val="20"/>
                <w:color w:val="auto"/>
              </w:rPr>
            </w:pPr>
            <w:r>
              <w:rPr>
                <w:rFonts w:ascii="Arial" w:cs="Arial" w:eastAsia="Arial" w:hAnsi="Arial"/>
                <w:sz w:val="16"/>
                <w:szCs w:val="16"/>
                <w:color w:val="auto"/>
              </w:rPr>
              <w:t>The accompanying notes are an integral part of the financial statements.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7420" w:type="dxa"/>
            <w:vAlign w:val="bottom"/>
          </w:tcPr>
          <w:p>
            <w:pPr>
              <w:ind w:left="5540"/>
              <w:spacing w:after="0"/>
              <w:rPr>
                <w:sz w:val="20"/>
                <w:szCs w:val="20"/>
                <w:color w:val="auto"/>
              </w:rPr>
            </w:pPr>
            <w:r>
              <w:rPr>
                <w:rFonts w:ascii="Arial" w:cs="Arial" w:eastAsia="Arial" w:hAnsi="Arial"/>
                <w:sz w:val="16"/>
                <w:szCs w:val="16"/>
                <w:color w:val="auto"/>
              </w:rPr>
              <w:t>F - 6</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70" w:right="2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NOTE 1 – GENERAL INFORMATION</w:t>
      </w:r>
    </w:p>
    <w:p>
      <w:pPr>
        <w:spacing w:after="0" w:line="202" w:lineRule="exact"/>
        <w:rPr>
          <w:sz w:val="20"/>
          <w:szCs w:val="20"/>
          <w:color w:val="auto"/>
        </w:rPr>
      </w:pPr>
    </w:p>
    <w:p>
      <w:pPr>
        <w:ind w:left="1140" w:hanging="339"/>
        <w:spacing w:after="0"/>
        <w:tabs>
          <w:tab w:leader="none" w:pos="114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09"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BioLineRx Ltd. (“BioLineRx”), headquartered in Modi’in, Israel, was incorporated and commenced operations in April 2003.</w:t>
      </w:r>
    </w:p>
    <w:p>
      <w:pPr>
        <w:spacing w:after="0" w:line="205" w:lineRule="exact"/>
        <w:rPr>
          <w:rFonts w:ascii="Arial" w:cs="Arial" w:eastAsia="Arial" w:hAnsi="Arial"/>
          <w:sz w:val="16"/>
          <w:szCs w:val="16"/>
          <w:b w:val="1"/>
          <w:bCs w:val="1"/>
          <w:color w:val="auto"/>
        </w:rPr>
      </w:pPr>
    </w:p>
    <w:p>
      <w:pPr>
        <w:ind w:left="1140" w:right="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Since incorporation, BioLineRx and its subsidiaries (collectively, the “Company”) have been engaged in the development of therapeutics, from pre-clinical development to advanced clinical trials, for a wide range of medical needs.</w:t>
      </w:r>
    </w:p>
    <w:p>
      <w:pPr>
        <w:spacing w:after="0" w:line="150" w:lineRule="exact"/>
        <w:rPr>
          <w:rFonts w:ascii="Arial" w:cs="Arial" w:eastAsia="Arial" w:hAnsi="Arial"/>
          <w:sz w:val="16"/>
          <w:szCs w:val="16"/>
          <w:b w:val="1"/>
          <w:bCs w:val="1"/>
          <w:color w:val="auto"/>
        </w:rPr>
      </w:pPr>
    </w:p>
    <w:p>
      <w:pPr>
        <w:ind w:left="1140" w:right="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In February 2007, BioLineRx listed its ordinary shares on the Tel Aviv Stock Exchange (“TASE”) and they have been traded on the TASE since that time. Since July 2011, BioLineRx’s American Depositary Shares (“ADSs”) have also been traded on the NASDAQ Capital Market.</w:t>
      </w:r>
    </w:p>
    <w:p>
      <w:pPr>
        <w:spacing w:after="0" w:line="150" w:lineRule="exact"/>
        <w:rPr>
          <w:rFonts w:ascii="Arial" w:cs="Arial" w:eastAsia="Arial" w:hAnsi="Arial"/>
          <w:sz w:val="16"/>
          <w:szCs w:val="16"/>
          <w:b w:val="1"/>
          <w:bCs w:val="1"/>
          <w:color w:val="auto"/>
        </w:rPr>
      </w:pPr>
    </w:p>
    <w:p>
      <w:pPr>
        <w:ind w:left="1140" w:right="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In March 2017, the Company acquired Agalimmune Ltd. (“Agalimmune”), a privately-held company incorporated in the United Kingdom, with a focus on the field of immuno-oncology. See Note 18.</w:t>
      </w:r>
    </w:p>
    <w:p>
      <w:pPr>
        <w:spacing w:after="0" w:line="151" w:lineRule="exact"/>
        <w:rPr>
          <w:sz w:val="20"/>
          <w:szCs w:val="20"/>
          <w:color w:val="auto"/>
        </w:rPr>
      </w:pPr>
    </w:p>
    <w:p>
      <w:pPr>
        <w:ind w:left="1140" w:right="20" w:firstLine="18"/>
        <w:spacing w:after="0" w:line="318" w:lineRule="auto"/>
        <w:rPr>
          <w:sz w:val="20"/>
          <w:szCs w:val="20"/>
          <w:color w:val="auto"/>
        </w:rPr>
      </w:pPr>
      <w:r>
        <w:rPr>
          <w:rFonts w:ascii="Arial" w:cs="Arial" w:eastAsia="Arial" w:hAnsi="Arial"/>
          <w:sz w:val="15"/>
          <w:szCs w:val="15"/>
          <w:color w:val="auto"/>
        </w:rPr>
        <w:t>The Company has been engaged in drug development since its incorporation. Although the Company has generated significant revenues from a number of out-licensing transactions in the past, the Company cannot determine with reasonable certainty when and if it will have sustainable profits.</w:t>
      </w:r>
    </w:p>
    <w:p>
      <w:pPr>
        <w:spacing w:after="0" w:line="123" w:lineRule="exact"/>
        <w:rPr>
          <w:sz w:val="20"/>
          <w:szCs w:val="20"/>
          <w:color w:val="auto"/>
        </w:rPr>
      </w:pPr>
    </w:p>
    <w:p>
      <w:pPr>
        <w:ind w:left="1140" w:hanging="315"/>
        <w:spacing w:after="0"/>
        <w:tabs>
          <w:tab w:leader="none" w:pos="114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Approval of consolidated financial statements</w:t>
      </w:r>
    </w:p>
    <w:p>
      <w:pPr>
        <w:spacing w:after="0" w:line="209" w:lineRule="exact"/>
        <w:rPr>
          <w:rFonts w:ascii="Arial" w:cs="Arial" w:eastAsia="Arial" w:hAnsi="Arial"/>
          <w:sz w:val="16"/>
          <w:szCs w:val="16"/>
          <w:b w:val="1"/>
          <w:bCs w:val="1"/>
          <w:color w:val="auto"/>
        </w:rPr>
      </w:pPr>
    </w:p>
    <w:p>
      <w:pPr>
        <w:ind w:left="1140" w:right="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of the Company for the year ended December 31, 2016 were approved by the Board of Directors on March 20, 2017, and signed on its behalf by the Chairman of the Board, the Chief Executive Officer and the Chief Financial Officer.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NOTE 2 – SIGNIFICANT ACCOUNTING POLICIES</w:t>
      </w:r>
    </w:p>
    <w:p>
      <w:pPr>
        <w:spacing w:after="0" w:line="202" w:lineRule="exact"/>
        <w:rPr>
          <w:sz w:val="20"/>
          <w:szCs w:val="20"/>
          <w:color w:val="auto"/>
        </w:rPr>
      </w:pPr>
    </w:p>
    <w:p>
      <w:pPr>
        <w:ind w:left="1140" w:hanging="339"/>
        <w:spacing w:after="0"/>
        <w:tabs>
          <w:tab w:leader="none" w:pos="114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209" w:lineRule="exact"/>
        <w:rPr>
          <w:rFonts w:ascii="Arial" w:cs="Arial" w:eastAsia="Arial" w:hAnsi="Arial"/>
          <w:sz w:val="16"/>
          <w:szCs w:val="16"/>
          <w:b w:val="1"/>
          <w:bCs w:val="1"/>
          <w:color w:val="auto"/>
        </w:rPr>
      </w:pPr>
    </w:p>
    <w:p>
      <w:pPr>
        <w:jc w:val="both"/>
        <w:ind w:left="1140" w:right="20"/>
        <w:spacing w:after="0" w:line="324" w:lineRule="auto"/>
        <w:rPr>
          <w:rFonts w:ascii="Arial" w:cs="Arial" w:eastAsia="Arial" w:hAnsi="Arial"/>
          <w:sz w:val="16"/>
          <w:szCs w:val="16"/>
          <w:b w:val="1"/>
          <w:bCs w:val="1"/>
          <w:color w:val="auto"/>
        </w:rPr>
      </w:pPr>
      <w:r>
        <w:rPr>
          <w:rFonts w:ascii="Arial" w:cs="Arial" w:eastAsia="Arial" w:hAnsi="Arial"/>
          <w:sz w:val="14"/>
          <w:szCs w:val="14"/>
          <w:color w:val="auto"/>
        </w:rPr>
        <w:t>The Company’s consolidated financial statements as of December 31, 2016 and 2015, and for each of the three years in the period ended December 31, 2016, have been prepared in accordance with International Financial Reporting Standards (“IFRS”), as issued by the International Accounting Standards Board (“IASB”). The significant accounting policies described below have been applied on a consistent basis for all years presented, unless noted otherwise.</w:t>
      </w:r>
    </w:p>
    <w:p>
      <w:pPr>
        <w:spacing w:after="0" w:line="127"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have been prepared on the basis of historical cost, subject to adjustment of financial assets and liabilities to their fair value through profit or loss.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370" w:right="21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NOTE 2 – SIGNIFICANT ACCOUNTING POLICIES (cont.)</w:t>
      </w:r>
    </w:p>
    <w:p>
      <w:pPr>
        <w:spacing w:after="0" w:line="202" w:lineRule="exact"/>
        <w:rPr>
          <w:sz w:val="20"/>
          <w:szCs w:val="20"/>
          <w:color w:val="auto"/>
        </w:rPr>
      </w:pPr>
    </w:p>
    <w:p>
      <w:pPr>
        <w:ind w:left="1140" w:hanging="339"/>
        <w:spacing w:after="0"/>
        <w:tabs>
          <w:tab w:leader="none" w:pos="11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(cont.)</w:t>
      </w:r>
    </w:p>
    <w:p>
      <w:pPr>
        <w:spacing w:after="0" w:line="209"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The Company classifies its expenses on the statement of comprehensive loss based on the operating characteristics of such expenses.</w:t>
      </w:r>
    </w:p>
    <w:p>
      <w:pPr>
        <w:spacing w:after="0" w:line="205" w:lineRule="exact"/>
        <w:rPr>
          <w:rFonts w:ascii="Arial" w:cs="Arial" w:eastAsia="Arial" w:hAnsi="Arial"/>
          <w:sz w:val="16"/>
          <w:szCs w:val="16"/>
          <w:b w:val="1"/>
          <w:bCs w:val="1"/>
          <w:color w:val="auto"/>
        </w:rPr>
      </w:pPr>
    </w:p>
    <w:p>
      <w:pPr>
        <w:jc w:val="both"/>
        <w:ind w:left="1140" w:right="20"/>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The preparation of financial statements in conformity with IFRS requires the use of certain critical accounting estimates. It also requires management to exercise its judgment in the process of applying the Company’s accounting policies. Areas involving a higher degree of judgment or complexity, or areas where assumptions and estimates are significant to the consolidated financial statements are disclosed in Note 4. Actual results may differ materially from estimates and assumptions used by the Company’s management.</w:t>
      </w:r>
    </w:p>
    <w:p>
      <w:pPr>
        <w:spacing w:after="0" w:line="163" w:lineRule="exact"/>
        <w:rPr>
          <w:rFonts w:ascii="Arial" w:cs="Arial" w:eastAsia="Arial" w:hAnsi="Arial"/>
          <w:sz w:val="16"/>
          <w:szCs w:val="16"/>
          <w:b w:val="1"/>
          <w:bCs w:val="1"/>
          <w:color w:val="auto"/>
        </w:rPr>
      </w:pPr>
    </w:p>
    <w:p>
      <w:pPr>
        <w:ind w:left="1140" w:hanging="339"/>
        <w:spacing w:after="0"/>
        <w:tabs>
          <w:tab w:leader="none" w:pos="11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Consolidation of the financial statements</w:t>
      </w:r>
    </w:p>
    <w:p>
      <w:pPr>
        <w:spacing w:after="0" w:line="209" w:lineRule="exact"/>
        <w:rPr>
          <w:rFonts w:ascii="Arial" w:cs="Arial" w:eastAsia="Arial" w:hAnsi="Arial"/>
          <w:sz w:val="16"/>
          <w:szCs w:val="16"/>
          <w:b w:val="1"/>
          <w:bCs w:val="1"/>
          <w:color w:val="auto"/>
        </w:rPr>
      </w:pPr>
    </w:p>
    <w:p>
      <w:pPr>
        <w:jc w:val="both"/>
        <w:ind w:left="1140" w:right="20"/>
        <w:spacing w:after="0" w:line="294" w:lineRule="auto"/>
        <w:rPr>
          <w:rFonts w:ascii="Arial" w:cs="Arial" w:eastAsia="Arial" w:hAnsi="Arial"/>
          <w:sz w:val="16"/>
          <w:szCs w:val="16"/>
          <w:b w:val="1"/>
          <w:bCs w:val="1"/>
          <w:color w:val="auto"/>
        </w:rPr>
      </w:pPr>
      <w:r>
        <w:rPr>
          <w:rFonts w:ascii="Arial" w:cs="Arial" w:eastAsia="Arial" w:hAnsi="Arial"/>
          <w:sz w:val="15"/>
          <w:szCs w:val="15"/>
          <w:color w:val="auto"/>
        </w:rPr>
        <w:t>Consolidated entities are all entities over which BioLineRx has control. BioLineRx controls an entity when it is exposed to, or has rights to, variable returns from its involvement with the entity and has the ability to affect those returns through its power over the entity. Consolidated entities are fully consolidated from the date on which control of such entities is transferred to BioLineRx and they are de-consolidated from the date that control ceases.</w:t>
      </w:r>
    </w:p>
    <w:p>
      <w:pPr>
        <w:spacing w:after="0" w:line="141" w:lineRule="exact"/>
        <w:rPr>
          <w:rFonts w:ascii="Arial" w:cs="Arial" w:eastAsia="Arial" w:hAnsi="Arial"/>
          <w:sz w:val="16"/>
          <w:szCs w:val="16"/>
          <w:b w:val="1"/>
          <w:bCs w:val="1"/>
          <w:color w:val="auto"/>
        </w:rPr>
      </w:pPr>
    </w:p>
    <w:p>
      <w:pPr>
        <w:ind w:left="1140" w:hanging="339"/>
        <w:spacing w:after="0"/>
        <w:tabs>
          <w:tab w:leader="none" w:pos="11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Functional and reporting currency</w:t>
      </w:r>
    </w:p>
    <w:p>
      <w:pPr>
        <w:spacing w:after="0" w:line="209" w:lineRule="exact"/>
        <w:rPr>
          <w:rFonts w:ascii="Arial" w:cs="Arial" w:eastAsia="Arial" w:hAnsi="Arial"/>
          <w:sz w:val="16"/>
          <w:szCs w:val="16"/>
          <w:b w:val="1"/>
          <w:bCs w:val="1"/>
          <w:color w:val="auto"/>
        </w:rPr>
      </w:pPr>
    </w:p>
    <w:p>
      <w:pPr>
        <w:jc w:val="both"/>
        <w:ind w:left="1140" w:right="20"/>
        <w:spacing w:after="0" w:line="294" w:lineRule="auto"/>
        <w:rPr>
          <w:rFonts w:ascii="Arial" w:cs="Arial" w:eastAsia="Arial" w:hAnsi="Arial"/>
          <w:sz w:val="16"/>
          <w:szCs w:val="16"/>
          <w:b w:val="1"/>
          <w:bCs w:val="1"/>
          <w:color w:val="auto"/>
        </w:rPr>
      </w:pPr>
      <w:r>
        <w:rPr>
          <w:rFonts w:ascii="Arial" w:cs="Arial" w:eastAsia="Arial" w:hAnsi="Arial"/>
          <w:sz w:val="15"/>
          <w:szCs w:val="15"/>
          <w:color w:val="auto"/>
        </w:rPr>
        <w:t>Effective January 1, 2015, the Company changed its functional currency to the U.S. dollar (“dollar”, “USD” or “$”) from the New Israeli Shekel (“NIS”). This change was based on an assessment by Company management that the dollar is the primary currency of the economic environment in which the Company operates. Accordingly, the functional and reporting currency of the Company in these financial statements is the U.S. dollar.</w:t>
      </w:r>
    </w:p>
    <w:p>
      <w:pPr>
        <w:spacing w:after="0" w:line="145" w:lineRule="exact"/>
        <w:rPr>
          <w:rFonts w:ascii="Arial" w:cs="Arial" w:eastAsia="Arial" w:hAnsi="Arial"/>
          <w:sz w:val="16"/>
          <w:szCs w:val="16"/>
          <w:b w:val="1"/>
          <w:bCs w:val="1"/>
          <w:color w:val="auto"/>
        </w:rPr>
      </w:pPr>
    </w:p>
    <w:p>
      <w:pPr>
        <w:jc w:val="both"/>
        <w:ind w:left="1140"/>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In effecting the change in functional currency to the dollar, as of January 1, 2015, all assets and liabilities of the Company were translated using the current rate method, using the dollar exchange rate as of December 31, 2014, and equity was translated using historical exchange rates at the relevant transaction dates. The resulting amounts translated into dollars for non-monetary items have been treated as their historical cost. Translation differences resulting from the change in functional currency have been reported as a component of shareholders' equity.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SIGNIFICANT ACCOUNTING POLICIES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Property and equipment</w:t>
      </w:r>
    </w:p>
    <w:p>
      <w:pPr>
        <w:spacing w:after="0" w:line="209" w:lineRule="exact"/>
        <w:rPr>
          <w:rFonts w:ascii="Arial" w:cs="Arial" w:eastAsia="Arial" w:hAnsi="Arial"/>
          <w:sz w:val="16"/>
          <w:szCs w:val="16"/>
          <w:b w:val="1"/>
          <w:bCs w:val="1"/>
          <w:color w:val="auto"/>
        </w:rPr>
      </w:pPr>
    </w:p>
    <w:p>
      <w:pPr>
        <w:jc w:val="both"/>
        <w:ind w:left="114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Property and equipment are stated at historical cost less depreciation. Historical cost includes expenditures that are directly attributable to the acquisition of the items. Assets are depreciated by the straight-line method over the estimated useful lives of the assets, provided that the Company’s management believes the residual values of the assets to be negligible,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224"/>
        </w:trPr>
        <w:tc>
          <w:tcPr>
            <w:tcW w:w="65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w:t>
            </w: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Computers and communications equipment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20-33</w:t>
            </w:r>
          </w:p>
        </w:tc>
      </w:tr>
      <w:tr>
        <w:trPr>
          <w:trHeight w:val="195"/>
        </w:trPr>
        <w:tc>
          <w:tcPr>
            <w:tcW w:w="654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6-15</w:t>
            </w: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15-20</w:t>
            </w:r>
          </w:p>
        </w:tc>
      </w:tr>
    </w:tbl>
    <w:p>
      <w:pPr>
        <w:spacing w:after="0" w:line="182" w:lineRule="exact"/>
        <w:rPr>
          <w:sz w:val="20"/>
          <w:szCs w:val="20"/>
          <w:color w:val="auto"/>
        </w:rPr>
      </w:pPr>
    </w:p>
    <w:p>
      <w:pPr>
        <w:ind w:left="1140"/>
        <w:spacing w:after="0" w:line="318" w:lineRule="auto"/>
        <w:rPr>
          <w:sz w:val="20"/>
          <w:szCs w:val="20"/>
          <w:color w:val="auto"/>
        </w:rPr>
      </w:pPr>
      <w:r>
        <w:rPr>
          <w:rFonts w:ascii="Arial" w:cs="Arial" w:eastAsia="Arial" w:hAnsi="Arial"/>
          <w:sz w:val="15"/>
          <w:szCs w:val="15"/>
          <w:color w:val="auto"/>
        </w:rPr>
        <w:t>The assets’ residual values, methods of depreciation and useful lives are reviewed and adjusted, if appropriate, at each balance sheet date. An asset’s carrying amount is written down immediately to its recoverable amount if the asset’s carrying amount is greater than its estimated recoverable amount.</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Leasehold improvements are amortized by the straight-line method over the shorter of the lease term or the estimated useful life of the improvements.</w:t>
      </w:r>
    </w:p>
    <w:p>
      <w:pPr>
        <w:spacing w:after="0" w:line="262" w:lineRule="exact"/>
        <w:rPr>
          <w:sz w:val="20"/>
          <w:szCs w:val="20"/>
          <w:color w:val="auto"/>
        </w:rPr>
      </w:pPr>
    </w:p>
    <w:p>
      <w:pPr>
        <w:ind w:left="1140" w:hanging="339"/>
        <w:spacing w:after="0"/>
        <w:tabs>
          <w:tab w:leader="none" w:pos="114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w:t>
      </w:r>
    </w:p>
    <w:p>
      <w:pPr>
        <w:spacing w:after="0" w:line="209"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 Company applies the cost method of accounting for initial and subsequent measurements of intangible assets. Under this method of accounting, intangible assets are carried at cost less any accumulated amortization and any accumulated impairment losses.</w:t>
      </w:r>
    </w:p>
    <w:p>
      <w:pPr>
        <w:spacing w:after="0" w:line="150"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Intellectual property</w:t>
      </w:r>
    </w:p>
    <w:p>
      <w:pPr>
        <w:spacing w:after="0" w:line="22" w:lineRule="exact"/>
        <w:rPr>
          <w:rFonts w:ascii="Arial" w:cs="Arial" w:eastAsia="Arial" w:hAnsi="Arial"/>
          <w:sz w:val="16"/>
          <w:szCs w:val="16"/>
          <w:b w:val="1"/>
          <w:bCs w:val="1"/>
          <w:color w:val="auto"/>
        </w:rPr>
      </w:pPr>
    </w:p>
    <w:p>
      <w:pPr>
        <w:jc w:val="both"/>
        <w:ind w:left="114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The Company recognizes in its financial statements intangible assets developed by the Company to the extent that the conditions stipulated in p. below are met. Intellectual property acquired by the Company is initially measured at cost. Intellectual property acquired by the Company for development purposes is not amortized and is tested annually for impairment. See f. below.</w:t>
      </w:r>
    </w:p>
    <w:p>
      <w:pPr>
        <w:spacing w:after="0" w:line="167"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u w:val="single" w:color="auto"/>
          <w:color w:val="auto"/>
        </w:rPr>
        <w:t>Computer software</w:t>
      </w:r>
    </w:p>
    <w:p>
      <w:pPr>
        <w:spacing w:after="0" w:line="22" w:lineRule="exact"/>
        <w:rPr>
          <w:rFonts w:ascii="Arial" w:cs="Arial" w:eastAsia="Arial" w:hAnsi="Arial"/>
          <w:sz w:val="16"/>
          <w:szCs w:val="16"/>
          <w:b w:val="1"/>
          <w:bCs w:val="1"/>
          <w:color w:val="auto"/>
        </w:rPr>
      </w:pPr>
    </w:p>
    <w:p>
      <w:pPr>
        <w:ind w:left="114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Acquired computer software licenses are capitalized on the basis of the costs incurred to acquire and bring to use the specific software. These costs are amortized over the estimated useful lives of the software (3-5 years).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SIGNIFICANT ACCOUNTING POLICIES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Impairment of non-financial assets</w:t>
      </w:r>
    </w:p>
    <w:p>
      <w:pPr>
        <w:spacing w:after="0" w:line="209" w:lineRule="exact"/>
        <w:rPr>
          <w:rFonts w:ascii="Arial" w:cs="Arial" w:eastAsia="Arial" w:hAnsi="Arial"/>
          <w:sz w:val="16"/>
          <w:szCs w:val="16"/>
          <w:b w:val="1"/>
          <w:bCs w:val="1"/>
          <w:color w:val="auto"/>
        </w:rPr>
      </w:pPr>
    </w:p>
    <w:p>
      <w:pPr>
        <w:jc w:val="both"/>
        <w:ind w:left="1140"/>
        <w:spacing w:after="0" w:line="307" w:lineRule="auto"/>
        <w:rPr>
          <w:rFonts w:ascii="Arial" w:cs="Arial" w:eastAsia="Arial" w:hAnsi="Arial"/>
          <w:sz w:val="16"/>
          <w:szCs w:val="16"/>
          <w:b w:val="1"/>
          <w:bCs w:val="1"/>
          <w:color w:val="auto"/>
        </w:rPr>
      </w:pPr>
      <w:r>
        <w:rPr>
          <w:rFonts w:ascii="Arial" w:cs="Arial" w:eastAsia="Arial" w:hAnsi="Arial"/>
          <w:sz w:val="14"/>
          <w:szCs w:val="14"/>
          <w:color w:val="auto"/>
        </w:rPr>
        <w:t>Impairment testing of intellectual property is required when the Company decides to terminate or suspend the development of a project based on such intellectual property. The Company performs impairment reviews on an annual basis, or more frequently if events or changes in circumstances indicate a potential impairment. Property and equipment, as well as computer software, are tested for impairment whenever events or changes in circumstances indicate that the carrying amount may not be recoverable. An impairment loss is recognized equal to the amount by which the asset’s carrying amount exceeds its recoverable amount. The recoverable amount is the higher of an asset’s fair value less costs to sell and the asset’s value in use to the Company.</w:t>
      </w:r>
    </w:p>
    <w:p>
      <w:pPr>
        <w:spacing w:after="0" w:line="135" w:lineRule="exact"/>
        <w:rPr>
          <w:rFonts w:ascii="Arial" w:cs="Arial" w:eastAsia="Arial" w:hAnsi="Arial"/>
          <w:sz w:val="16"/>
          <w:szCs w:val="16"/>
          <w:b w:val="1"/>
          <w:bCs w:val="1"/>
          <w:color w:val="auto"/>
        </w:rPr>
      </w:pPr>
    </w:p>
    <w:p>
      <w:pPr>
        <w:ind w:left="1140" w:hanging="339"/>
        <w:spacing w:after="0"/>
        <w:tabs>
          <w:tab w:leader="none" w:pos="114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assets</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Classification</w:t>
      </w:r>
    </w:p>
    <w:p>
      <w:pPr>
        <w:spacing w:after="0" w:line="205" w:lineRule="exact"/>
        <w:rPr>
          <w:rFonts w:ascii="Arial" w:cs="Arial" w:eastAsia="Arial" w:hAnsi="Arial"/>
          <w:sz w:val="16"/>
          <w:szCs w:val="16"/>
          <w:color w:val="auto"/>
        </w:rPr>
      </w:pPr>
    </w:p>
    <w:p>
      <w:pPr>
        <w:jc w:val="both"/>
        <w:ind w:left="1500"/>
        <w:spacing w:after="0" w:line="268" w:lineRule="auto"/>
        <w:rPr>
          <w:rFonts w:ascii="Arial" w:cs="Arial" w:eastAsia="Arial" w:hAnsi="Arial"/>
          <w:sz w:val="16"/>
          <w:szCs w:val="16"/>
          <w:color w:val="auto"/>
        </w:rPr>
      </w:pPr>
      <w:r>
        <w:rPr>
          <w:rFonts w:ascii="Arial" w:cs="Arial" w:eastAsia="Arial" w:hAnsi="Arial"/>
          <w:sz w:val="16"/>
          <w:szCs w:val="16"/>
          <w:color w:val="auto"/>
        </w:rPr>
        <w:t>The Company classifies its financial assets in the following categories: (i) at fair value through profit or loss and (ii) loans and receivables. The classification depends on the purpose for which each financial asset was acquired. The Company’s management determines the classification of financial assets at initial recognition.</w:t>
      </w:r>
    </w:p>
    <w:p>
      <w:pPr>
        <w:spacing w:after="0" w:line="162" w:lineRule="exact"/>
        <w:rPr>
          <w:rFonts w:ascii="Arial" w:cs="Arial" w:eastAsia="Arial" w:hAnsi="Arial"/>
          <w:sz w:val="16"/>
          <w:szCs w:val="16"/>
          <w:color w:val="auto"/>
        </w:rPr>
      </w:pPr>
    </w:p>
    <w:p>
      <w:pPr>
        <w:ind w:left="1820" w:hanging="349"/>
        <w:spacing w:after="0"/>
        <w:tabs>
          <w:tab w:leader="none" w:pos="1820" w:val="left"/>
        </w:tabs>
        <w:numPr>
          <w:ilvl w:val="2"/>
          <w:numId w:val="90"/>
        </w:numPr>
        <w:rPr>
          <w:rFonts w:ascii="Arial" w:cs="Arial" w:eastAsia="Arial" w:hAnsi="Arial"/>
          <w:sz w:val="16"/>
          <w:szCs w:val="16"/>
          <w:color w:val="auto"/>
        </w:rPr>
      </w:pPr>
      <w:r>
        <w:rPr>
          <w:rFonts w:ascii="Arial" w:cs="Arial" w:eastAsia="Arial" w:hAnsi="Arial"/>
          <w:sz w:val="16"/>
          <w:szCs w:val="16"/>
          <w:color w:val="auto"/>
        </w:rPr>
        <w:t>Financial assets at fair value through profit or loss</w:t>
      </w:r>
    </w:p>
    <w:p>
      <w:pPr>
        <w:spacing w:after="0" w:line="205" w:lineRule="exact"/>
        <w:rPr>
          <w:rFonts w:ascii="Arial" w:cs="Arial" w:eastAsia="Arial" w:hAnsi="Arial"/>
          <w:sz w:val="16"/>
          <w:szCs w:val="16"/>
          <w:color w:val="auto"/>
        </w:rPr>
      </w:pPr>
    </w:p>
    <w:p>
      <w:pPr>
        <w:jc w:val="both"/>
        <w:ind w:left="1820"/>
        <w:spacing w:after="0" w:line="278" w:lineRule="auto"/>
        <w:rPr>
          <w:rFonts w:ascii="Arial" w:cs="Arial" w:eastAsia="Arial" w:hAnsi="Arial"/>
          <w:sz w:val="16"/>
          <w:szCs w:val="16"/>
          <w:color w:val="auto"/>
        </w:rPr>
      </w:pPr>
      <w:r>
        <w:rPr>
          <w:rFonts w:ascii="Arial" w:cs="Arial" w:eastAsia="Arial" w:hAnsi="Arial"/>
          <w:sz w:val="15"/>
          <w:szCs w:val="15"/>
          <w:color w:val="auto"/>
        </w:rPr>
        <w:t>The Company’s investment policy with regard to its excess cash, as adopted by its Board of Directors, is composed of the following objectives: (i) preserving investment principal, (ii) providing liquidity and (iii) providing optimum yields pursuant to the policy guidelines and market conditions. The policy provides detailed guidelines as to the securities and other financial instruments in which the Company is allowed to invest. In addition, in order to maintain liquidity, investments are structured to provide flexibility to liquidate at least 50% of all investments within 15 business days. Information about these assets, including details of the portfolio and income earned, is provided internally on at least a quarterly basis to the Company’s key management personnel and on a semi-annual basis to the Investment Monitoring Committee of the Board of Directors. Any divergence from this investment policy requires approval from the Board of Directors.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SIGNIFICANT ACCOUNTING POLICIES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assets </w:t>
      </w:r>
      <w:r>
        <w:rPr>
          <w:rFonts w:ascii="Arial" w:cs="Arial" w:eastAsia="Arial" w:hAnsi="Arial"/>
          <w:sz w:val="16"/>
          <w:szCs w:val="16"/>
          <w:color w:val="auto"/>
        </w:rPr>
        <w:t>(cont.)</w:t>
      </w:r>
    </w:p>
    <w:p>
      <w:pPr>
        <w:spacing w:after="0" w:line="209" w:lineRule="exact"/>
        <w:rPr>
          <w:rFonts w:ascii="Arial" w:cs="Arial" w:eastAsia="Arial" w:hAnsi="Arial"/>
          <w:sz w:val="16"/>
          <w:szCs w:val="16"/>
          <w:b w:val="1"/>
          <w:bCs w:val="1"/>
          <w:color w:val="auto"/>
        </w:rPr>
      </w:pPr>
    </w:p>
    <w:p>
      <w:pPr>
        <w:ind w:left="1820" w:hanging="349"/>
        <w:spacing w:after="0"/>
        <w:tabs>
          <w:tab w:leader="none" w:pos="1820" w:val="left"/>
        </w:tabs>
        <w:numPr>
          <w:ilvl w:val="2"/>
          <w:numId w:val="91"/>
        </w:numPr>
        <w:rPr>
          <w:rFonts w:ascii="Arial" w:cs="Arial" w:eastAsia="Arial" w:hAnsi="Arial"/>
          <w:sz w:val="16"/>
          <w:szCs w:val="16"/>
          <w:color w:val="auto"/>
        </w:rPr>
      </w:pPr>
      <w:r>
        <w:rPr>
          <w:rFonts w:ascii="Arial" w:cs="Arial" w:eastAsia="Arial" w:hAnsi="Arial"/>
          <w:sz w:val="16"/>
          <w:szCs w:val="16"/>
          <w:color w:val="auto"/>
        </w:rPr>
        <w:t>Loans and receivables</w:t>
      </w:r>
    </w:p>
    <w:p>
      <w:pPr>
        <w:spacing w:after="0" w:line="205" w:lineRule="exact"/>
        <w:rPr>
          <w:rFonts w:ascii="Arial" w:cs="Arial" w:eastAsia="Arial" w:hAnsi="Arial"/>
          <w:sz w:val="16"/>
          <w:szCs w:val="16"/>
          <w:color w:val="auto"/>
        </w:rPr>
      </w:pPr>
    </w:p>
    <w:p>
      <w:pPr>
        <w:jc w:val="both"/>
        <w:ind w:left="1820"/>
        <w:spacing w:after="0" w:line="263" w:lineRule="auto"/>
        <w:rPr>
          <w:rFonts w:ascii="Arial" w:cs="Arial" w:eastAsia="Arial" w:hAnsi="Arial"/>
          <w:sz w:val="16"/>
          <w:szCs w:val="16"/>
          <w:color w:val="auto"/>
        </w:rPr>
      </w:pPr>
      <w:r>
        <w:rPr>
          <w:rFonts w:ascii="Arial" w:cs="Arial" w:eastAsia="Arial" w:hAnsi="Arial"/>
          <w:sz w:val="16"/>
          <w:szCs w:val="16"/>
          <w:color w:val="auto"/>
        </w:rPr>
        <w:t>Loans and receivables are non-derivative financial assets with fixed or determinable payments that are not quoted in an active market. These assets are included in current assets, except for installments which are due more than 12 months subsequent to the balance sheet date. Such installments are included in non-current assets. The Company’s loans and receivables include “other receivables,” “cash and cash equivalents”, and “bank deposits”. See Note 2i.</w:t>
      </w:r>
    </w:p>
    <w:p>
      <w:pPr>
        <w:spacing w:after="0" w:line="167" w:lineRule="exact"/>
        <w:rPr>
          <w:rFonts w:ascii="Arial" w:cs="Arial" w:eastAsia="Arial" w:hAnsi="Arial"/>
          <w:sz w:val="16"/>
          <w:szCs w:val="16"/>
          <w:color w:val="auto"/>
        </w:rPr>
      </w:pPr>
    </w:p>
    <w:p>
      <w:pPr>
        <w:ind w:left="1480" w:hanging="338"/>
        <w:spacing w:after="0"/>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Recognition and measurement</w:t>
      </w:r>
    </w:p>
    <w:p>
      <w:pPr>
        <w:spacing w:after="0" w:line="205" w:lineRule="exact"/>
        <w:rPr>
          <w:rFonts w:ascii="Arial" w:cs="Arial" w:eastAsia="Arial" w:hAnsi="Arial"/>
          <w:sz w:val="16"/>
          <w:szCs w:val="16"/>
          <w:color w:val="auto"/>
        </w:rPr>
      </w:pPr>
    </w:p>
    <w:p>
      <w:pPr>
        <w:jc w:val="both"/>
        <w:ind w:left="1500"/>
        <w:spacing w:after="0" w:line="313" w:lineRule="auto"/>
        <w:rPr>
          <w:rFonts w:ascii="Arial" w:cs="Arial" w:eastAsia="Arial" w:hAnsi="Arial"/>
          <w:sz w:val="16"/>
          <w:szCs w:val="16"/>
          <w:color w:val="auto"/>
        </w:rPr>
      </w:pPr>
      <w:r>
        <w:rPr>
          <w:rFonts w:ascii="Arial" w:cs="Arial" w:eastAsia="Arial" w:hAnsi="Arial"/>
          <w:sz w:val="14"/>
          <w:szCs w:val="14"/>
          <w:color w:val="auto"/>
        </w:rPr>
        <w:t>Investments are initially recognized at fair value plus transaction costs for all financial assets not carried at fair value through profit or loss. Financial assets carried at fair value through profit or loss are initially recognized at fair value, and transaction costs are expensed in profit or loss. Financial assets are de-recognized when the rights to receive cash flows from the investments have expired or have been transferred and the Company has transferred substantially all risks and rewards of ownership. Loans and receivables are subsequently carried at amortized cost using the effective interest method.</w:t>
      </w:r>
    </w:p>
    <w:p>
      <w:pPr>
        <w:spacing w:after="0" w:line="134" w:lineRule="exact"/>
        <w:rPr>
          <w:rFonts w:ascii="Arial" w:cs="Arial" w:eastAsia="Arial" w:hAnsi="Arial"/>
          <w:sz w:val="16"/>
          <w:szCs w:val="16"/>
          <w:color w:val="auto"/>
        </w:rPr>
      </w:pPr>
    </w:p>
    <w:p>
      <w:pPr>
        <w:ind w:left="1480" w:hanging="338"/>
        <w:spacing w:after="0"/>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Offsetting financial instruments</w:t>
      </w:r>
    </w:p>
    <w:p>
      <w:pPr>
        <w:spacing w:after="0" w:line="205" w:lineRule="exact"/>
        <w:rPr>
          <w:rFonts w:ascii="Arial" w:cs="Arial" w:eastAsia="Arial" w:hAnsi="Arial"/>
          <w:sz w:val="16"/>
          <w:szCs w:val="16"/>
          <w:color w:val="auto"/>
        </w:rPr>
      </w:pPr>
    </w:p>
    <w:p>
      <w:pPr>
        <w:ind w:left="1500"/>
        <w:spacing w:after="0" w:line="283" w:lineRule="auto"/>
        <w:rPr>
          <w:rFonts w:ascii="Arial" w:cs="Arial" w:eastAsia="Arial" w:hAnsi="Arial"/>
          <w:sz w:val="16"/>
          <w:szCs w:val="16"/>
          <w:color w:val="auto"/>
        </w:rPr>
      </w:pPr>
      <w:r>
        <w:rPr>
          <w:rFonts w:ascii="Arial" w:cs="Arial" w:eastAsia="Arial" w:hAnsi="Arial"/>
          <w:sz w:val="16"/>
          <w:szCs w:val="16"/>
          <w:color w:val="auto"/>
        </w:rPr>
        <w:t>Financial assets and liabilities are offset and the net amount reported in the balance sheet when there is a legally enforceable right to offset the recognized amounts and there is an intention to settle on a net basis or realize the asset and settle the liability simultaneously.</w:t>
      </w:r>
    </w:p>
    <w:p>
      <w:pPr>
        <w:spacing w:after="0" w:line="146" w:lineRule="exact"/>
        <w:rPr>
          <w:rFonts w:ascii="Arial" w:cs="Arial" w:eastAsia="Arial" w:hAnsi="Arial"/>
          <w:sz w:val="16"/>
          <w:szCs w:val="16"/>
          <w:color w:val="auto"/>
        </w:rPr>
      </w:pPr>
    </w:p>
    <w:p>
      <w:pPr>
        <w:ind w:left="1140" w:hanging="339"/>
        <w:spacing w:after="0"/>
        <w:tabs>
          <w:tab w:leader="none" w:pos="11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Cash equivalents</w:t>
      </w:r>
    </w:p>
    <w:p>
      <w:pPr>
        <w:spacing w:after="0" w:line="209"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Cash and cash equivalents include cash on hand and short-term bank deposits (up to three months from date of deposit) that are not restricted as to withdrawal or use, and are therefore considered to be cash equivalents.</w:t>
      </w:r>
    </w:p>
    <w:p>
      <w:pPr>
        <w:spacing w:after="0" w:line="146" w:lineRule="exact"/>
        <w:rPr>
          <w:rFonts w:ascii="Arial" w:cs="Arial" w:eastAsia="Arial" w:hAnsi="Arial"/>
          <w:sz w:val="16"/>
          <w:szCs w:val="16"/>
          <w:b w:val="1"/>
          <w:bCs w:val="1"/>
          <w:color w:val="auto"/>
        </w:rPr>
      </w:pPr>
    </w:p>
    <w:p>
      <w:pPr>
        <w:ind w:left="1140" w:hanging="339"/>
        <w:spacing w:after="0"/>
        <w:tabs>
          <w:tab w:leader="none" w:pos="11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Warrants</w:t>
      </w:r>
    </w:p>
    <w:p>
      <w:pPr>
        <w:spacing w:after="0" w:line="209" w:lineRule="exact"/>
        <w:rPr>
          <w:rFonts w:ascii="Arial" w:cs="Arial" w:eastAsia="Arial" w:hAnsi="Arial"/>
          <w:sz w:val="16"/>
          <w:szCs w:val="16"/>
          <w:b w:val="1"/>
          <w:bCs w:val="1"/>
          <w:color w:val="auto"/>
        </w:rPr>
      </w:pPr>
    </w:p>
    <w:p>
      <w:pPr>
        <w:jc w:val="both"/>
        <w:ind w:left="114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Receipts in respect of warrants are classified as equity to the extent that they confer the right to purchase a fixed number of shares for a fixed exercise price. In the event that the exercise price is not deemed to be fixed, the warrants are classified as a non-current derivative financial liability. This liability is initially recognized at its fair value on the date the contract is entered into and subsequently accounted for at fair value at each reporting date. The fair value changes are charged to non-operating income and expense on the statement of comprehensive loss. Issuance costs allocable to warrants are also recorded as non-operating expense on the statement of comprehensive loss.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SIGNIFICANT ACCOUNTING POLICIES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w:t>
      </w:r>
    </w:p>
    <w:p>
      <w:pPr>
        <w:spacing w:after="0" w:line="209"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 Company’s ordinary shares are classified as equity. Incremental costs directly attributable to the issuance of new shares are shown in equity as a deduction from the issuance proceeds.</w:t>
      </w:r>
    </w:p>
    <w:p>
      <w:pPr>
        <w:spacing w:after="0" w:line="146" w:lineRule="exact"/>
        <w:rPr>
          <w:rFonts w:ascii="Arial" w:cs="Arial" w:eastAsia="Arial" w:hAnsi="Arial"/>
          <w:sz w:val="16"/>
          <w:szCs w:val="16"/>
          <w:b w:val="1"/>
          <w:bCs w:val="1"/>
          <w:color w:val="auto"/>
        </w:rPr>
      </w:pPr>
    </w:p>
    <w:p>
      <w:pPr>
        <w:ind w:left="1140" w:hanging="339"/>
        <w:spacing w:after="0"/>
        <w:tabs>
          <w:tab w:leader="none" w:pos="114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Trade payables</w:t>
      </w:r>
    </w:p>
    <w:p>
      <w:pPr>
        <w:spacing w:after="0" w:line="209" w:lineRule="exact"/>
        <w:rPr>
          <w:rFonts w:ascii="Arial" w:cs="Arial" w:eastAsia="Arial" w:hAnsi="Arial"/>
          <w:sz w:val="16"/>
          <w:szCs w:val="16"/>
          <w:b w:val="1"/>
          <w:bCs w:val="1"/>
          <w:color w:val="auto"/>
        </w:rPr>
      </w:pPr>
    </w:p>
    <w:p>
      <w:pPr>
        <w:jc w:val="both"/>
        <w:ind w:left="114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Trade payables are obligations to pay for goods or services that have been acquired in the ordinary course of business from suppliers. These payables are classified as current liabilities if payment is due within one year or less. If not, they are presented as non-current liabilities. Trade payables are recognized initially at fair value and subsequently measured at amortized cost using the effective interest method.</w:t>
      </w:r>
    </w:p>
    <w:p>
      <w:pPr>
        <w:spacing w:after="0" w:line="158" w:lineRule="exact"/>
        <w:rPr>
          <w:rFonts w:ascii="Arial" w:cs="Arial" w:eastAsia="Arial" w:hAnsi="Arial"/>
          <w:sz w:val="16"/>
          <w:szCs w:val="16"/>
          <w:b w:val="1"/>
          <w:bCs w:val="1"/>
          <w:color w:val="auto"/>
        </w:rPr>
      </w:pPr>
    </w:p>
    <w:p>
      <w:pPr>
        <w:ind w:left="1140" w:hanging="339"/>
        <w:spacing w:after="0"/>
        <w:tabs>
          <w:tab w:leader="none" w:pos="114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Deferred taxes</w:t>
      </w:r>
    </w:p>
    <w:p>
      <w:pPr>
        <w:spacing w:after="0" w:line="209" w:lineRule="exact"/>
        <w:rPr>
          <w:rFonts w:ascii="Arial" w:cs="Arial" w:eastAsia="Arial" w:hAnsi="Arial"/>
          <w:sz w:val="16"/>
          <w:szCs w:val="16"/>
          <w:b w:val="1"/>
          <w:bCs w:val="1"/>
          <w:color w:val="auto"/>
        </w:rPr>
      </w:pPr>
    </w:p>
    <w:p>
      <w:pPr>
        <w:jc w:val="both"/>
        <w:ind w:left="114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Deferred taxes are recognized using the liability method, on temporary differences arising between the tax bases of assets and liabilities and their carrying amounts in the consolidated financial statements. Deferred income tax assets are recognized only to the extent that it is probable that future taxable income will be available against which the temporary differences can be utilized.</w:t>
      </w:r>
    </w:p>
    <w:p>
      <w:pPr>
        <w:spacing w:after="0" w:line="162"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As the Company is currently engaged primarily in development activities and is not expected to generate taxable income in the foreseeable future, no deferred tax assets are included in the financial statements.</w:t>
      </w:r>
    </w:p>
    <w:p>
      <w:pPr>
        <w:spacing w:after="0" w:line="146" w:lineRule="exact"/>
        <w:rPr>
          <w:rFonts w:ascii="Arial" w:cs="Arial" w:eastAsia="Arial" w:hAnsi="Arial"/>
          <w:sz w:val="16"/>
          <w:szCs w:val="16"/>
          <w:b w:val="1"/>
          <w:bCs w:val="1"/>
          <w:color w:val="auto"/>
        </w:rPr>
      </w:pPr>
    </w:p>
    <w:p>
      <w:pPr>
        <w:ind w:left="1140" w:hanging="339"/>
        <w:spacing w:after="0"/>
        <w:tabs>
          <w:tab w:leader="none" w:pos="114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w:t>
      </w:r>
    </w:p>
    <w:p>
      <w:pPr>
        <w:spacing w:after="0" w:line="209"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Revenues incurred in connection with out-licensing of the Company’s patents and other intellectual property are recognized when all of the following criteria have been met as of the balance sheet date:</w:t>
      </w:r>
    </w:p>
    <w:p>
      <w:pPr>
        <w:spacing w:after="0" w:line="199" w:lineRule="exact"/>
        <w:rPr>
          <w:rFonts w:ascii="Arial" w:cs="Arial" w:eastAsia="Arial" w:hAnsi="Arial"/>
          <w:sz w:val="16"/>
          <w:szCs w:val="16"/>
          <w:b w:val="1"/>
          <w:bCs w:val="1"/>
          <w:color w:val="auto"/>
        </w:rPr>
      </w:pPr>
    </w:p>
    <w:p>
      <w:pPr>
        <w:ind w:left="1600" w:hanging="239"/>
        <w:spacing w:after="0"/>
        <w:tabs>
          <w:tab w:leader="none" w:pos="16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Company has transferred to the licensee the significant risks and rewards of ownership of the patents and intellectual property.</w:t>
      </w:r>
    </w:p>
    <w:p>
      <w:pPr>
        <w:spacing w:after="0" w:line="254" w:lineRule="exact"/>
        <w:rPr>
          <w:rFonts w:ascii="Arial" w:cs="Arial" w:eastAsia="Arial" w:hAnsi="Arial"/>
          <w:sz w:val="16"/>
          <w:szCs w:val="16"/>
          <w:color w:val="auto"/>
        </w:rPr>
      </w:pPr>
    </w:p>
    <w:p>
      <w:pPr>
        <w:ind w:left="1600" w:hanging="239"/>
        <w:spacing w:after="0" w:line="283" w:lineRule="auto"/>
        <w:tabs>
          <w:tab w:leader="none" w:pos="16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Company does not retain either the continuing managerial involvement to the degree usually associated with ownership or the effective control over the patent and intellectual property.</w:t>
      </w:r>
    </w:p>
    <w:p>
      <w:pPr>
        <w:spacing w:after="0" w:line="199" w:lineRule="exact"/>
        <w:rPr>
          <w:rFonts w:ascii="Arial" w:cs="Arial" w:eastAsia="Arial" w:hAnsi="Arial"/>
          <w:sz w:val="16"/>
          <w:szCs w:val="16"/>
          <w:color w:val="auto"/>
        </w:rPr>
      </w:pPr>
    </w:p>
    <w:p>
      <w:pPr>
        <w:ind w:left="1600" w:hanging="239"/>
        <w:spacing w:after="0"/>
        <w:tabs>
          <w:tab w:leader="none" w:pos="16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amount of revenue can be measured reliably.</w:t>
      </w:r>
    </w:p>
    <w:p>
      <w:pPr>
        <w:spacing w:after="0" w:line="254" w:lineRule="exact"/>
        <w:rPr>
          <w:rFonts w:ascii="Arial" w:cs="Arial" w:eastAsia="Arial" w:hAnsi="Arial"/>
          <w:sz w:val="16"/>
          <w:szCs w:val="16"/>
          <w:color w:val="auto"/>
        </w:rPr>
      </w:pPr>
    </w:p>
    <w:p>
      <w:pPr>
        <w:ind w:left="1600" w:hanging="239"/>
        <w:spacing w:after="0"/>
        <w:tabs>
          <w:tab w:leader="none" w:pos="16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It is probable that the economic benefits associated with the transaction will flow to the Company.</w:t>
      </w:r>
    </w:p>
    <w:p>
      <w:pPr>
        <w:spacing w:after="0" w:line="254" w:lineRule="exact"/>
        <w:rPr>
          <w:rFonts w:ascii="Arial" w:cs="Arial" w:eastAsia="Arial" w:hAnsi="Arial"/>
          <w:sz w:val="16"/>
          <w:szCs w:val="16"/>
          <w:color w:val="auto"/>
        </w:rPr>
      </w:pPr>
    </w:p>
    <w:p>
      <w:pPr>
        <w:ind w:left="1600" w:hanging="239"/>
        <w:spacing w:after="0"/>
        <w:tabs>
          <w:tab w:leader="none" w:pos="16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costs incurred or to be incurred in respect of the sale can be measured reliably.</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Revenue from reaching additional milestones is recognized upon achievement of the specific milestone, in accordance with the relevant agreement.</w:t>
      </w:r>
    </w:p>
    <w:p>
      <w:pPr>
        <w:spacing w:after="0" w:line="266" w:lineRule="exact"/>
        <w:rPr>
          <w:sz w:val="20"/>
          <w:szCs w:val="20"/>
          <w:color w:val="auto"/>
        </w:rPr>
      </w:pPr>
    </w:p>
    <w:p>
      <w:pPr>
        <w:ind w:left="1140"/>
        <w:spacing w:after="0" w:line="283" w:lineRule="auto"/>
        <w:rPr>
          <w:sz w:val="20"/>
          <w:szCs w:val="20"/>
          <w:color w:val="auto"/>
        </w:rPr>
      </w:pPr>
      <w:r>
        <w:rPr>
          <w:rFonts w:ascii="Arial" w:cs="Arial" w:eastAsia="Arial" w:hAnsi="Arial"/>
          <w:sz w:val="16"/>
          <w:szCs w:val="16"/>
          <w:color w:val="auto"/>
        </w:rPr>
        <w:t>Revenues in connection with rendering of services are recognized by reference to the stage of completion of the transaction as of the balance sheet date, if and when the outcome of the transaction can be estimated reliably.</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Revenues from royalties are recognized on accrual basis in accordance with the substance of the relevant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SIGNIFICANT ACCOUNTING POLICIES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expenses</w:t>
      </w:r>
    </w:p>
    <w:p>
      <w:pPr>
        <w:spacing w:after="0" w:line="209"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Research expenses are charged to profit or loss as incurred.</w:t>
      </w:r>
    </w:p>
    <w:p>
      <w:pPr>
        <w:spacing w:after="0" w:line="205"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An intangible asset arising from development (or from the development phase of an internal project) is recognized if all of the following conditions are fulfilled:</w:t>
      </w:r>
    </w:p>
    <w:p>
      <w:pPr>
        <w:spacing w:after="0" w:line="199" w:lineRule="exact"/>
        <w:rPr>
          <w:rFonts w:ascii="Arial" w:cs="Arial" w:eastAsia="Arial" w:hAnsi="Arial"/>
          <w:sz w:val="16"/>
          <w:szCs w:val="16"/>
          <w:b w:val="1"/>
          <w:bCs w:val="1"/>
          <w:color w:val="auto"/>
        </w:rPr>
      </w:pPr>
    </w:p>
    <w:p>
      <w:pPr>
        <w:ind w:left="1600" w:hanging="227"/>
        <w:spacing w:after="0"/>
        <w:tabs>
          <w:tab w:leader="none" w:pos="16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technological feasibility exists for completing development of the intangible asset so that it will be available for use or sale.</w:t>
      </w:r>
    </w:p>
    <w:p>
      <w:pPr>
        <w:spacing w:after="0" w:line="254" w:lineRule="exact"/>
        <w:rPr>
          <w:rFonts w:ascii="Arial" w:cs="Arial" w:eastAsia="Arial" w:hAnsi="Arial"/>
          <w:sz w:val="16"/>
          <w:szCs w:val="16"/>
          <w:color w:val="auto"/>
        </w:rPr>
      </w:pPr>
    </w:p>
    <w:p>
      <w:pPr>
        <w:ind w:left="1600" w:hanging="227"/>
        <w:spacing w:after="0"/>
        <w:tabs>
          <w:tab w:leader="none" w:pos="16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it is management’s intention to complete development of the intangible asset for use or sale.</w:t>
      </w:r>
    </w:p>
    <w:p>
      <w:pPr>
        <w:spacing w:after="0" w:line="254" w:lineRule="exact"/>
        <w:rPr>
          <w:rFonts w:ascii="Arial" w:cs="Arial" w:eastAsia="Arial" w:hAnsi="Arial"/>
          <w:sz w:val="16"/>
          <w:szCs w:val="16"/>
          <w:color w:val="auto"/>
        </w:rPr>
      </w:pPr>
    </w:p>
    <w:p>
      <w:pPr>
        <w:ind w:left="1600" w:hanging="227"/>
        <w:spacing w:after="0"/>
        <w:tabs>
          <w:tab w:leader="none" w:pos="16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Company has the ability to use or sell the intangible asset.</w:t>
      </w:r>
    </w:p>
    <w:p>
      <w:pPr>
        <w:spacing w:after="0" w:line="254" w:lineRule="exact"/>
        <w:rPr>
          <w:rFonts w:ascii="Arial" w:cs="Arial" w:eastAsia="Arial" w:hAnsi="Arial"/>
          <w:sz w:val="16"/>
          <w:szCs w:val="16"/>
          <w:color w:val="auto"/>
        </w:rPr>
      </w:pPr>
    </w:p>
    <w:p>
      <w:pPr>
        <w:ind w:left="1600" w:hanging="227"/>
        <w:spacing w:after="0" w:line="283" w:lineRule="auto"/>
        <w:tabs>
          <w:tab w:leader="none" w:pos="16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it is probable that the intangible asset will generate future economic benefits, including existence of a market for the output of the intangible asset or the intangible asset itself or, if the intangible asset is to be used internally, the usefulness of the intangible asset.</w:t>
      </w:r>
    </w:p>
    <w:p>
      <w:pPr>
        <w:spacing w:after="0" w:line="199" w:lineRule="exact"/>
        <w:rPr>
          <w:rFonts w:ascii="Arial" w:cs="Arial" w:eastAsia="Arial" w:hAnsi="Arial"/>
          <w:sz w:val="16"/>
          <w:szCs w:val="16"/>
          <w:color w:val="auto"/>
        </w:rPr>
      </w:pPr>
    </w:p>
    <w:p>
      <w:pPr>
        <w:ind w:left="1600" w:hanging="227"/>
        <w:spacing w:after="0"/>
        <w:tabs>
          <w:tab w:leader="none" w:pos="1600" w:val="left"/>
        </w:tabs>
        <w:numPr>
          <w:ilvl w:val="1"/>
          <w:numId w:val="93"/>
        </w:numPr>
        <w:rPr>
          <w:rFonts w:ascii="Arial" w:cs="Arial" w:eastAsia="Arial" w:hAnsi="Arial"/>
          <w:sz w:val="15"/>
          <w:szCs w:val="15"/>
          <w:color w:val="auto"/>
        </w:rPr>
      </w:pPr>
      <w:r>
        <w:rPr>
          <w:rFonts w:ascii="Arial" w:cs="Arial" w:eastAsia="Arial" w:hAnsi="Arial"/>
          <w:sz w:val="15"/>
          <w:szCs w:val="15"/>
          <w:color w:val="auto"/>
        </w:rPr>
        <w:t>adequate technical, financial and other resources are available to complete development of the intangible asset, as well as the use or sale thereof.</w:t>
      </w:r>
    </w:p>
    <w:p>
      <w:pPr>
        <w:spacing w:after="0" w:line="265" w:lineRule="exact"/>
        <w:rPr>
          <w:rFonts w:ascii="Arial" w:cs="Arial" w:eastAsia="Arial" w:hAnsi="Arial"/>
          <w:sz w:val="15"/>
          <w:szCs w:val="15"/>
          <w:color w:val="auto"/>
        </w:rPr>
      </w:pPr>
    </w:p>
    <w:p>
      <w:pPr>
        <w:ind w:left="1600" w:hanging="227"/>
        <w:spacing w:after="0"/>
        <w:tabs>
          <w:tab w:leader="none" w:pos="16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Company has the ability to reliably measure the expenditure attributable to the intangible asset during its development.</w:t>
      </w:r>
    </w:p>
    <w:p>
      <w:pPr>
        <w:spacing w:after="0" w:line="254" w:lineRule="exact"/>
        <w:rPr>
          <w:sz w:val="20"/>
          <w:szCs w:val="20"/>
          <w:color w:val="auto"/>
        </w:rPr>
      </w:pPr>
    </w:p>
    <w:p>
      <w:pPr>
        <w:ind w:left="1140"/>
        <w:spacing w:after="0" w:line="318" w:lineRule="auto"/>
        <w:rPr>
          <w:sz w:val="20"/>
          <w:szCs w:val="20"/>
          <w:color w:val="auto"/>
        </w:rPr>
      </w:pPr>
      <w:r>
        <w:rPr>
          <w:rFonts w:ascii="Arial" w:cs="Arial" w:eastAsia="Arial" w:hAnsi="Arial"/>
          <w:sz w:val="15"/>
          <w:szCs w:val="15"/>
          <w:color w:val="auto"/>
        </w:rPr>
        <w:t>Other development costs that do not meet the foregoing conditions are charged to profit or loss as incurred. Development costs previously expensed are not recognized as an asset in subsequent periods. As of December 31, 2016, the Company has not yet capitalized development expenses.</w:t>
      </w:r>
    </w:p>
    <w:p>
      <w:pPr>
        <w:spacing w:after="0" w:line="123" w:lineRule="exact"/>
        <w:rPr>
          <w:sz w:val="20"/>
          <w:szCs w:val="20"/>
          <w:color w:val="auto"/>
        </w:rPr>
      </w:pPr>
    </w:p>
    <w:p>
      <w:pPr>
        <w:ind w:left="1140" w:hanging="339"/>
        <w:spacing w:after="0"/>
        <w:tabs>
          <w:tab w:leader="none" w:pos="114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benefits</w:t>
      </w:r>
    </w:p>
    <w:p>
      <w:pPr>
        <w:spacing w:after="0" w:line="209" w:lineRule="exact"/>
        <w:rPr>
          <w:rFonts w:ascii="Arial" w:cs="Arial" w:eastAsia="Arial" w:hAnsi="Arial"/>
          <w:sz w:val="16"/>
          <w:szCs w:val="16"/>
          <w:b w:val="1"/>
          <w:bCs w:val="1"/>
          <w:color w:val="auto"/>
        </w:rPr>
      </w:pPr>
    </w:p>
    <w:p>
      <w:pPr>
        <w:ind w:left="1720" w:hanging="578"/>
        <w:spacing w:after="0"/>
        <w:tabs>
          <w:tab w:leader="none" w:pos="17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Pension and severance pay obligations</w:t>
      </w:r>
    </w:p>
    <w:p>
      <w:pPr>
        <w:spacing w:after="0" w:line="205" w:lineRule="exact"/>
        <w:rPr>
          <w:rFonts w:ascii="Arial" w:cs="Arial" w:eastAsia="Arial" w:hAnsi="Arial"/>
          <w:sz w:val="16"/>
          <w:szCs w:val="16"/>
          <w:color w:val="auto"/>
        </w:rPr>
      </w:pPr>
    </w:p>
    <w:p>
      <w:pPr>
        <w:jc w:val="both"/>
        <w:ind w:left="1720"/>
        <w:spacing w:after="0" w:line="268" w:lineRule="auto"/>
        <w:rPr>
          <w:rFonts w:ascii="Arial" w:cs="Arial" w:eastAsia="Arial" w:hAnsi="Arial"/>
          <w:sz w:val="16"/>
          <w:szCs w:val="16"/>
          <w:color w:val="auto"/>
        </w:rPr>
      </w:pPr>
      <w:r>
        <w:rPr>
          <w:rFonts w:ascii="Arial" w:cs="Arial" w:eastAsia="Arial" w:hAnsi="Arial"/>
          <w:sz w:val="16"/>
          <w:szCs w:val="16"/>
          <w:color w:val="auto"/>
        </w:rPr>
        <w:t>Israeli labor laws and the Company’s employment agreements require the Company to pay retirement benefits to employees terminated or leaving their employment in certain other circumstances. Most of the Company’s employees are covered by a defined contribution plan under Section 14 of the Israel Severance Pay Law.</w:t>
      </w:r>
    </w:p>
    <w:p>
      <w:pPr>
        <w:spacing w:after="0" w:line="162" w:lineRule="exact"/>
        <w:rPr>
          <w:rFonts w:ascii="Arial" w:cs="Arial" w:eastAsia="Arial" w:hAnsi="Arial"/>
          <w:sz w:val="16"/>
          <w:szCs w:val="16"/>
          <w:color w:val="auto"/>
        </w:rPr>
      </w:pPr>
    </w:p>
    <w:p>
      <w:pPr>
        <w:jc w:val="both"/>
        <w:ind w:left="1720"/>
        <w:spacing w:after="0" w:line="263" w:lineRule="auto"/>
        <w:rPr>
          <w:rFonts w:ascii="Arial" w:cs="Arial" w:eastAsia="Arial" w:hAnsi="Arial"/>
          <w:sz w:val="16"/>
          <w:szCs w:val="16"/>
          <w:color w:val="auto"/>
        </w:rPr>
      </w:pPr>
      <w:r>
        <w:rPr>
          <w:rFonts w:ascii="Arial" w:cs="Arial" w:eastAsia="Arial" w:hAnsi="Arial"/>
          <w:sz w:val="16"/>
          <w:szCs w:val="16"/>
          <w:color w:val="auto"/>
        </w:rPr>
        <w:t>With respect to the remaining employees, the Company records a liability on its balance sheet for defined benefit plans that represents the present value of the defined benefit obligation as of each reporting date, net of the fair value of plan assets. The present value of the defined benefit liability is determined by discounting the anticipated future cash outflows, using interest rates that are denominated in the currency in which the benefits will be payable.</w:t>
      </w:r>
    </w:p>
    <w:p>
      <w:pPr>
        <w:spacing w:after="0" w:line="167" w:lineRule="exact"/>
        <w:rPr>
          <w:rFonts w:ascii="Arial" w:cs="Arial" w:eastAsia="Arial" w:hAnsi="Arial"/>
          <w:sz w:val="16"/>
          <w:szCs w:val="16"/>
          <w:color w:val="auto"/>
        </w:rPr>
      </w:pPr>
    </w:p>
    <w:p>
      <w:pPr>
        <w:ind w:left="1720"/>
        <w:spacing w:after="0" w:line="283" w:lineRule="auto"/>
        <w:rPr>
          <w:rFonts w:ascii="Arial" w:cs="Arial" w:eastAsia="Arial" w:hAnsi="Arial"/>
          <w:sz w:val="16"/>
          <w:szCs w:val="16"/>
          <w:color w:val="auto"/>
        </w:rPr>
      </w:pPr>
      <w:r>
        <w:rPr>
          <w:rFonts w:ascii="Arial" w:cs="Arial" w:eastAsia="Arial" w:hAnsi="Arial"/>
          <w:sz w:val="16"/>
          <w:szCs w:val="16"/>
          <w:color w:val="auto"/>
        </w:rPr>
        <w:t>The amounts recorded as an employee benefit expense in respect of pension and severance pay obligations for the years 2014, 2015 and 2016 were $465,000, $466,000 and $523,000,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SIGNIFICANT ACCOUNTING POLICIES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(cont.)</w:t>
      </w:r>
    </w:p>
    <w:p>
      <w:pPr>
        <w:spacing w:after="0" w:line="209" w:lineRule="exact"/>
        <w:rPr>
          <w:rFonts w:ascii="Arial" w:cs="Arial" w:eastAsia="Arial" w:hAnsi="Arial"/>
          <w:sz w:val="16"/>
          <w:szCs w:val="16"/>
          <w:b w:val="1"/>
          <w:bCs w:val="1"/>
          <w:color w:val="auto"/>
        </w:rPr>
      </w:pPr>
    </w:p>
    <w:p>
      <w:pPr>
        <w:ind w:left="1720" w:hanging="578"/>
        <w:spacing w:after="0"/>
        <w:tabs>
          <w:tab w:leader="none" w:pos="17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Vacation days and recreation pay</w:t>
      </w:r>
    </w:p>
    <w:p>
      <w:pPr>
        <w:spacing w:after="0" w:line="205" w:lineRule="exact"/>
        <w:rPr>
          <w:rFonts w:ascii="Arial" w:cs="Arial" w:eastAsia="Arial" w:hAnsi="Arial"/>
          <w:sz w:val="16"/>
          <w:szCs w:val="16"/>
          <w:color w:val="auto"/>
        </w:rPr>
      </w:pPr>
    </w:p>
    <w:p>
      <w:pPr>
        <w:jc w:val="both"/>
        <w:ind w:left="1720"/>
        <w:spacing w:after="0" w:line="268" w:lineRule="auto"/>
        <w:rPr>
          <w:rFonts w:ascii="Arial" w:cs="Arial" w:eastAsia="Arial" w:hAnsi="Arial"/>
          <w:sz w:val="16"/>
          <w:szCs w:val="16"/>
          <w:color w:val="auto"/>
        </w:rPr>
      </w:pPr>
      <w:r>
        <w:rPr>
          <w:rFonts w:ascii="Arial" w:cs="Arial" w:eastAsia="Arial" w:hAnsi="Arial"/>
          <w:sz w:val="16"/>
          <w:szCs w:val="16"/>
          <w:color w:val="auto"/>
        </w:rPr>
        <w:t>Labor laws in Israel entitle every employee to vacation days and recreation pay, both of which are computed annually. The entitlement with respect to each employee is based on the employee’s length of service at the Company. The Company recognizes a liability and an expense in respect of vacation and recreation pay based on the individual entitlement of each employee.</w:t>
      </w:r>
    </w:p>
    <w:p>
      <w:pPr>
        <w:spacing w:after="0" w:line="162" w:lineRule="exact"/>
        <w:rPr>
          <w:rFonts w:ascii="Arial" w:cs="Arial" w:eastAsia="Arial" w:hAnsi="Arial"/>
          <w:sz w:val="16"/>
          <w:szCs w:val="16"/>
          <w:color w:val="auto"/>
        </w:rPr>
      </w:pPr>
    </w:p>
    <w:p>
      <w:pPr>
        <w:ind w:left="1720" w:hanging="578"/>
        <w:spacing w:after="0"/>
        <w:tabs>
          <w:tab w:leader="none" w:pos="17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Share-based payments</w:t>
      </w:r>
    </w:p>
    <w:p>
      <w:pPr>
        <w:spacing w:after="0" w:line="205" w:lineRule="exact"/>
        <w:rPr>
          <w:rFonts w:ascii="Arial" w:cs="Arial" w:eastAsia="Arial" w:hAnsi="Arial"/>
          <w:sz w:val="16"/>
          <w:szCs w:val="16"/>
          <w:color w:val="auto"/>
        </w:rPr>
      </w:pPr>
    </w:p>
    <w:p>
      <w:pPr>
        <w:jc w:val="both"/>
        <w:ind w:left="1720"/>
        <w:spacing w:after="0" w:line="263" w:lineRule="auto"/>
        <w:rPr>
          <w:rFonts w:ascii="Arial" w:cs="Arial" w:eastAsia="Arial" w:hAnsi="Arial"/>
          <w:sz w:val="16"/>
          <w:szCs w:val="16"/>
          <w:color w:val="auto"/>
        </w:rPr>
      </w:pPr>
      <w:r>
        <w:rPr>
          <w:rFonts w:ascii="Arial" w:cs="Arial" w:eastAsia="Arial" w:hAnsi="Arial"/>
          <w:sz w:val="16"/>
          <w:szCs w:val="16"/>
          <w:color w:val="auto"/>
        </w:rPr>
        <w:t>The Company operates an equity-settled, share-based compensation plan, under which it grants equity instruments (options, restricted stock units and performance stock units) of the Company as additional consideration for services from employees. The fair value of the employee services received in exchange for grant of the equity instruments is recognized as an expense. The total amount to be expensed is determined by reference to the fair value of the equity instruments granted:</w:t>
      </w:r>
    </w:p>
    <w:p>
      <w:pPr>
        <w:spacing w:after="0" w:line="216" w:lineRule="exact"/>
        <w:rPr>
          <w:rFonts w:ascii="Arial" w:cs="Arial" w:eastAsia="Arial" w:hAnsi="Arial"/>
          <w:sz w:val="16"/>
          <w:szCs w:val="16"/>
          <w:color w:val="auto"/>
        </w:rPr>
      </w:pPr>
    </w:p>
    <w:p>
      <w:pPr>
        <w:ind w:left="2060" w:hanging="346"/>
        <w:spacing w:after="0"/>
        <w:tabs>
          <w:tab w:leader="none" w:pos="2060" w:val="left"/>
        </w:tabs>
        <w:numPr>
          <w:ilvl w:val="2"/>
          <w:numId w:val="95"/>
        </w:numPr>
        <w:rPr>
          <w:rFonts w:ascii="Arial" w:cs="Arial" w:eastAsia="Arial" w:hAnsi="Arial"/>
          <w:sz w:val="16"/>
          <w:szCs w:val="16"/>
          <w:color w:val="auto"/>
        </w:rPr>
      </w:pPr>
      <w:r>
        <w:rPr>
          <w:rFonts w:ascii="Arial" w:cs="Arial" w:eastAsia="Arial" w:hAnsi="Arial"/>
          <w:sz w:val="16"/>
          <w:szCs w:val="16"/>
          <w:color w:val="auto"/>
        </w:rPr>
        <w:t>including any market performance conditions (for example, the Company’s share price); and</w:t>
      </w:r>
    </w:p>
    <w:p>
      <w:pPr>
        <w:spacing w:after="0" w:line="254" w:lineRule="exact"/>
        <w:rPr>
          <w:rFonts w:ascii="Arial" w:cs="Arial" w:eastAsia="Arial" w:hAnsi="Arial"/>
          <w:sz w:val="16"/>
          <w:szCs w:val="16"/>
          <w:color w:val="auto"/>
        </w:rPr>
      </w:pPr>
    </w:p>
    <w:p>
      <w:pPr>
        <w:ind w:left="2060" w:hanging="346"/>
        <w:spacing w:after="0" w:line="283" w:lineRule="auto"/>
        <w:tabs>
          <w:tab w:leader="none" w:pos="2060" w:val="left"/>
        </w:tabs>
        <w:numPr>
          <w:ilvl w:val="2"/>
          <w:numId w:val="95"/>
        </w:numPr>
        <w:rPr>
          <w:rFonts w:ascii="Arial" w:cs="Arial" w:eastAsia="Arial" w:hAnsi="Arial"/>
          <w:sz w:val="16"/>
          <w:szCs w:val="16"/>
          <w:color w:val="auto"/>
        </w:rPr>
      </w:pPr>
      <w:r>
        <w:rPr>
          <w:rFonts w:ascii="Arial" w:cs="Arial" w:eastAsia="Arial" w:hAnsi="Arial"/>
          <w:sz w:val="16"/>
          <w:szCs w:val="16"/>
          <w:color w:val="auto"/>
        </w:rPr>
        <w:t>excluding the impact of any service and non-market performance vesting conditions (for example, profitability, sales growth targets and the employee remaining with the entity over a specified time period).</w:t>
      </w:r>
    </w:p>
    <w:p>
      <w:pPr>
        <w:spacing w:after="0" w:line="151" w:lineRule="exact"/>
        <w:rPr>
          <w:sz w:val="20"/>
          <w:szCs w:val="20"/>
          <w:color w:val="auto"/>
        </w:rPr>
      </w:pPr>
    </w:p>
    <w:p>
      <w:pPr>
        <w:ind w:left="1720"/>
        <w:spacing w:after="0" w:line="318" w:lineRule="auto"/>
        <w:rPr>
          <w:sz w:val="20"/>
          <w:szCs w:val="20"/>
          <w:color w:val="auto"/>
        </w:rPr>
      </w:pPr>
      <w:r>
        <w:rPr>
          <w:rFonts w:ascii="Arial" w:cs="Arial" w:eastAsia="Arial" w:hAnsi="Arial"/>
          <w:sz w:val="15"/>
          <w:szCs w:val="15"/>
          <w:color w:val="auto"/>
        </w:rPr>
        <w:t>Non-market performance and service conditions are included in assumptions about the number of equity instruments that are expected to vest. The total expense is recognized over the vesting period, which is the period over which all of the specified vesting conditions are to be satisfied.</w:t>
      </w:r>
    </w:p>
    <w:p>
      <w:pPr>
        <w:spacing w:after="0" w:line="127" w:lineRule="exact"/>
        <w:rPr>
          <w:sz w:val="20"/>
          <w:szCs w:val="20"/>
          <w:color w:val="auto"/>
        </w:rPr>
      </w:pPr>
    </w:p>
    <w:p>
      <w:pPr>
        <w:ind w:left="1720"/>
        <w:spacing w:after="0" w:line="283" w:lineRule="auto"/>
        <w:rPr>
          <w:sz w:val="20"/>
          <w:szCs w:val="20"/>
          <w:color w:val="auto"/>
        </w:rPr>
      </w:pPr>
      <w:r>
        <w:rPr>
          <w:rFonts w:ascii="Arial" w:cs="Arial" w:eastAsia="Arial" w:hAnsi="Arial"/>
          <w:sz w:val="16"/>
          <w:szCs w:val="16"/>
          <w:color w:val="auto"/>
        </w:rPr>
        <w:t>When the equity instruments are exercised, the Company issues new shares. The proceeds received, net of any directly attributable transaction costs, are credited to share capital (at par value) and share premium when the equity instruments are exercised.</w:t>
      </w:r>
    </w:p>
    <w:p>
      <w:pPr>
        <w:spacing w:after="0" w:line="147" w:lineRule="exact"/>
        <w:rPr>
          <w:sz w:val="20"/>
          <w:szCs w:val="20"/>
          <w:color w:val="auto"/>
        </w:rPr>
      </w:pPr>
    </w:p>
    <w:p>
      <w:pPr>
        <w:ind w:left="1140" w:hanging="339"/>
        <w:spacing w:after="0"/>
        <w:tabs>
          <w:tab w:leader="none" w:pos="114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Loss per share</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Basic</w:t>
      </w:r>
    </w:p>
    <w:p>
      <w:pPr>
        <w:spacing w:after="0" w:line="205" w:lineRule="exact"/>
        <w:rPr>
          <w:rFonts w:ascii="Arial" w:cs="Arial" w:eastAsia="Arial" w:hAnsi="Arial"/>
          <w:sz w:val="16"/>
          <w:szCs w:val="16"/>
          <w:color w:val="auto"/>
        </w:rPr>
      </w:pPr>
    </w:p>
    <w:p>
      <w:pPr>
        <w:ind w:left="1500"/>
        <w:spacing w:after="0" w:line="283" w:lineRule="auto"/>
        <w:rPr>
          <w:rFonts w:ascii="Arial" w:cs="Arial" w:eastAsia="Arial" w:hAnsi="Arial"/>
          <w:sz w:val="16"/>
          <w:szCs w:val="16"/>
          <w:color w:val="auto"/>
        </w:rPr>
      </w:pPr>
      <w:r>
        <w:rPr>
          <w:rFonts w:ascii="Arial" w:cs="Arial" w:eastAsia="Arial" w:hAnsi="Arial"/>
          <w:sz w:val="16"/>
          <w:szCs w:val="16"/>
          <w:color w:val="auto"/>
        </w:rPr>
        <w:t>The basic loss per share is calculated by dividing the loss attributable to the holders of ordinary shares by the weighted average number of ordinary shares outstanding during the year.</w:t>
      </w:r>
    </w:p>
    <w:p>
      <w:pPr>
        <w:spacing w:after="0" w:line="150" w:lineRule="exact"/>
        <w:rPr>
          <w:rFonts w:ascii="Arial" w:cs="Arial" w:eastAsia="Arial" w:hAnsi="Arial"/>
          <w:sz w:val="16"/>
          <w:szCs w:val="16"/>
          <w:color w:val="auto"/>
        </w:rPr>
      </w:pPr>
    </w:p>
    <w:p>
      <w:pPr>
        <w:ind w:left="1480" w:hanging="338"/>
        <w:spacing w:after="0"/>
        <w:tabs>
          <w:tab w:leader="none" w:pos="14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Diluted</w:t>
      </w:r>
    </w:p>
    <w:p>
      <w:pPr>
        <w:spacing w:after="0" w:line="205" w:lineRule="exact"/>
        <w:rPr>
          <w:rFonts w:ascii="Arial" w:cs="Arial" w:eastAsia="Arial" w:hAnsi="Arial"/>
          <w:sz w:val="16"/>
          <w:szCs w:val="16"/>
          <w:color w:val="auto"/>
        </w:rPr>
      </w:pPr>
    </w:p>
    <w:p>
      <w:pPr>
        <w:jc w:val="both"/>
        <w:ind w:left="1500"/>
        <w:spacing w:after="0" w:line="263" w:lineRule="auto"/>
        <w:rPr>
          <w:rFonts w:ascii="Arial" w:cs="Arial" w:eastAsia="Arial" w:hAnsi="Arial"/>
          <w:sz w:val="16"/>
          <w:szCs w:val="16"/>
          <w:color w:val="auto"/>
        </w:rPr>
      </w:pPr>
      <w:r>
        <w:rPr>
          <w:rFonts w:ascii="Arial" w:cs="Arial" w:eastAsia="Arial" w:hAnsi="Arial"/>
          <w:sz w:val="16"/>
          <w:szCs w:val="16"/>
          <w:color w:val="auto"/>
        </w:rPr>
        <w:t>The diluted loss per share is calculated by adjusting the weighted average number of outstanding ordinary shares, assuming conversion of all dilutive potential shares. The Company’s dilutive potential shares consist of warrants issued to investors, as well as equity instruments granted to employees and service providers. The dilutive potential shares were not taken into account in computing loss per share in 2014, 2015 and 2016, as their effect would have been anti-dilutive.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 SIGNIFICANT ACCOUNTING POLICIES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accounting policy and disclosures</w:t>
      </w:r>
    </w:p>
    <w:p>
      <w:pPr>
        <w:spacing w:after="0" w:line="209" w:lineRule="exact"/>
        <w:rPr>
          <w:rFonts w:ascii="Arial" w:cs="Arial" w:eastAsia="Arial" w:hAnsi="Arial"/>
          <w:sz w:val="16"/>
          <w:szCs w:val="16"/>
          <w:b w:val="1"/>
          <w:bCs w:val="1"/>
          <w:color w:val="auto"/>
        </w:rPr>
      </w:pPr>
    </w:p>
    <w:p>
      <w:pPr>
        <w:ind w:left="1140" w:right="4580"/>
        <w:spacing w:after="0" w:line="508" w:lineRule="auto"/>
        <w:rPr>
          <w:rFonts w:ascii="Arial" w:cs="Arial" w:eastAsia="Arial" w:hAnsi="Arial"/>
          <w:sz w:val="16"/>
          <w:szCs w:val="16"/>
          <w:b w:val="1"/>
          <w:bCs w:val="1"/>
          <w:color w:val="auto"/>
        </w:rPr>
      </w:pPr>
      <w:r>
        <w:rPr>
          <w:rFonts w:ascii="Arial" w:cs="Arial" w:eastAsia="Arial" w:hAnsi="Arial"/>
          <w:sz w:val="16"/>
          <w:szCs w:val="16"/>
          <w:color w:val="auto"/>
        </w:rPr>
        <w:t xml:space="preserve">There were no changes in the accounting policies applied by the Company during 2016. </w:t>
      </w:r>
      <w:r>
        <w:rPr>
          <w:rFonts w:ascii="Arial" w:cs="Arial" w:eastAsia="Arial" w:hAnsi="Arial"/>
          <w:sz w:val="16"/>
          <w:szCs w:val="16"/>
          <w:u w:val="single" w:color="auto"/>
          <w:color w:val="auto"/>
        </w:rPr>
        <w:t>New standards and interpretations not yet adopted</w:t>
      </w:r>
    </w:p>
    <w:p>
      <w:pPr>
        <w:ind w:left="1140" w:right="20"/>
        <w:spacing w:after="0" w:line="318" w:lineRule="auto"/>
        <w:rPr>
          <w:rFonts w:ascii="Arial" w:cs="Arial" w:eastAsia="Arial" w:hAnsi="Arial"/>
          <w:sz w:val="16"/>
          <w:szCs w:val="16"/>
          <w:b w:val="1"/>
          <w:bCs w:val="1"/>
          <w:color w:val="auto"/>
        </w:rPr>
      </w:pPr>
      <w:r>
        <w:rPr>
          <w:rFonts w:ascii="Arial" w:cs="Arial" w:eastAsia="Arial" w:hAnsi="Arial"/>
          <w:sz w:val="15"/>
          <w:szCs w:val="15"/>
          <w:color w:val="auto"/>
        </w:rPr>
        <w:t>Certain new accounting standards and interpretations have been published that are not mandatory for reporting periods prior to January 1, 2017, and have not been early adopted by the Company. The Company’s assessment of the impact of these new standards and interpretations is set out below.</w:t>
      </w:r>
    </w:p>
    <w:p>
      <w:pPr>
        <w:spacing w:after="0" w:line="127" w:lineRule="exact"/>
        <w:rPr>
          <w:rFonts w:ascii="Arial" w:cs="Arial" w:eastAsia="Arial" w:hAnsi="Arial"/>
          <w:sz w:val="16"/>
          <w:szCs w:val="16"/>
          <w:b w:val="1"/>
          <w:bCs w:val="1"/>
          <w:color w:val="auto"/>
        </w:rPr>
      </w:pPr>
    </w:p>
    <w:p>
      <w:pPr>
        <w:jc w:val="both"/>
        <w:ind w:left="114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IFRS 9, “Financial instruments,” addresses the classification, measurement and recognition of financial assets and financial liabilities. The complete version of IFRS 9 was issued in July 2014. It replaces the guidance in IAS 39 that relates to the classification and measurement of financial instruments. IFRS 9 retains but simplifies the mixed measurement model and establishes three primary measurement categories for financial assets: amortized cost, fair value through other comprehensive income, and fair value through profit or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Further, the expected credit losses model replaces the incurred loss impairment model used in IAS 39. For financial liabilities, there were no changes to classification and measurement except for the recognition of changes in the Company’s own credit risk in other comprehensive income for liabilities designated at fair value through profit or loss. The standard is effective for accounting periods beginning on or after January 1, 2018. Early adoption is permitted. The Company is currently assessing the impact of adopting IFRS 9.</w:t>
      </w:r>
    </w:p>
    <w:p>
      <w:pPr>
        <w:spacing w:after="0" w:line="172" w:lineRule="exact"/>
        <w:rPr>
          <w:rFonts w:ascii="Arial" w:cs="Arial" w:eastAsia="Arial" w:hAnsi="Arial"/>
          <w:sz w:val="16"/>
          <w:szCs w:val="16"/>
          <w:b w:val="1"/>
          <w:bCs w:val="1"/>
          <w:color w:val="auto"/>
        </w:rPr>
      </w:pPr>
    </w:p>
    <w:p>
      <w:pPr>
        <w:jc w:val="both"/>
        <w:ind w:left="1140" w:right="20"/>
        <w:spacing w:after="0" w:line="286" w:lineRule="auto"/>
        <w:rPr>
          <w:rFonts w:ascii="Arial" w:cs="Arial" w:eastAsia="Arial" w:hAnsi="Arial"/>
          <w:sz w:val="16"/>
          <w:szCs w:val="16"/>
          <w:b w:val="1"/>
          <w:bCs w:val="1"/>
          <w:color w:val="auto"/>
        </w:rPr>
      </w:pPr>
      <w:r>
        <w:rPr>
          <w:rFonts w:ascii="Arial" w:cs="Arial" w:eastAsia="Arial" w:hAnsi="Arial"/>
          <w:sz w:val="15"/>
          <w:szCs w:val="15"/>
          <w:color w:val="auto"/>
        </w:rPr>
        <w:t>IFRS 15, “Revenue from Contracts with Customers,” which was issued in May 2014, amends revenue recognition requirements and establishes principles for reporting information about the nature, amount, timing and uncertainty of revenue and cash flows arising from contracts with customers. The standard replaces IAS 18, “Revenue” and IAS 11, “Construction Contracts” and related interpretations. The standard is effective for annual periods beginning on or after January 1, 2018. The Company currently does not have any revenues, and will assess the impact of adopting IFRS 15 when relevant.</w:t>
      </w:r>
    </w:p>
    <w:p>
      <w:pPr>
        <w:spacing w:after="0" w:line="151" w:lineRule="exact"/>
        <w:rPr>
          <w:rFonts w:ascii="Arial" w:cs="Arial" w:eastAsia="Arial" w:hAnsi="Arial"/>
          <w:sz w:val="16"/>
          <w:szCs w:val="16"/>
          <w:b w:val="1"/>
          <w:bCs w:val="1"/>
          <w:color w:val="auto"/>
        </w:rPr>
      </w:pPr>
    </w:p>
    <w:p>
      <w:pPr>
        <w:jc w:val="both"/>
        <w:ind w:left="1140" w:right="20"/>
        <w:spacing w:after="0" w:line="260" w:lineRule="auto"/>
        <w:rPr>
          <w:rFonts w:ascii="Arial" w:cs="Arial" w:eastAsia="Arial" w:hAnsi="Arial"/>
          <w:sz w:val="16"/>
          <w:szCs w:val="16"/>
          <w:b w:val="1"/>
          <w:bCs w:val="1"/>
          <w:color w:val="auto"/>
        </w:rPr>
      </w:pPr>
      <w:r>
        <w:rPr>
          <w:rFonts w:ascii="Arial" w:cs="Arial" w:eastAsia="Arial" w:hAnsi="Arial"/>
          <w:sz w:val="16"/>
          <w:szCs w:val="16"/>
          <w:color w:val="auto"/>
        </w:rPr>
        <w:t>IFRS 16, “Leases,” which was issued in January 2016, sets out the principles for the recognition, measurement, presentation and disclosure of leases for both parties to a contract and replaces the previous lease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amortization of lease assets separately from interest on lease liabilities in the income statement. IFRS 16 is effective from January 1, 2019, with early adoption allowed only if IFRS 15, “Revenue from Contracts with Customers,” is also applied.</w:t>
      </w:r>
    </w:p>
    <w:p>
      <w:pPr>
        <w:spacing w:after="0" w:line="167" w:lineRule="exact"/>
        <w:rPr>
          <w:rFonts w:ascii="Arial" w:cs="Arial" w:eastAsia="Arial" w:hAnsi="Arial"/>
          <w:sz w:val="16"/>
          <w:szCs w:val="16"/>
          <w:b w:val="1"/>
          <w:bCs w:val="1"/>
          <w:color w:val="auto"/>
        </w:rPr>
      </w:pPr>
    </w:p>
    <w:p>
      <w:pPr>
        <w:ind w:left="1140" w:right="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At this stage, the Company is not able to estimate the impact of the new standards on the Company’s financial statements, and continues to assess the possible impact. The Company will make more detailed assessments over the next twelve months.</w:t>
      </w:r>
    </w:p>
    <w:p>
      <w:pPr>
        <w:spacing w:after="0" w:line="150" w:lineRule="exact"/>
        <w:rPr>
          <w:rFonts w:ascii="Arial" w:cs="Arial" w:eastAsia="Arial" w:hAnsi="Arial"/>
          <w:sz w:val="16"/>
          <w:szCs w:val="16"/>
          <w:b w:val="1"/>
          <w:bCs w:val="1"/>
          <w:color w:val="auto"/>
        </w:rPr>
      </w:pPr>
    </w:p>
    <w:p>
      <w:pPr>
        <w:ind w:left="1140" w:right="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There are no other standards that are not yet effective and that would be expected to have a material impact on the Company in the current or future reporting periods and on foreseeable future transactions.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NOTE 3 – FINANCIAL RISK MANAGEMENT</w:t>
      </w:r>
    </w:p>
    <w:p>
      <w:pPr>
        <w:spacing w:after="0" w:line="206" w:lineRule="exact"/>
        <w:rPr>
          <w:sz w:val="20"/>
          <w:szCs w:val="20"/>
          <w:color w:val="auto"/>
        </w:rPr>
      </w:pPr>
    </w:p>
    <w:p>
      <w:pPr>
        <w:jc w:val="both"/>
        <w:ind w:left="800" w:right="20"/>
        <w:spacing w:after="0" w:line="283" w:lineRule="auto"/>
        <w:rPr>
          <w:sz w:val="20"/>
          <w:szCs w:val="20"/>
          <w:color w:val="auto"/>
        </w:rPr>
      </w:pPr>
      <w:r>
        <w:rPr>
          <w:rFonts w:ascii="Arial" w:cs="Arial" w:eastAsia="Arial" w:hAnsi="Arial"/>
          <w:sz w:val="16"/>
          <w:szCs w:val="16"/>
          <w:color w:val="auto"/>
        </w:rPr>
        <w:t>Based on assessments by Company management, the Company’s exposure to credit risk as of December 31, 2016 is immaterial (see Note 3b). The activities of the Company expose it to market risk, particularly as a result of currency risk.</w:t>
      </w:r>
    </w:p>
    <w:p>
      <w:pPr>
        <w:spacing w:after="0" w:line="151" w:lineRule="exact"/>
        <w:rPr>
          <w:sz w:val="20"/>
          <w:szCs w:val="20"/>
          <w:color w:val="auto"/>
        </w:rPr>
      </w:pPr>
    </w:p>
    <w:p>
      <w:pPr>
        <w:jc w:val="both"/>
        <w:ind w:left="800" w:right="20"/>
        <w:spacing w:after="0" w:line="263" w:lineRule="auto"/>
        <w:rPr>
          <w:sz w:val="20"/>
          <w:szCs w:val="20"/>
          <w:color w:val="auto"/>
        </w:rPr>
      </w:pPr>
      <w:r>
        <w:rPr>
          <w:rFonts w:ascii="Arial" w:cs="Arial" w:eastAsia="Arial" w:hAnsi="Arial"/>
          <w:sz w:val="16"/>
          <w:szCs w:val="16"/>
          <w:color w:val="auto"/>
        </w:rPr>
        <w:t>The Company’s Finance Department is responsible for carrying out risk management activities in accordance with policies approved by its Board of Directors. In this regard, the Finance Department identifies, defines and assesses financial risks in close cooperation with other Company departments. The Board of Directors provides written guidelines for overall risk management, as well as written policies dealing with specific areas, such as exchange rate risk, interest rate risk, credit risk, use of financial instruments, and investment of excess cash.</w:t>
      </w:r>
    </w:p>
    <w:p>
      <w:pPr>
        <w:spacing w:after="0" w:line="164" w:lineRule="exact"/>
        <w:rPr>
          <w:sz w:val="20"/>
          <w:szCs w:val="20"/>
          <w:color w:val="auto"/>
        </w:rPr>
      </w:pPr>
    </w:p>
    <w:p>
      <w:pPr>
        <w:ind w:left="1140" w:hanging="339"/>
        <w:spacing w:after="0"/>
        <w:tabs>
          <w:tab w:leader="none" w:pos="114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Market risk</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Concentration of currency risk</w:t>
      </w:r>
    </w:p>
    <w:p>
      <w:pPr>
        <w:spacing w:after="0" w:line="205" w:lineRule="exact"/>
        <w:rPr>
          <w:rFonts w:ascii="Arial" w:cs="Arial" w:eastAsia="Arial" w:hAnsi="Arial"/>
          <w:sz w:val="16"/>
          <w:szCs w:val="16"/>
          <w:color w:val="auto"/>
        </w:rPr>
      </w:pPr>
    </w:p>
    <w:p>
      <w:pPr>
        <w:ind w:left="1500" w:right="20"/>
        <w:spacing w:after="0" w:line="283" w:lineRule="auto"/>
        <w:rPr>
          <w:rFonts w:ascii="Arial" w:cs="Arial" w:eastAsia="Arial" w:hAnsi="Arial"/>
          <w:sz w:val="16"/>
          <w:szCs w:val="16"/>
          <w:color w:val="auto"/>
        </w:rPr>
      </w:pPr>
      <w:r>
        <w:rPr>
          <w:rFonts w:ascii="Arial" w:cs="Arial" w:eastAsia="Arial" w:hAnsi="Arial"/>
          <w:sz w:val="16"/>
          <w:szCs w:val="16"/>
          <w:color w:val="auto"/>
        </w:rPr>
        <w:t>The Company’s activities are partly denominated in non-dollar currencies (primarily the NIS), which exposes the Company to risks resulting from changes in exchange rates.</w:t>
      </w:r>
    </w:p>
    <w:p>
      <w:pPr>
        <w:spacing w:after="0" w:line="150"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6"/>
          <w:szCs w:val="16"/>
          <w:color w:val="auto"/>
        </w:rPr>
        <w:t>The effect of fluctuations in various exchange rates on the Company’s income and equity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 2016</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7"/>
                <w:szCs w:val="17"/>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Value on</w:t>
            </w:r>
          </w:p>
        </w:tc>
        <w:tc>
          <w:tcPr>
            <w:tcW w:w="248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Sensitive instrument</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 increase</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 increase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balance sheet</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 decrease</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10% decrease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in USD thousands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NIS-linked balances: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Cash and cash equivalents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(33)</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368</w:t>
            </w: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receivables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Trade payables</w:t>
            </w: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(438)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payables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Total NIS-linked balances</w:t>
            </w: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(748)</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(39)</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Euro-linked trade payables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(1,161)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Company also maintains cash and cash equivalent balances in other currencies in amounts that are not material.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 2015</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4"/>
          </w:tcPr>
          <w:p>
            <w:pPr>
              <w:jc w:val="right"/>
              <w:ind w:right="9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7"/>
                <w:szCs w:val="17"/>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Value on</w:t>
            </w:r>
          </w:p>
        </w:tc>
        <w:tc>
          <w:tcPr>
            <w:tcW w:w="248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Sensitive instrument</w:t>
            </w: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 increase</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 increase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balance sheet</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 decrease</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10% decrease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in USD thousands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NIS-linked balances:</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Cash and cash equivalents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(199)</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(104)</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2,192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244</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receivables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266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6"/>
                <w:szCs w:val="16"/>
                <w:color w:val="auto"/>
              </w:rPr>
              <w:t>Trade payables</w:t>
            </w: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(374)</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(42)</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payables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Total NIS-linked balances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(86)</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(45)</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947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106</w:t>
            </w:r>
          </w:p>
        </w:tc>
        <w:tc>
          <w:tcPr>
            <w:tcW w:w="11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80" w:type="dxa"/>
            <w:vAlign w:val="bottom"/>
            <w:gridSpan w:val="2"/>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Euro-linked trade payables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(102)</w:t>
            </w: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778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125</w:t>
            </w: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F - 16</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7" w:right="2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3 – FINANCIAL RISK MANAGEMENT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color w:val="auto"/>
        </w:rPr>
        <w:t>(cont.)</w:t>
      </w:r>
    </w:p>
    <w:p>
      <w:pPr>
        <w:spacing w:after="0" w:line="258" w:lineRule="exact"/>
        <w:rPr>
          <w:rFonts w:ascii="Arial" w:cs="Arial" w:eastAsia="Arial" w:hAnsi="Arial"/>
          <w:sz w:val="16"/>
          <w:szCs w:val="16"/>
          <w:b w:val="1"/>
          <w:bCs w:val="1"/>
          <w:color w:val="auto"/>
        </w:rPr>
      </w:pPr>
    </w:p>
    <w:p>
      <w:pPr>
        <w:ind w:left="1480" w:hanging="338"/>
        <w:spacing w:after="0"/>
        <w:tabs>
          <w:tab w:leader="none" w:pos="14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Concentration of currency risk (cont.)</w:t>
      </w:r>
    </w:p>
    <w:p>
      <w:pPr>
        <w:spacing w:after="0" w:line="205"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6"/>
          <w:szCs w:val="16"/>
          <w:color w:val="auto"/>
        </w:rPr>
        <w:t>Set forth below is certain data regarding dollar exchange rates:</w:t>
      </w:r>
    </w:p>
    <w:p>
      <w:pPr>
        <w:spacing w:after="0" w:line="20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0" w:type="dxa"/>
            <w:vAlign w:val="bottom"/>
            <w:gridSpan w:val="2"/>
          </w:tcPr>
          <w:p>
            <w:pPr>
              <w:jc w:val="right"/>
              <w:spacing w:after="0"/>
              <w:rPr>
                <w:sz w:val="20"/>
                <w:szCs w:val="20"/>
                <w:color w:val="auto"/>
              </w:rPr>
            </w:pPr>
            <w:r>
              <w:rPr>
                <w:rFonts w:ascii="Arial" w:cs="Arial" w:eastAsia="Arial" w:hAnsi="Arial"/>
                <w:sz w:val="16"/>
                <w:szCs w:val="16"/>
                <w:b w:val="1"/>
                <w:bCs w:val="1"/>
                <w:color w:val="auto"/>
              </w:rPr>
              <w:t xml:space="preserve">Exchange rate of NIS per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w:t>
            </w:r>
          </w:p>
        </w:tc>
        <w:tc>
          <w:tcPr>
            <w:tcW w:w="2300" w:type="dxa"/>
            <w:vAlign w:val="bottom"/>
            <w:gridSpan w:val="2"/>
          </w:tcPr>
          <w:p>
            <w:pPr>
              <w:jc w:val="right"/>
              <w:spacing w:after="0"/>
              <w:rPr>
                <w:sz w:val="20"/>
                <w:szCs w:val="20"/>
                <w:color w:val="auto"/>
              </w:rPr>
            </w:pPr>
            <w:r>
              <w:rPr>
                <w:rFonts w:ascii="Arial" w:cs="Arial" w:eastAsia="Arial" w:hAnsi="Arial"/>
                <w:sz w:val="16"/>
                <w:szCs w:val="16"/>
                <w:b w:val="1"/>
                <w:bCs w:val="1"/>
                <w:color w:val="auto"/>
              </w:rPr>
              <w:t xml:space="preserve">Exchange rate of Euro per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90"/>
              </w:rPr>
              <w:t>As of December 31:</w:t>
            </w:r>
          </w:p>
        </w:tc>
        <w:tc>
          <w:tcPr>
            <w:tcW w:w="1040" w:type="dxa"/>
            <w:vAlign w:val="bottom"/>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20" w:type="dxa"/>
            <w:vAlign w:val="bottom"/>
          </w:tcPr>
          <w:p>
            <w:pPr>
              <w:jc w:val="right"/>
              <w:ind w:right="1699"/>
              <w:spacing w:after="0"/>
              <w:rPr>
                <w:sz w:val="20"/>
                <w:szCs w:val="20"/>
                <w:color w:val="auto"/>
              </w:rPr>
            </w:pPr>
            <w:r>
              <w:rPr>
                <w:rFonts w:ascii="Arial" w:cs="Arial" w:eastAsia="Arial" w:hAnsi="Arial"/>
                <w:sz w:val="16"/>
                <w:szCs w:val="16"/>
                <w:color w:val="auto"/>
              </w:rPr>
              <w:t>2015</w:t>
            </w:r>
          </w:p>
        </w:tc>
        <w:tc>
          <w:tcPr>
            <w:tcW w:w="3000" w:type="dxa"/>
            <w:vAlign w:val="bottom"/>
            <w:gridSpan w:val="2"/>
          </w:tcPr>
          <w:p>
            <w:pPr>
              <w:jc w:val="right"/>
              <w:spacing w:after="0"/>
              <w:rPr>
                <w:sz w:val="20"/>
                <w:szCs w:val="20"/>
                <w:color w:val="auto"/>
              </w:rPr>
            </w:pPr>
            <w:r>
              <w:rPr>
                <w:rFonts w:ascii="Arial" w:cs="Arial" w:eastAsia="Arial" w:hAnsi="Arial"/>
                <w:sz w:val="16"/>
                <w:szCs w:val="16"/>
                <w:color w:val="auto"/>
              </w:rPr>
              <w:t>3.902</w:t>
            </w:r>
          </w:p>
        </w:tc>
        <w:tc>
          <w:tcPr>
            <w:tcW w:w="2300" w:type="dxa"/>
            <w:vAlign w:val="bottom"/>
            <w:gridSpan w:val="2"/>
          </w:tcPr>
          <w:p>
            <w:pPr>
              <w:jc w:val="right"/>
              <w:spacing w:after="0"/>
              <w:rPr>
                <w:sz w:val="20"/>
                <w:szCs w:val="20"/>
                <w:color w:val="auto"/>
              </w:rPr>
            </w:pPr>
            <w:r>
              <w:rPr>
                <w:rFonts w:ascii="Arial" w:cs="Arial" w:eastAsia="Arial" w:hAnsi="Arial"/>
                <w:sz w:val="16"/>
                <w:szCs w:val="16"/>
                <w:color w:val="auto"/>
              </w:rPr>
              <w:t>0.919</w:t>
            </w:r>
          </w:p>
        </w:tc>
        <w:tc>
          <w:tcPr>
            <w:tcW w:w="14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jc w:val="right"/>
              <w:ind w:right="1699"/>
              <w:spacing w:after="0"/>
              <w:rPr>
                <w:sz w:val="20"/>
                <w:szCs w:val="20"/>
                <w:color w:val="auto"/>
              </w:rPr>
            </w:pPr>
            <w:r>
              <w:rPr>
                <w:rFonts w:ascii="Arial" w:cs="Arial" w:eastAsia="Arial" w:hAnsi="Arial"/>
                <w:sz w:val="16"/>
                <w:szCs w:val="16"/>
                <w:color w:val="auto"/>
              </w:rPr>
              <w:t>2016</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0.951</w:t>
            </w:r>
          </w:p>
        </w:tc>
        <w:tc>
          <w:tcPr>
            <w:tcW w:w="140" w:type="dxa"/>
            <w:vAlign w:val="bottom"/>
            <w:shd w:val="clear" w:color="auto" w:fill="CCEEFF"/>
          </w:tcPr>
          <w:p>
            <w:pPr>
              <w:spacing w:after="0"/>
              <w:rPr>
                <w:sz w:val="16"/>
                <w:szCs w:val="16"/>
                <w:color w:val="auto"/>
              </w:rPr>
            </w:pPr>
          </w:p>
        </w:tc>
      </w:tr>
    </w:tbl>
    <w:p>
      <w:pPr>
        <w:spacing w:after="0" w:line="195" w:lineRule="exact"/>
        <w:rPr>
          <w:sz w:val="20"/>
          <w:szCs w:val="20"/>
          <w:color w:val="auto"/>
        </w:rPr>
      </w:pPr>
    </w:p>
    <w:tbl>
      <w:tblPr>
        <w:tblLayout w:type="fixed"/>
        <w:tblInd w:w="18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6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7"/>
              </w:rPr>
              <w:t>Percentage increase (decrease) in:</w:t>
            </w:r>
          </w:p>
        </w:tc>
        <w:tc>
          <w:tcPr>
            <w:tcW w:w="28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620" w:type="dxa"/>
            <w:vAlign w:val="bottom"/>
          </w:tcPr>
          <w:p>
            <w:pPr>
              <w:jc w:val="right"/>
              <w:ind w:right="2999"/>
              <w:spacing w:after="0"/>
              <w:rPr>
                <w:sz w:val="20"/>
                <w:szCs w:val="20"/>
                <w:color w:val="auto"/>
              </w:rPr>
            </w:pPr>
            <w:r>
              <w:rPr>
                <w:rFonts w:ascii="Arial" w:cs="Arial" w:eastAsia="Arial" w:hAnsi="Arial"/>
                <w:sz w:val="16"/>
                <w:szCs w:val="16"/>
                <w:color w:val="auto"/>
              </w:rPr>
              <w:t>2015</w:t>
            </w:r>
          </w:p>
        </w:tc>
        <w:tc>
          <w:tcPr>
            <w:tcW w:w="2800" w:type="dxa"/>
            <w:vAlign w:val="bottom"/>
          </w:tcPr>
          <w:p>
            <w:pPr>
              <w:jc w:val="right"/>
              <w:ind w:right="899"/>
              <w:spacing w:after="0"/>
              <w:rPr>
                <w:sz w:val="20"/>
                <w:szCs w:val="20"/>
                <w:color w:val="auto"/>
              </w:rPr>
            </w:pPr>
            <w:r>
              <w:rPr>
                <w:rFonts w:ascii="Arial" w:cs="Arial" w:eastAsia="Arial" w:hAnsi="Arial"/>
                <w:sz w:val="16"/>
                <w:szCs w:val="16"/>
                <w:color w:val="auto"/>
              </w:rPr>
              <w:t>0.3%</w:t>
            </w:r>
          </w:p>
        </w:tc>
        <w:tc>
          <w:tcPr>
            <w:tcW w:w="13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195"/>
        </w:trPr>
        <w:tc>
          <w:tcPr>
            <w:tcW w:w="20" w:type="dxa"/>
            <w:vAlign w:val="bottom"/>
          </w:tcPr>
          <w:p>
            <w:pPr>
              <w:spacing w:after="0"/>
              <w:rPr>
                <w:sz w:val="16"/>
                <w:szCs w:val="16"/>
                <w:color w:val="auto"/>
              </w:rPr>
            </w:pPr>
          </w:p>
        </w:tc>
        <w:tc>
          <w:tcPr>
            <w:tcW w:w="3620" w:type="dxa"/>
            <w:vAlign w:val="bottom"/>
            <w:shd w:val="clear" w:color="auto" w:fill="CCEEFF"/>
          </w:tcPr>
          <w:p>
            <w:pPr>
              <w:jc w:val="right"/>
              <w:ind w:right="2999"/>
              <w:spacing w:after="0"/>
              <w:rPr>
                <w:sz w:val="20"/>
                <w:szCs w:val="20"/>
                <w:color w:val="auto"/>
              </w:rPr>
            </w:pPr>
            <w:r>
              <w:rPr>
                <w:rFonts w:ascii="Arial" w:cs="Arial" w:eastAsia="Arial" w:hAnsi="Arial"/>
                <w:sz w:val="16"/>
                <w:szCs w:val="16"/>
                <w:color w:val="auto"/>
              </w:rPr>
              <w:t>2016</w:t>
            </w:r>
          </w:p>
        </w:tc>
        <w:tc>
          <w:tcPr>
            <w:tcW w:w="28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(1.5)%</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bl>
    <w:p>
      <w:pPr>
        <w:spacing w:after="0" w:line="23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Set forth below is information on the linkage of monetary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780" w:type="dxa"/>
            <w:vAlign w:val="bottom"/>
            <w:gridSpan w:val="5"/>
          </w:tcPr>
          <w:p>
            <w:pPr>
              <w:jc w:val="center"/>
              <w:ind w:right="1200"/>
              <w:spacing w:after="0"/>
              <w:rPr>
                <w:sz w:val="20"/>
                <w:szCs w:val="20"/>
                <w:color w:val="auto"/>
              </w:rPr>
            </w:pPr>
            <w:r>
              <w:rPr>
                <w:rFonts w:ascii="Arial" w:cs="Arial" w:eastAsia="Arial" w:hAnsi="Arial"/>
                <w:sz w:val="16"/>
                <w:szCs w:val="16"/>
                <w:b w:val="1"/>
                <w:bCs w:val="1"/>
                <w:color w:val="auto"/>
                <w:w w:val="90"/>
              </w:rPr>
              <w:t>December 31, 2015</w:t>
            </w:r>
          </w:p>
        </w:tc>
        <w:tc>
          <w:tcPr>
            <w:tcW w:w="106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6"/>
                <w:szCs w:val="16"/>
                <w:b w:val="1"/>
                <w:bCs w:val="1"/>
                <w:color w:val="auto"/>
              </w:rPr>
              <w:t>December 31, 2016</w:t>
            </w:r>
          </w:p>
        </w:tc>
      </w:tr>
      <w:tr>
        <w:trPr>
          <w:trHeight w:val="199"/>
        </w:trPr>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Dollar</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NIS</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Other currencies</w:t>
            </w:r>
          </w:p>
        </w:tc>
        <w:tc>
          <w:tcPr>
            <w:tcW w:w="2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Dollar</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NIS</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Other currencies</w:t>
            </w:r>
          </w:p>
        </w:tc>
        <w:tc>
          <w:tcPr>
            <w:tcW w:w="100" w:type="dxa"/>
            <w:vAlign w:val="bottom"/>
          </w:tcPr>
          <w:p>
            <w:pPr>
              <w:spacing w:after="0"/>
              <w:rPr>
                <w:sz w:val="17"/>
                <w:szCs w:val="17"/>
                <w:color w:val="auto"/>
              </w:rPr>
            </w:pPr>
          </w:p>
        </w:tc>
      </w:tr>
      <w:tr>
        <w:trPr>
          <w:trHeight w:val="199"/>
        </w:trPr>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USD in thousands</w:t>
            </w:r>
          </w:p>
        </w:tc>
        <w:tc>
          <w:tcPr>
            <w:tcW w:w="11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5"/>
              </w:rPr>
              <w:t>USD in thousands</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1040" w:type="dxa"/>
            <w:vAlign w:val="bottom"/>
          </w:tcPr>
          <w:p>
            <w:pPr>
              <w:spacing w:after="0"/>
              <w:rPr>
                <w:sz w:val="16"/>
                <w:szCs w:val="16"/>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29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14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2,192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368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195"/>
        </w:trPr>
        <w:tc>
          <w:tcPr>
            <w:tcW w:w="1040" w:type="dxa"/>
            <w:vAlign w:val="bottom"/>
          </w:tcPr>
          <w:p>
            <w:pPr>
              <w:spacing w:after="0"/>
              <w:rPr>
                <w:sz w:val="16"/>
                <w:szCs w:val="16"/>
                <w:color w:val="auto"/>
              </w:rPr>
            </w:pPr>
          </w:p>
        </w:tc>
        <w:tc>
          <w:tcPr>
            <w:tcW w:w="2940" w:type="dxa"/>
            <w:vAlign w:val="bottom"/>
          </w:tcPr>
          <w:p>
            <w:pPr>
              <w:ind w:left="280"/>
              <w:spacing w:after="0"/>
              <w:rPr>
                <w:sz w:val="20"/>
                <w:szCs w:val="20"/>
                <w:color w:val="auto"/>
              </w:rPr>
            </w:pPr>
            <w:r>
              <w:rPr>
                <w:rFonts w:ascii="Arial" w:cs="Arial" w:eastAsia="Arial" w:hAnsi="Arial"/>
                <w:sz w:val="16"/>
                <w:szCs w:val="16"/>
                <w:color w:val="auto"/>
              </w:rPr>
              <w:t>Short term bank deposits</w:t>
            </w:r>
          </w:p>
        </w:tc>
        <w:tc>
          <w:tcPr>
            <w:tcW w:w="1000" w:type="dxa"/>
            <w:vAlign w:val="bottom"/>
          </w:tcPr>
          <w:p>
            <w:pPr>
              <w:jc w:val="right"/>
              <w:spacing w:after="0"/>
              <w:rPr>
                <w:sz w:val="20"/>
                <w:szCs w:val="20"/>
                <w:color w:val="auto"/>
              </w:rPr>
            </w:pPr>
            <w:r>
              <w:rPr>
                <w:rFonts w:ascii="Arial" w:cs="Arial" w:eastAsia="Arial" w:hAnsi="Arial"/>
                <w:sz w:val="16"/>
                <w:szCs w:val="16"/>
                <w:color w:val="auto"/>
              </w:rPr>
              <w:t>42,119</w:t>
            </w:r>
          </w:p>
        </w:tc>
        <w:tc>
          <w:tcPr>
            <w:tcW w:w="1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33,154</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2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receivables</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00" w:type="dxa"/>
            <w:vAlign w:val="bottom"/>
            <w:tcBorders>
              <w:right w:val="single" w:sz="8" w:color="CCEEFF"/>
            </w:tcBorders>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223</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
        </w:trPr>
        <w:tc>
          <w:tcPr>
            <w:tcW w:w="104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104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Total assets</w:t>
            </w:r>
          </w:p>
        </w:tc>
        <w:tc>
          <w:tcPr>
            <w:tcW w:w="1000" w:type="dxa"/>
            <w:vAlign w:val="bottom"/>
          </w:tcPr>
          <w:p>
            <w:pPr>
              <w:jc w:val="right"/>
              <w:spacing w:after="0"/>
              <w:rPr>
                <w:sz w:val="20"/>
                <w:szCs w:val="20"/>
                <w:color w:val="auto"/>
              </w:rPr>
            </w:pPr>
            <w:r>
              <w:rPr>
                <w:rFonts w:ascii="Arial" w:cs="Arial" w:eastAsia="Arial" w:hAnsi="Arial"/>
                <w:sz w:val="16"/>
                <w:szCs w:val="16"/>
                <w:color w:val="auto"/>
              </w:rPr>
              <w:t>45,471</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2,458</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35,251</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591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r>
      <w:tr>
        <w:trPr>
          <w:trHeight w:val="195"/>
        </w:trPr>
        <w:tc>
          <w:tcPr>
            <w:tcW w:w="1040" w:type="dxa"/>
            <w:vAlign w:val="bottom"/>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2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2940" w:type="dxa"/>
            <w:vAlign w:val="bottom"/>
          </w:tcPr>
          <w:p>
            <w:pPr>
              <w:ind w:left="280"/>
              <w:spacing w:after="0"/>
              <w:rPr>
                <w:sz w:val="20"/>
                <w:szCs w:val="20"/>
                <w:color w:val="auto"/>
              </w:rPr>
            </w:pPr>
            <w:r>
              <w:rPr>
                <w:rFonts w:ascii="Arial" w:cs="Arial" w:eastAsia="Arial" w:hAnsi="Arial"/>
                <w:sz w:val="16"/>
                <w:szCs w:val="16"/>
                <w:color w:val="auto"/>
              </w:rPr>
              <w:t>Current maturities of bank loan</w:t>
            </w: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1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5"/>
        </w:trPr>
        <w:tc>
          <w:tcPr>
            <w:tcW w:w="1040" w:type="dxa"/>
            <w:vAlign w:val="bottom"/>
          </w:tcPr>
          <w:p>
            <w:pPr>
              <w:spacing w:after="0"/>
              <w:rPr>
                <w:sz w:val="16"/>
                <w:szCs w:val="16"/>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accruals:</w:t>
            </w: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1040" w:type="dxa"/>
            <w:vAlign w:val="bottom"/>
          </w:tcPr>
          <w:p>
            <w:pPr>
              <w:spacing w:after="0"/>
              <w:rPr>
                <w:sz w:val="16"/>
                <w:szCs w:val="16"/>
                <w:color w:val="auto"/>
              </w:rPr>
            </w:pPr>
          </w:p>
        </w:tc>
        <w:tc>
          <w:tcPr>
            <w:tcW w:w="2940" w:type="dxa"/>
            <w:vAlign w:val="bottom"/>
          </w:tcPr>
          <w:p>
            <w:pPr>
              <w:ind w:left="440"/>
              <w:spacing w:after="0"/>
              <w:rPr>
                <w:sz w:val="20"/>
                <w:szCs w:val="20"/>
                <w:color w:val="auto"/>
              </w:rPr>
            </w:pPr>
            <w:r>
              <w:rPr>
                <w:rFonts w:ascii="Arial" w:cs="Arial" w:eastAsia="Arial" w:hAnsi="Arial"/>
                <w:sz w:val="16"/>
                <w:szCs w:val="16"/>
                <w:color w:val="auto"/>
              </w:rPr>
              <w:t>Trade</w:t>
            </w:r>
          </w:p>
        </w:tc>
        <w:tc>
          <w:tcPr>
            <w:tcW w:w="1000" w:type="dxa"/>
            <w:vAlign w:val="bottom"/>
          </w:tcPr>
          <w:p>
            <w:pPr>
              <w:jc w:val="right"/>
              <w:spacing w:after="0"/>
              <w:rPr>
                <w:sz w:val="20"/>
                <w:szCs w:val="20"/>
                <w:color w:val="auto"/>
              </w:rPr>
            </w:pPr>
            <w:r>
              <w:rPr>
                <w:rFonts w:ascii="Arial" w:cs="Arial" w:eastAsia="Arial" w:hAnsi="Arial"/>
                <w:sz w:val="16"/>
                <w:szCs w:val="16"/>
                <w:color w:val="auto"/>
              </w:rPr>
              <w:t>1,218</w:t>
            </w:r>
          </w:p>
        </w:tc>
        <w:tc>
          <w:tcPr>
            <w:tcW w:w="1420" w:type="dxa"/>
            <w:vAlign w:val="bottom"/>
            <w:gridSpan w:val="3"/>
          </w:tcPr>
          <w:p>
            <w:pPr>
              <w:jc w:val="right"/>
              <w:ind w:right="200"/>
              <w:spacing w:after="0"/>
              <w:rPr>
                <w:sz w:val="20"/>
                <w:szCs w:val="20"/>
                <w:color w:val="auto"/>
              </w:rPr>
            </w:pPr>
            <w:r>
              <w:rPr>
                <w:rFonts w:ascii="Arial" w:cs="Arial" w:eastAsia="Arial" w:hAnsi="Arial"/>
                <w:sz w:val="16"/>
                <w:szCs w:val="16"/>
                <w:color w:val="auto"/>
              </w:rPr>
              <w:t>374</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318</w:t>
            </w:r>
          </w:p>
        </w:tc>
        <w:tc>
          <w:tcPr>
            <w:tcW w:w="1060" w:type="dxa"/>
            <w:vAlign w:val="bottom"/>
          </w:tcPr>
          <w:p>
            <w:pPr>
              <w:jc w:val="right"/>
              <w:spacing w:after="0"/>
              <w:rPr>
                <w:sz w:val="20"/>
                <w:szCs w:val="20"/>
                <w:color w:val="auto"/>
              </w:rPr>
            </w:pPr>
            <w:r>
              <w:rPr>
                <w:rFonts w:ascii="Arial" w:cs="Arial" w:eastAsia="Arial" w:hAnsi="Arial"/>
                <w:sz w:val="16"/>
                <w:szCs w:val="16"/>
                <w:color w:val="auto"/>
              </w:rPr>
              <w:t>1,631</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438</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521</w:t>
            </w:r>
          </w:p>
        </w:tc>
      </w:tr>
      <w:tr>
        <w:trPr>
          <w:trHeight w:val="195"/>
        </w:trPr>
        <w:tc>
          <w:tcPr>
            <w:tcW w:w="1040" w:type="dxa"/>
            <w:vAlign w:val="bottom"/>
          </w:tcPr>
          <w:p>
            <w:pPr>
              <w:spacing w:after="0"/>
              <w:rPr>
                <w:sz w:val="16"/>
                <w:szCs w:val="16"/>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1,137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901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r>
      <w:tr>
        <w:trPr>
          <w:trHeight w:val="195"/>
        </w:trPr>
        <w:tc>
          <w:tcPr>
            <w:tcW w:w="104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Arial" w:cs="Arial" w:eastAsia="Arial" w:hAnsi="Arial"/>
                <w:sz w:val="16"/>
                <w:szCs w:val="16"/>
                <w:color w:val="auto"/>
              </w:rPr>
              <w:t>Non-current liabilities</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1040" w:type="dxa"/>
            <w:vAlign w:val="bottom"/>
          </w:tcPr>
          <w:p>
            <w:pPr>
              <w:spacing w:after="0"/>
              <w:rPr>
                <w:sz w:val="15"/>
                <w:szCs w:val="15"/>
                <w:color w:val="auto"/>
              </w:rPr>
            </w:pPr>
          </w:p>
        </w:tc>
        <w:tc>
          <w:tcPr>
            <w:tcW w:w="2940" w:type="dxa"/>
            <w:vAlign w:val="bottom"/>
            <w:shd w:val="clear" w:color="auto" w:fill="CCEEFF"/>
          </w:tcPr>
          <w:p>
            <w:pPr>
              <w:ind w:left="320"/>
              <w:spacing w:after="0" w:line="182" w:lineRule="exact"/>
              <w:rPr>
                <w:sz w:val="20"/>
                <w:szCs w:val="20"/>
                <w:color w:val="auto"/>
              </w:rPr>
            </w:pPr>
            <w:r>
              <w:rPr>
                <w:rFonts w:ascii="Arial" w:cs="Arial" w:eastAsia="Arial" w:hAnsi="Arial"/>
                <w:sz w:val="16"/>
                <w:szCs w:val="16"/>
                <w:color w:val="auto"/>
              </w:rPr>
              <w:t>Long-term bank loan, net of current</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7"/>
        </w:trPr>
        <w:tc>
          <w:tcPr>
            <w:tcW w:w="1040" w:type="dxa"/>
            <w:vAlign w:val="bottom"/>
          </w:tcPr>
          <w:p>
            <w:pPr>
              <w:spacing w:after="0"/>
              <w:rPr>
                <w:sz w:val="17"/>
                <w:szCs w:val="17"/>
                <w:color w:val="auto"/>
              </w:rPr>
            </w:pPr>
          </w:p>
        </w:tc>
        <w:tc>
          <w:tcPr>
            <w:tcW w:w="29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maturities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5"/>
        </w:trPr>
        <w:tc>
          <w:tcPr>
            <w:tcW w:w="104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1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1,655</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1,511</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318</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1,974</w:t>
            </w:r>
          </w:p>
        </w:tc>
        <w:tc>
          <w:tcPr>
            <w:tcW w:w="1340" w:type="dxa"/>
            <w:vAlign w:val="bottom"/>
            <w:gridSpan w:val="3"/>
          </w:tcPr>
          <w:p>
            <w:pPr>
              <w:jc w:val="right"/>
              <w:ind w:right="200"/>
              <w:spacing w:after="0"/>
              <w:rPr>
                <w:sz w:val="20"/>
                <w:szCs w:val="20"/>
                <w:color w:val="auto"/>
              </w:rPr>
            </w:pPr>
            <w:r>
              <w:rPr>
                <w:rFonts w:ascii="Arial" w:cs="Arial" w:eastAsia="Arial" w:hAnsi="Arial"/>
                <w:sz w:val="16"/>
                <w:szCs w:val="16"/>
                <w:color w:val="auto"/>
              </w:rPr>
              <w:t>1,340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598</w:t>
            </w:r>
          </w:p>
        </w:tc>
      </w:tr>
      <w:tr>
        <w:trPr>
          <w:trHeight w:val="235"/>
        </w:trPr>
        <w:tc>
          <w:tcPr>
            <w:tcW w:w="1040" w:type="dxa"/>
            <w:vAlign w:val="bottom"/>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asset value</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43,816</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33,277</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36"/>
        </w:trPr>
        <w:tc>
          <w:tcPr>
            <w:tcW w:w="1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6"/>
                <w:szCs w:val="16"/>
                <w:color w:val="auto"/>
              </w:rPr>
              <w:t>F - 17</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3 – FINANCIAL RISK MANAGEMENT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risk </w:t>
      </w:r>
      <w:r>
        <w:rPr>
          <w:rFonts w:ascii="Arial" w:cs="Arial" w:eastAsia="Arial" w:hAnsi="Arial"/>
          <w:sz w:val="16"/>
          <w:szCs w:val="16"/>
          <w:color w:val="auto"/>
        </w:rPr>
        <w:t>(cont.)</w:t>
      </w:r>
    </w:p>
    <w:p>
      <w:pPr>
        <w:spacing w:after="0" w:line="258" w:lineRule="exact"/>
        <w:rPr>
          <w:rFonts w:ascii="Arial" w:cs="Arial" w:eastAsia="Arial" w:hAnsi="Arial"/>
          <w:sz w:val="16"/>
          <w:szCs w:val="16"/>
          <w:b w:val="1"/>
          <w:bCs w:val="1"/>
          <w:color w:val="auto"/>
        </w:rPr>
      </w:pPr>
    </w:p>
    <w:p>
      <w:pPr>
        <w:ind w:left="1480" w:hanging="338"/>
        <w:spacing w:after="0"/>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Fair value of financial instruments</w:t>
      </w:r>
    </w:p>
    <w:p>
      <w:pPr>
        <w:spacing w:after="0" w:line="254" w:lineRule="exact"/>
        <w:rPr>
          <w:rFonts w:ascii="Arial" w:cs="Arial" w:eastAsia="Arial" w:hAnsi="Arial"/>
          <w:sz w:val="16"/>
          <w:szCs w:val="16"/>
          <w:color w:val="auto"/>
        </w:rPr>
      </w:pPr>
    </w:p>
    <w:p>
      <w:pPr>
        <w:ind w:left="1500" w:right="20"/>
        <w:spacing w:after="0" w:line="283" w:lineRule="auto"/>
        <w:rPr>
          <w:rFonts w:ascii="Arial" w:cs="Arial" w:eastAsia="Arial" w:hAnsi="Arial"/>
          <w:sz w:val="16"/>
          <w:szCs w:val="16"/>
          <w:color w:val="auto"/>
        </w:rPr>
      </w:pPr>
      <w:r>
        <w:rPr>
          <w:rFonts w:ascii="Arial" w:cs="Arial" w:eastAsia="Arial" w:hAnsi="Arial"/>
          <w:sz w:val="16"/>
          <w:szCs w:val="16"/>
          <w:color w:val="auto"/>
        </w:rPr>
        <w:t>As of December 31, 2016, the financial instruments of the Company consist of non-derivative assets and liabilities (primarily working capital items and deposits), as well as warrants classified as a liability.</w:t>
      </w:r>
    </w:p>
    <w:p>
      <w:pPr>
        <w:spacing w:after="0" w:line="199" w:lineRule="exact"/>
        <w:rPr>
          <w:rFonts w:ascii="Arial" w:cs="Arial" w:eastAsia="Arial" w:hAnsi="Arial"/>
          <w:sz w:val="16"/>
          <w:szCs w:val="16"/>
          <w:color w:val="auto"/>
        </w:rPr>
      </w:pPr>
    </w:p>
    <w:p>
      <w:pPr>
        <w:ind w:left="1500" w:right="20"/>
        <w:spacing w:after="0" w:line="283" w:lineRule="auto"/>
        <w:rPr>
          <w:rFonts w:ascii="Arial" w:cs="Arial" w:eastAsia="Arial" w:hAnsi="Arial"/>
          <w:sz w:val="16"/>
          <w:szCs w:val="16"/>
          <w:color w:val="auto"/>
        </w:rPr>
      </w:pPr>
      <w:r>
        <w:rPr>
          <w:rFonts w:ascii="Arial" w:cs="Arial" w:eastAsia="Arial" w:hAnsi="Arial"/>
          <w:sz w:val="16"/>
          <w:szCs w:val="16"/>
          <w:color w:val="auto"/>
        </w:rPr>
        <w:t>With regard to non-derivative assets and liabilities, given their nature, the fair value of the financial instruments included in working capital is generally close or identical to their carrying amount.</w:t>
      </w:r>
    </w:p>
    <w:p>
      <w:pPr>
        <w:spacing w:after="0" w:line="199"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6"/>
          <w:szCs w:val="16"/>
          <w:color w:val="auto"/>
        </w:rPr>
        <w:t>With regard to the warrants classified as a liability, see Note 10c(1) and 10c(2).</w:t>
      </w:r>
    </w:p>
    <w:p>
      <w:pPr>
        <w:spacing w:after="0" w:line="205" w:lineRule="exact"/>
        <w:rPr>
          <w:rFonts w:ascii="Arial" w:cs="Arial" w:eastAsia="Arial" w:hAnsi="Arial"/>
          <w:sz w:val="16"/>
          <w:szCs w:val="16"/>
          <w:color w:val="auto"/>
        </w:rPr>
      </w:pPr>
    </w:p>
    <w:p>
      <w:pPr>
        <w:ind w:left="1480" w:hanging="338"/>
        <w:spacing w:after="0"/>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Exposure to market risk and management thereof</w:t>
      </w:r>
    </w:p>
    <w:p>
      <w:pPr>
        <w:spacing w:after="0" w:line="254" w:lineRule="exact"/>
        <w:rPr>
          <w:rFonts w:ascii="Arial" w:cs="Arial" w:eastAsia="Arial" w:hAnsi="Arial"/>
          <w:sz w:val="16"/>
          <w:szCs w:val="16"/>
          <w:color w:val="auto"/>
        </w:rPr>
      </w:pPr>
    </w:p>
    <w:p>
      <w:pPr>
        <w:ind w:left="1500" w:right="20"/>
        <w:spacing w:after="0" w:line="318" w:lineRule="auto"/>
        <w:rPr>
          <w:rFonts w:ascii="Arial" w:cs="Arial" w:eastAsia="Arial" w:hAnsi="Arial"/>
          <w:sz w:val="16"/>
          <w:szCs w:val="16"/>
          <w:color w:val="auto"/>
        </w:rPr>
      </w:pPr>
      <w:r>
        <w:rPr>
          <w:rFonts w:ascii="Arial" w:cs="Arial" w:eastAsia="Arial" w:hAnsi="Arial"/>
          <w:sz w:val="15"/>
          <w:szCs w:val="15"/>
          <w:color w:val="auto"/>
        </w:rPr>
        <w:t>In the opinion of Company management, the market risk to which the Company is exposed is primarily related to currency risk exposure, as mentioned above. Additionally, Company management does not consider the interest rate risk mentioned in paragraph 4 below to be material.</w:t>
      </w:r>
    </w:p>
    <w:p>
      <w:pPr>
        <w:spacing w:after="0" w:line="127" w:lineRule="exact"/>
        <w:rPr>
          <w:rFonts w:ascii="Arial" w:cs="Arial" w:eastAsia="Arial" w:hAnsi="Arial"/>
          <w:sz w:val="16"/>
          <w:szCs w:val="16"/>
          <w:color w:val="auto"/>
        </w:rPr>
      </w:pPr>
    </w:p>
    <w:p>
      <w:pPr>
        <w:ind w:left="1480" w:hanging="338"/>
        <w:spacing w:after="0"/>
        <w:tabs>
          <w:tab w:leader="none" w:pos="14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Interest rate risk</w:t>
      </w:r>
    </w:p>
    <w:p>
      <w:pPr>
        <w:spacing w:after="0" w:line="254" w:lineRule="exact"/>
        <w:rPr>
          <w:rFonts w:ascii="Arial" w:cs="Arial" w:eastAsia="Arial" w:hAnsi="Arial"/>
          <w:sz w:val="16"/>
          <w:szCs w:val="16"/>
          <w:color w:val="auto"/>
        </w:rPr>
      </w:pPr>
    </w:p>
    <w:p>
      <w:pPr>
        <w:ind w:left="1500" w:right="20"/>
        <w:spacing w:after="0" w:line="283" w:lineRule="auto"/>
        <w:rPr>
          <w:rFonts w:ascii="Arial" w:cs="Arial" w:eastAsia="Arial" w:hAnsi="Arial"/>
          <w:sz w:val="16"/>
          <w:szCs w:val="16"/>
          <w:color w:val="auto"/>
        </w:rPr>
      </w:pPr>
      <w:r>
        <w:rPr>
          <w:rFonts w:ascii="Arial" w:cs="Arial" w:eastAsia="Arial" w:hAnsi="Arial"/>
          <w:sz w:val="16"/>
          <w:szCs w:val="16"/>
          <w:color w:val="auto"/>
        </w:rPr>
        <w:t>Company management does not consider interest rate risk to be material, as the Company holds deposits and short-term government bonds whose fair value and/or cash flows are not materially affected by changes in interest rates.</w:t>
      </w:r>
    </w:p>
    <w:p>
      <w:pPr>
        <w:spacing w:after="0" w:line="146" w:lineRule="exact"/>
        <w:rPr>
          <w:rFonts w:ascii="Arial" w:cs="Arial" w:eastAsia="Arial" w:hAnsi="Arial"/>
          <w:sz w:val="16"/>
          <w:szCs w:val="16"/>
          <w:color w:val="auto"/>
        </w:rPr>
      </w:pPr>
    </w:p>
    <w:p>
      <w:pPr>
        <w:ind w:left="1140" w:hanging="339"/>
        <w:spacing w:after="0"/>
        <w:tabs>
          <w:tab w:leader="none" w:pos="114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Credit risk</w:t>
      </w:r>
    </w:p>
    <w:p>
      <w:pPr>
        <w:spacing w:after="0" w:line="258"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Credit risk is managed at the Company level. These risks relate to cash and cash equivalents, bank deposits and other receivables.</w:t>
      </w:r>
    </w:p>
    <w:p>
      <w:pPr>
        <w:spacing w:after="0" w:line="254" w:lineRule="exact"/>
        <w:rPr>
          <w:rFonts w:ascii="Arial" w:cs="Arial" w:eastAsia="Arial" w:hAnsi="Arial"/>
          <w:sz w:val="16"/>
          <w:szCs w:val="16"/>
          <w:b w:val="1"/>
          <w:bCs w:val="1"/>
          <w:color w:val="auto"/>
        </w:rPr>
      </w:pPr>
    </w:p>
    <w:p>
      <w:pPr>
        <w:ind w:left="1140" w:right="2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 Company’s cash, cash equivalents and short-term bank deposits at December 31, 2015, and 2016 were mainly deposited with highly-rated major Israeli and U.S. banks. In the Company’s opinion, the credit risk associated with these balances is remote.</w:t>
      </w:r>
    </w:p>
    <w:p>
      <w:pPr>
        <w:spacing w:after="0" w:line="199"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The Company considers its maximum exposure to credit risk to be as follows: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8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December 31,</w:t>
            </w:r>
          </w:p>
        </w:tc>
      </w:tr>
      <w:tr>
        <w:trPr>
          <w:trHeight w:val="199"/>
        </w:trPr>
        <w:tc>
          <w:tcPr>
            <w:tcW w:w="70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99"/>
        </w:trPr>
        <w:tc>
          <w:tcPr>
            <w:tcW w:w="70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USD</w:t>
            </w:r>
          </w:p>
        </w:tc>
        <w:tc>
          <w:tcPr>
            <w:tcW w:w="10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w w:val="83"/>
              </w:rPr>
              <w:t>thousands</w:t>
            </w:r>
          </w:p>
        </w:tc>
        <w:tc>
          <w:tcPr>
            <w:tcW w:w="80" w:type="dxa"/>
            <w:vAlign w:val="bottom"/>
          </w:tcPr>
          <w:p>
            <w:pPr>
              <w:spacing w:after="0"/>
              <w:rPr>
                <w:sz w:val="17"/>
                <w:szCs w:val="17"/>
                <w:color w:val="auto"/>
              </w:rPr>
            </w:pPr>
          </w:p>
        </w:tc>
      </w:tr>
      <w:tr>
        <w:trPr>
          <w:trHeight w:val="195"/>
        </w:trPr>
        <w:tc>
          <w:tcPr>
            <w:tcW w:w="7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5"/>
        </w:trPr>
        <w:tc>
          <w:tcPr>
            <w:tcW w:w="706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920" w:type="dxa"/>
            <w:vAlign w:val="bottom"/>
          </w:tcPr>
          <w:p>
            <w:pPr>
              <w:jc w:val="right"/>
              <w:spacing w:after="0"/>
              <w:rPr>
                <w:sz w:val="20"/>
                <w:szCs w:val="20"/>
                <w:color w:val="auto"/>
              </w:rPr>
            </w:pPr>
            <w:r>
              <w:rPr>
                <w:rFonts w:ascii="Arial" w:cs="Arial" w:eastAsia="Arial" w:hAnsi="Arial"/>
                <w:sz w:val="16"/>
                <w:szCs w:val="16"/>
                <w:color w:val="auto"/>
              </w:rPr>
              <w:t>5,544</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2,469</w:t>
            </w:r>
          </w:p>
        </w:tc>
        <w:tc>
          <w:tcPr>
            <w:tcW w:w="80" w:type="dxa"/>
            <w:vAlign w:val="bottom"/>
          </w:tcPr>
          <w:p>
            <w:pPr>
              <w:spacing w:after="0"/>
              <w:rPr>
                <w:sz w:val="16"/>
                <w:szCs w:val="16"/>
                <w:color w:val="auto"/>
              </w:rPr>
            </w:pPr>
          </w:p>
        </w:tc>
      </w:tr>
      <w:tr>
        <w:trPr>
          <w:trHeight w:val="195"/>
        </w:trPr>
        <w:tc>
          <w:tcPr>
            <w:tcW w:w="7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Short-term bank deposits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42,119</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33,154</w:t>
            </w:r>
          </w:p>
        </w:tc>
      </w:tr>
      <w:tr>
        <w:trPr>
          <w:trHeight w:val="199"/>
        </w:trPr>
        <w:tc>
          <w:tcPr>
            <w:tcW w:w="7060" w:type="dxa"/>
            <w:vAlign w:val="bottom"/>
          </w:tcPr>
          <w:p>
            <w:pPr>
              <w:ind w:left="260"/>
              <w:spacing w:after="0"/>
              <w:rPr>
                <w:sz w:val="20"/>
                <w:szCs w:val="20"/>
                <w:color w:val="auto"/>
              </w:rPr>
            </w:pPr>
            <w:r>
              <w:rPr>
                <w:rFonts w:ascii="Arial" w:cs="Arial" w:eastAsia="Arial" w:hAnsi="Arial"/>
                <w:sz w:val="16"/>
                <w:szCs w:val="16"/>
                <w:color w:val="auto"/>
              </w:rPr>
              <w:t>Other receivables</w:t>
            </w:r>
          </w:p>
        </w:tc>
        <w:tc>
          <w:tcPr>
            <w:tcW w:w="920" w:type="dxa"/>
            <w:vAlign w:val="bottom"/>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223</w:t>
            </w:r>
          </w:p>
        </w:tc>
      </w:tr>
      <w:tr>
        <w:trPr>
          <w:trHeight w:val="235"/>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47,954</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35,846</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27" w:lineRule="exact"/>
        <w:rPr>
          <w:sz w:val="20"/>
          <w:szCs w:val="20"/>
          <w:color w:val="auto"/>
        </w:rPr>
      </w:pPr>
    </w:p>
    <w:p>
      <w:pPr>
        <w:ind w:left="1140" w:hanging="339"/>
        <w:spacing w:after="0"/>
        <w:tabs>
          <w:tab w:leader="none" w:pos="114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risk</w:t>
      </w:r>
    </w:p>
    <w:p>
      <w:pPr>
        <w:spacing w:after="0" w:line="258"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Company management monitors rolling forecasts of the Company’s liquidity reserves on the basis of anticipated cash flows and maintains the liquidity balances at a level that is sufficient to meet its needs.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3 – FINANCIAL RISK MANAGEMENT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Liquidity risk </w:t>
      </w:r>
      <w:r>
        <w:rPr>
          <w:rFonts w:ascii="Arial" w:cs="Arial" w:eastAsia="Arial" w:hAnsi="Arial"/>
          <w:sz w:val="16"/>
          <w:szCs w:val="16"/>
          <w:color w:val="auto"/>
        </w:rPr>
        <w:t>(cont.)</w:t>
      </w:r>
    </w:p>
    <w:p>
      <w:pPr>
        <w:spacing w:after="0" w:line="258" w:lineRule="exact"/>
        <w:rPr>
          <w:rFonts w:ascii="Arial" w:cs="Arial" w:eastAsia="Arial" w:hAnsi="Arial"/>
          <w:sz w:val="16"/>
          <w:szCs w:val="16"/>
          <w:b w:val="1"/>
          <w:bCs w:val="1"/>
          <w:color w:val="auto"/>
        </w:rPr>
      </w:pPr>
    </w:p>
    <w:p>
      <w:pPr>
        <w:jc w:val="both"/>
        <w:ind w:left="114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Although the Company has succeeded in generating significant revenues from a number of out-licensing transactions in the past, it cannot determine with reasonable certainty if and when it will become profitable on a current basis. Management believes that the Company’s current cash and other resources will be sufficient to fund its projected cash requirements into 2019. Accordingly, in the event that the Company does not generate cash from its operating activities, the Company will need to raise additional capital in the future. Inability to raise additional capital would have a material adverse effect on the financial condition of the Company.</w:t>
      </w:r>
    </w:p>
    <w:p>
      <w:pPr>
        <w:spacing w:after="0" w:line="164" w:lineRule="exact"/>
        <w:rPr>
          <w:rFonts w:ascii="Arial" w:cs="Arial" w:eastAsia="Arial" w:hAnsi="Arial"/>
          <w:sz w:val="16"/>
          <w:szCs w:val="16"/>
          <w:b w:val="1"/>
          <w:bCs w:val="1"/>
          <w:color w:val="auto"/>
        </w:rPr>
      </w:pPr>
    </w:p>
    <w:p>
      <w:pPr>
        <w:ind w:left="1140" w:hanging="339"/>
        <w:spacing w:after="0"/>
        <w:tabs>
          <w:tab w:leader="none" w:pos="114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w:t>
      </w:r>
    </w:p>
    <w:p>
      <w:pPr>
        <w:spacing w:after="0" w:line="258"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5"/>
          <w:szCs w:val="15"/>
          <w:color w:val="auto"/>
        </w:rPr>
        <w:t>As of December 31, 2015 and 2016, the Company’s financial instruments consisted of loans and receivables, and warrants classified as a liability.</w:t>
      </w:r>
    </w:p>
    <w:p>
      <w:pPr>
        <w:spacing w:after="0" w:line="213" w:lineRule="exact"/>
        <w:rPr>
          <w:rFonts w:ascii="Arial" w:cs="Arial" w:eastAsia="Arial" w:hAnsi="Arial"/>
          <w:sz w:val="16"/>
          <w:szCs w:val="16"/>
          <w:b w:val="1"/>
          <w:bCs w:val="1"/>
          <w:color w:val="auto"/>
        </w:rPr>
      </w:pPr>
    </w:p>
    <w:p>
      <w:pPr>
        <w:ind w:left="1140" w:hanging="339"/>
        <w:spacing w:after="0"/>
        <w:tabs>
          <w:tab w:leader="none" w:pos="114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estimations</w:t>
      </w:r>
    </w:p>
    <w:p>
      <w:pPr>
        <w:spacing w:after="0" w:line="258" w:lineRule="exact"/>
        <w:rPr>
          <w:sz w:val="20"/>
          <w:szCs w:val="20"/>
          <w:color w:val="auto"/>
        </w:rPr>
      </w:pPr>
    </w:p>
    <w:p>
      <w:pPr>
        <w:jc w:val="both"/>
        <w:ind w:left="1140" w:right="20"/>
        <w:spacing w:after="0" w:line="268" w:lineRule="auto"/>
        <w:rPr>
          <w:sz w:val="20"/>
          <w:szCs w:val="20"/>
          <w:color w:val="auto"/>
        </w:rPr>
      </w:pPr>
      <w:r>
        <w:rPr>
          <w:rFonts w:ascii="Arial" w:cs="Arial" w:eastAsia="Arial" w:hAnsi="Arial"/>
          <w:sz w:val="16"/>
          <w:szCs w:val="16"/>
          <w:color w:val="auto"/>
        </w:rPr>
        <w:t>In February 2012 and 2013, BioLineRx completed financing transactions in which it issued ADSs and warrants to purchase additional ADSs – see Note 10c. The fair value of the warrants, which are not traded on an active market, is determined by using valuation techniques. These valuation techniques maximize the use of observable market data where it is available and rely as little as possible on entity specific estimates.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NOTE 4 – CRITICAL ACCOUNTING ESTIMATES AND JUDGMENTS</w:t>
      </w:r>
    </w:p>
    <w:p>
      <w:pPr>
        <w:spacing w:after="0" w:line="254" w:lineRule="exact"/>
        <w:rPr>
          <w:sz w:val="20"/>
          <w:szCs w:val="20"/>
          <w:color w:val="auto"/>
        </w:rPr>
      </w:pPr>
    </w:p>
    <w:p>
      <w:pPr>
        <w:jc w:val="both"/>
        <w:ind w:left="800" w:right="20"/>
        <w:spacing w:after="0" w:line="268" w:lineRule="auto"/>
        <w:rPr>
          <w:sz w:val="20"/>
          <w:szCs w:val="20"/>
          <w:color w:val="auto"/>
        </w:rPr>
      </w:pPr>
      <w:r>
        <w:rPr>
          <w:rFonts w:ascii="Arial" w:cs="Arial" w:eastAsia="Arial" w:hAnsi="Arial"/>
          <w:sz w:val="16"/>
          <w:szCs w:val="16"/>
          <w:color w:val="auto"/>
        </w:rPr>
        <w:t>As part of the financial reporting process, Company management is required to make estimates that affect the value of assets, liabilities, income, expenses and certain disclosures included in the Company’s consolidated financial statements. By their very nature, such estimates are subjective and complex and consequently may differ from actual results.</w:t>
      </w:r>
    </w:p>
    <w:p>
      <w:pPr>
        <w:spacing w:after="0" w:line="212" w:lineRule="exact"/>
        <w:rPr>
          <w:sz w:val="20"/>
          <w:szCs w:val="20"/>
          <w:color w:val="auto"/>
        </w:rPr>
      </w:pPr>
    </w:p>
    <w:p>
      <w:pPr>
        <w:jc w:val="both"/>
        <w:ind w:left="800" w:right="20"/>
        <w:spacing w:after="0" w:line="283" w:lineRule="auto"/>
        <w:rPr>
          <w:sz w:val="20"/>
          <w:szCs w:val="20"/>
          <w:color w:val="auto"/>
        </w:rPr>
      </w:pPr>
      <w:r>
        <w:rPr>
          <w:rFonts w:ascii="Arial" w:cs="Arial" w:eastAsia="Arial" w:hAnsi="Arial"/>
          <w:sz w:val="16"/>
          <w:szCs w:val="16"/>
          <w:color w:val="auto"/>
        </w:rPr>
        <w:t>The accounting estimates used in the preparation of the financial statements are continually evaluated and adjusted based on historical experience and other factors, including expectation of future events that are believed to be reasonable under the circumstances.</w:t>
      </w:r>
    </w:p>
    <w:p>
      <w:pPr>
        <w:spacing w:after="0" w:line="199" w:lineRule="exact"/>
        <w:rPr>
          <w:sz w:val="20"/>
          <w:szCs w:val="20"/>
          <w:color w:val="auto"/>
        </w:rPr>
      </w:pPr>
    </w:p>
    <w:p>
      <w:pPr>
        <w:jc w:val="both"/>
        <w:ind w:left="800" w:right="20"/>
        <w:spacing w:after="0" w:line="324" w:lineRule="auto"/>
        <w:rPr>
          <w:sz w:val="20"/>
          <w:szCs w:val="20"/>
          <w:color w:val="auto"/>
        </w:rPr>
      </w:pPr>
      <w:r>
        <w:rPr>
          <w:rFonts w:ascii="Arial" w:cs="Arial" w:eastAsia="Arial" w:hAnsi="Arial"/>
          <w:sz w:val="14"/>
          <w:szCs w:val="14"/>
          <w:color w:val="auto"/>
        </w:rPr>
        <w:t>Described below are the critical accounting estimates used in the preparation of the financial statements, the formulation of which required Company management to make assumptions as to circumstances and events that involve significant uncertainty. In using its judgment to determine the accounting estimates, the Company takes into consideration, as appropriate, the relevant facts, past experience, the effect of external factors and reasonable assumptions under the circumstances.</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Development expenses</w:t>
      </w:r>
    </w:p>
    <w:p>
      <w:pPr>
        <w:spacing w:after="0" w:line="254" w:lineRule="exact"/>
        <w:rPr>
          <w:sz w:val="20"/>
          <w:szCs w:val="20"/>
          <w:color w:val="auto"/>
        </w:rPr>
      </w:pPr>
    </w:p>
    <w:p>
      <w:pPr>
        <w:jc w:val="both"/>
        <w:ind w:left="800" w:right="20"/>
        <w:spacing w:after="0" w:line="307" w:lineRule="auto"/>
        <w:rPr>
          <w:sz w:val="20"/>
          <w:szCs w:val="20"/>
          <w:color w:val="auto"/>
        </w:rPr>
      </w:pPr>
      <w:r>
        <w:rPr>
          <w:rFonts w:ascii="Arial" w:cs="Arial" w:eastAsia="Arial" w:hAnsi="Arial"/>
          <w:sz w:val="14"/>
          <w:szCs w:val="14"/>
          <w:color w:val="auto"/>
        </w:rPr>
        <w:t>Development expenses are capitalized in accordance with the accounting policy described in Note 2o. The capitalization of costs is based on management’s judgment of technological and economic feasibility, which is usually achieved when a development project reaches a predefined milestone, or when the Company enters into a transaction to sell the know-how that resulted from the development process. In determining the amount to be capitalized, management makes assumptions as to the future anticipated cash inflows from the assets, and the anticipated period of future benefits. Company management has concluded that, as of December 31, 2016, the foregoing conditions have not been met and therefore development expenses have not been capitalized for any project.</w:t>
      </w:r>
    </w:p>
    <w:p>
      <w:pPr>
        <w:spacing w:after="0" w:line="188" w:lineRule="exact"/>
        <w:rPr>
          <w:sz w:val="20"/>
          <w:szCs w:val="20"/>
          <w:color w:val="auto"/>
        </w:rPr>
      </w:pPr>
    </w:p>
    <w:p>
      <w:pPr>
        <w:jc w:val="both"/>
        <w:ind w:left="800" w:right="20"/>
        <w:spacing w:after="0" w:line="283" w:lineRule="auto"/>
        <w:rPr>
          <w:sz w:val="20"/>
          <w:szCs w:val="20"/>
          <w:color w:val="auto"/>
        </w:rPr>
      </w:pPr>
      <w:r>
        <w:rPr>
          <w:rFonts w:ascii="Arial" w:cs="Arial" w:eastAsia="Arial" w:hAnsi="Arial"/>
          <w:sz w:val="16"/>
          <w:szCs w:val="16"/>
          <w:color w:val="auto"/>
        </w:rPr>
        <w:t>If management had determined that the aforementioned conditions had been met, the capitalization of development costs would have resulted in an increase in the Company’s profit or a decrease in its loss.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Arial" w:cs="Arial" w:eastAsia="Arial" w:hAnsi="Arial"/>
                <w:sz w:val="16"/>
                <w:szCs w:val="16"/>
                <w:color w:val="auto"/>
              </w:rPr>
              <w:t>NOTE 5 – CASH AND CASH EQUIVALENTS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5"/>
        </w:trPr>
        <w:tc>
          <w:tcPr>
            <w:tcW w:w="8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1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24"/>
                <w:szCs w:val="24"/>
                <w:color w:val="auto"/>
              </w:rPr>
            </w:pPr>
          </w:p>
        </w:tc>
      </w:tr>
      <w:tr>
        <w:trPr>
          <w:trHeight w:val="199"/>
        </w:trPr>
        <w:tc>
          <w:tcPr>
            <w:tcW w:w="8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99"/>
        </w:trPr>
        <w:tc>
          <w:tcPr>
            <w:tcW w:w="8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USD</w:t>
            </w:r>
          </w:p>
        </w:tc>
        <w:tc>
          <w:tcPr>
            <w:tcW w:w="11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w w:val="86"/>
              </w:rPr>
              <w:t>thousands</w:t>
            </w:r>
          </w:p>
        </w:tc>
        <w:tc>
          <w:tcPr>
            <w:tcW w:w="80" w:type="dxa"/>
            <w:vAlign w:val="bottom"/>
          </w:tcPr>
          <w:p>
            <w:pPr>
              <w:spacing w:after="0"/>
              <w:rPr>
                <w:sz w:val="17"/>
                <w:szCs w:val="17"/>
                <w:color w:val="auto"/>
              </w:rPr>
            </w:pPr>
          </w:p>
        </w:tc>
      </w:tr>
      <w:tr>
        <w:trPr>
          <w:trHeight w:val="195"/>
        </w:trPr>
        <w:tc>
          <w:tcPr>
            <w:tcW w:w="86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860" w:type="dxa"/>
            <w:vAlign w:val="bottom"/>
          </w:tcPr>
          <w:p>
            <w:pPr>
              <w:spacing w:after="0"/>
              <w:rPr>
                <w:sz w:val="16"/>
                <w:szCs w:val="16"/>
                <w:color w:val="auto"/>
              </w:rPr>
            </w:pPr>
          </w:p>
        </w:tc>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on hand and in bank</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80" w:type="dxa"/>
            <w:vAlign w:val="bottom"/>
            <w:shd w:val="clear" w:color="auto" w:fill="CCEEFF"/>
          </w:tcPr>
          <w:p>
            <w:pPr>
              <w:spacing w:after="0"/>
              <w:rPr>
                <w:sz w:val="16"/>
                <w:szCs w:val="16"/>
                <w:color w:val="auto"/>
              </w:rPr>
            </w:pPr>
          </w:p>
        </w:tc>
      </w:tr>
      <w:tr>
        <w:trPr>
          <w:trHeight w:val="199"/>
        </w:trPr>
        <w:tc>
          <w:tcPr>
            <w:tcW w:w="860" w:type="dxa"/>
            <w:vAlign w:val="bottom"/>
          </w:tcPr>
          <w:p>
            <w:pPr>
              <w:spacing w:after="0"/>
              <w:rPr>
                <w:sz w:val="17"/>
                <w:szCs w:val="17"/>
                <w:color w:val="auto"/>
              </w:rPr>
            </w:pPr>
          </w:p>
        </w:tc>
        <w:tc>
          <w:tcPr>
            <w:tcW w:w="7500" w:type="dxa"/>
            <w:vAlign w:val="bottom"/>
          </w:tcPr>
          <w:p>
            <w:pPr>
              <w:ind w:left="20"/>
              <w:spacing w:after="0"/>
              <w:rPr>
                <w:sz w:val="20"/>
                <w:szCs w:val="20"/>
                <w:color w:val="auto"/>
              </w:rPr>
            </w:pPr>
            <w:r>
              <w:rPr>
                <w:rFonts w:ascii="Arial" w:cs="Arial" w:eastAsia="Arial" w:hAnsi="Arial"/>
                <w:sz w:val="16"/>
                <w:szCs w:val="16"/>
                <w:color w:val="auto"/>
              </w:rPr>
              <w:t>Short-term bank deposits</w:t>
            </w:r>
          </w:p>
        </w:tc>
        <w:tc>
          <w:tcPr>
            <w:tcW w:w="960" w:type="dxa"/>
            <w:vAlign w:val="bottom"/>
          </w:tcPr>
          <w:p>
            <w:pPr>
              <w:jc w:val="right"/>
              <w:spacing w:after="0"/>
              <w:rPr>
                <w:sz w:val="20"/>
                <w:szCs w:val="20"/>
                <w:color w:val="auto"/>
              </w:rPr>
            </w:pPr>
            <w:r>
              <w:rPr>
                <w:rFonts w:ascii="Arial" w:cs="Arial" w:eastAsia="Arial" w:hAnsi="Arial"/>
                <w:sz w:val="16"/>
                <w:szCs w:val="16"/>
                <w:color w:val="auto"/>
              </w:rPr>
              <w:t>4,797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7"/>
                <w:szCs w:val="17"/>
                <w:color w:val="auto"/>
              </w:rPr>
            </w:pPr>
          </w:p>
        </w:tc>
      </w:tr>
      <w:tr>
        <w:trPr>
          <w:trHeight w:val="235"/>
        </w:trPr>
        <w:tc>
          <w:tcPr>
            <w:tcW w:w="860" w:type="dxa"/>
            <w:vAlign w:val="bottom"/>
          </w:tcPr>
          <w:p>
            <w:pPr>
              <w:spacing w:after="0"/>
              <w:rPr>
                <w:sz w:val="20"/>
                <w:szCs w:val="20"/>
                <w:color w:val="auto"/>
              </w:rPr>
            </w:pPr>
          </w:p>
        </w:tc>
        <w:tc>
          <w:tcPr>
            <w:tcW w:w="7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5,544</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31" w:lineRule="exact"/>
        <w:rPr>
          <w:sz w:val="20"/>
          <w:szCs w:val="20"/>
          <w:color w:val="auto"/>
        </w:rPr>
      </w:pPr>
    </w:p>
    <w:p>
      <w:pPr>
        <w:ind w:left="800"/>
        <w:spacing w:after="0" w:line="283" w:lineRule="auto"/>
        <w:rPr>
          <w:sz w:val="20"/>
          <w:szCs w:val="20"/>
          <w:color w:val="auto"/>
        </w:rPr>
      </w:pPr>
      <w:r>
        <w:rPr>
          <w:rFonts w:ascii="Arial" w:cs="Arial" w:eastAsia="Arial" w:hAnsi="Arial"/>
          <w:sz w:val="16"/>
          <w:szCs w:val="16"/>
          <w:color w:val="auto"/>
        </w:rPr>
        <w:t>The short-term bank deposits included in cash and cash equivalents bear interest at annual rates of between 0.06% and 0.30%. The carrying amount of cash and cash equivalents approximates their fair value, since they bear interest at rates similar to prevailing market interest rates.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NOTE 6 – SHORT-TERM BANK DEPOSITS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short-term bank deposits are linked to the dollar and bear interest at annual rates of between 0.75% and 1.57%.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NOTE 7 – PROPERTY AND EQUIPMENT</w:t>
      </w:r>
    </w:p>
    <w:p>
      <w:pPr>
        <w:spacing w:after="0" w:line="206" w:lineRule="exact"/>
        <w:rPr>
          <w:sz w:val="20"/>
          <w:szCs w:val="20"/>
          <w:color w:val="auto"/>
        </w:rPr>
      </w:pPr>
    </w:p>
    <w:p>
      <w:pPr>
        <w:ind w:left="800" w:right="20"/>
        <w:spacing w:after="0" w:line="283" w:lineRule="auto"/>
        <w:rPr>
          <w:sz w:val="20"/>
          <w:szCs w:val="20"/>
          <w:color w:val="auto"/>
        </w:rPr>
      </w:pPr>
      <w:r>
        <w:rPr>
          <w:rFonts w:ascii="Arial" w:cs="Arial" w:eastAsia="Arial" w:hAnsi="Arial"/>
          <w:sz w:val="16"/>
          <w:szCs w:val="16"/>
          <w:color w:val="auto"/>
        </w:rPr>
        <w:t>Set forth below are the composition of property and equipment and the related accumulated depreciation, grouped by major classifications, as well as the changes therein for the respective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6"/>
                <w:szCs w:val="16"/>
                <w:b w:val="1"/>
                <w:bCs w:val="1"/>
                <w:color w:val="auto"/>
              </w:rPr>
              <w:t>Cost</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0"/>
              </w:rPr>
              <w:t>Accumulated depreciation</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Balance at</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89"/>
              </w:rPr>
              <w:t>Additions</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Balance at</w:t>
            </w:r>
          </w:p>
        </w:tc>
        <w:tc>
          <w:tcPr>
            <w:tcW w:w="10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Net book value</w:t>
            </w: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beginning</w:t>
            </w:r>
          </w:p>
        </w:tc>
        <w:tc>
          <w:tcPr>
            <w:tcW w:w="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beginning</w:t>
            </w:r>
          </w:p>
        </w:tc>
        <w:tc>
          <w:tcPr>
            <w:tcW w:w="1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of year</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year</w:t>
            </w:r>
          </w:p>
        </w:tc>
        <w:tc>
          <w:tcPr>
            <w:tcW w:w="18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In USD</w:t>
            </w:r>
          </w:p>
        </w:tc>
        <w:tc>
          <w:tcPr>
            <w:tcW w:w="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88"/>
              </w:rPr>
              <w:t>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In USD 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In USD thousands</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Composition in 2014</w:t>
            </w: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233</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233</w:t>
            </w: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13</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105</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141</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r>
      <w:tr>
        <w:trPr>
          <w:trHeight w:val="182"/>
        </w:trPr>
        <w:tc>
          <w:tcPr>
            <w:tcW w:w="20" w:type="dxa"/>
            <w:vAlign w:val="bottom"/>
          </w:tcPr>
          <w:p>
            <w:pPr>
              <w:spacing w:after="0"/>
              <w:rPr>
                <w:sz w:val="15"/>
                <w:szCs w:val="15"/>
                <w:color w:val="auto"/>
              </w:rPr>
            </w:pPr>
          </w:p>
        </w:tc>
        <w:tc>
          <w:tcPr>
            <w:tcW w:w="23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Computers and communications</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7"/>
        </w:trPr>
        <w:tc>
          <w:tcPr>
            <w:tcW w:w="20" w:type="dxa"/>
            <w:vAlign w:val="bottom"/>
          </w:tcPr>
          <w:p>
            <w:pPr>
              <w:spacing w:after="0"/>
              <w:rPr>
                <w:sz w:val="18"/>
                <w:szCs w:val="18"/>
                <w:color w:val="auto"/>
              </w:rPr>
            </w:pPr>
          </w:p>
        </w:tc>
        <w:tc>
          <w:tcPr>
            <w:tcW w:w="2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equipment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Laboratory equipment, net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563</w:t>
            </w:r>
          </w:p>
        </w:tc>
        <w:tc>
          <w:tcPr>
            <w:tcW w:w="66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626</w:t>
            </w:r>
          </w:p>
        </w:tc>
        <w:tc>
          <w:tcPr>
            <w:tcW w:w="780" w:type="dxa"/>
            <w:vAlign w:val="bottom"/>
          </w:tcPr>
          <w:p>
            <w:pPr>
              <w:jc w:val="right"/>
              <w:spacing w:after="0"/>
              <w:rPr>
                <w:sz w:val="20"/>
                <w:szCs w:val="20"/>
                <w:color w:val="auto"/>
              </w:rPr>
            </w:pPr>
            <w:r>
              <w:rPr>
                <w:rFonts w:ascii="Arial" w:cs="Arial" w:eastAsia="Arial" w:hAnsi="Arial"/>
                <w:sz w:val="16"/>
                <w:szCs w:val="16"/>
                <w:color w:val="auto"/>
              </w:rPr>
              <w:t>172</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156</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328</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392</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298</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404</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w:t>
            </w:r>
          </w:p>
        </w:tc>
      </w:tr>
      <w:tr>
        <w:trPr>
          <w:trHeight w:val="24"/>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1,336</w:t>
            </w:r>
          </w:p>
        </w:tc>
        <w:tc>
          <w:tcPr>
            <w:tcW w:w="220" w:type="dxa"/>
            <w:vAlign w:val="bottom"/>
          </w:tcPr>
          <w:p>
            <w:pPr>
              <w:spacing w:after="0"/>
              <w:rPr>
                <w:sz w:val="16"/>
                <w:szCs w:val="16"/>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316</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1,652</w:t>
            </w:r>
          </w:p>
        </w:tc>
        <w:tc>
          <w:tcPr>
            <w:tcW w:w="780" w:type="dxa"/>
            <w:vAlign w:val="bottom"/>
          </w:tcPr>
          <w:p>
            <w:pPr>
              <w:jc w:val="right"/>
              <w:spacing w:after="0"/>
              <w:rPr>
                <w:sz w:val="20"/>
                <w:szCs w:val="20"/>
                <w:color w:val="auto"/>
              </w:rPr>
            </w:pPr>
            <w:r>
              <w:rPr>
                <w:rFonts w:ascii="Arial" w:cs="Arial" w:eastAsia="Arial" w:hAnsi="Arial"/>
                <w:sz w:val="16"/>
                <w:szCs w:val="16"/>
                <w:color w:val="auto"/>
              </w:rPr>
              <w:t>701</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230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931</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635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721</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6"/>
                <w:szCs w:val="16"/>
                <w:b w:val="1"/>
                <w:bCs w:val="1"/>
                <w:color w:val="auto"/>
              </w:rPr>
              <w:t>Cost</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0"/>
              </w:rPr>
              <w:t>Accumulated depreciation</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Balance at</w:t>
            </w:r>
          </w:p>
        </w:tc>
        <w:tc>
          <w:tcPr>
            <w:tcW w:w="8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89"/>
              </w:rPr>
              <w:t>Additions</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Balance at</w:t>
            </w:r>
          </w:p>
        </w:tc>
        <w:tc>
          <w:tcPr>
            <w:tcW w:w="10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Net book value</w:t>
            </w: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beginning</w:t>
            </w:r>
          </w:p>
        </w:tc>
        <w:tc>
          <w:tcPr>
            <w:tcW w:w="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beginning</w:t>
            </w:r>
          </w:p>
        </w:tc>
        <w:tc>
          <w:tcPr>
            <w:tcW w:w="1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of year</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year</w:t>
            </w:r>
          </w:p>
        </w:tc>
        <w:tc>
          <w:tcPr>
            <w:tcW w:w="18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In USD</w:t>
            </w:r>
          </w:p>
        </w:tc>
        <w:tc>
          <w:tcPr>
            <w:tcW w:w="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88"/>
              </w:rPr>
              <w:t>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In USD 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In USD thousands</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Composition in 2015</w:t>
            </w: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233</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177</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(212)</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198</w:t>
            </w:r>
          </w:p>
        </w:tc>
        <w:tc>
          <w:tcPr>
            <w:tcW w:w="780" w:type="dxa"/>
            <w:vAlign w:val="bottom"/>
          </w:tcPr>
          <w:p>
            <w:pPr>
              <w:jc w:val="right"/>
              <w:spacing w:after="0"/>
              <w:rPr>
                <w:sz w:val="20"/>
                <w:szCs w:val="20"/>
                <w:color w:val="auto"/>
              </w:rPr>
            </w:pPr>
            <w:r>
              <w:rPr>
                <w:rFonts w:ascii="Arial" w:cs="Arial" w:eastAsia="Arial" w:hAnsi="Arial"/>
                <w:sz w:val="16"/>
                <w:szCs w:val="16"/>
                <w:color w:val="auto"/>
              </w:rPr>
              <w:t>105</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120</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(212)</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13</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128</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r>
      <w:tr>
        <w:trPr>
          <w:trHeight w:val="182"/>
        </w:trPr>
        <w:tc>
          <w:tcPr>
            <w:tcW w:w="20" w:type="dxa"/>
            <w:vAlign w:val="bottom"/>
          </w:tcPr>
          <w:p>
            <w:pPr>
              <w:spacing w:after="0"/>
              <w:rPr>
                <w:sz w:val="15"/>
                <w:szCs w:val="15"/>
                <w:color w:val="auto"/>
              </w:rPr>
            </w:pPr>
          </w:p>
        </w:tc>
        <w:tc>
          <w:tcPr>
            <w:tcW w:w="23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Computers and communications</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7"/>
        </w:trPr>
        <w:tc>
          <w:tcPr>
            <w:tcW w:w="20" w:type="dxa"/>
            <w:vAlign w:val="bottom"/>
          </w:tcPr>
          <w:p>
            <w:pPr>
              <w:spacing w:after="0"/>
              <w:rPr>
                <w:sz w:val="18"/>
                <w:szCs w:val="18"/>
                <w:color w:val="auto"/>
              </w:rPr>
            </w:pPr>
          </w:p>
        </w:tc>
        <w:tc>
          <w:tcPr>
            <w:tcW w:w="2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equipment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446</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Laboratory equipment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626</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568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1,194</w:t>
            </w:r>
          </w:p>
        </w:tc>
        <w:tc>
          <w:tcPr>
            <w:tcW w:w="780" w:type="dxa"/>
            <w:vAlign w:val="bottom"/>
          </w:tcPr>
          <w:p>
            <w:pPr>
              <w:jc w:val="right"/>
              <w:spacing w:after="0"/>
              <w:rPr>
                <w:sz w:val="20"/>
                <w:szCs w:val="20"/>
                <w:color w:val="auto"/>
              </w:rPr>
            </w:pPr>
            <w:r>
              <w:rPr>
                <w:rFonts w:ascii="Arial" w:cs="Arial" w:eastAsia="Arial" w:hAnsi="Arial"/>
                <w:sz w:val="16"/>
                <w:szCs w:val="16"/>
                <w:color w:val="auto"/>
              </w:rPr>
              <w:t>328</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154</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482</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298</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712</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2,025</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110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12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1,652</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2,614</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(403)</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3,863</w:t>
            </w:r>
          </w:p>
        </w:tc>
        <w:tc>
          <w:tcPr>
            <w:tcW w:w="780" w:type="dxa"/>
            <w:vAlign w:val="bottom"/>
          </w:tcPr>
          <w:p>
            <w:pPr>
              <w:jc w:val="right"/>
              <w:spacing w:after="0"/>
              <w:rPr>
                <w:sz w:val="20"/>
                <w:szCs w:val="20"/>
                <w:color w:val="auto"/>
              </w:rPr>
            </w:pPr>
            <w:r>
              <w:rPr>
                <w:rFonts w:ascii="Arial" w:cs="Arial" w:eastAsia="Arial" w:hAnsi="Arial"/>
                <w:sz w:val="16"/>
                <w:szCs w:val="16"/>
                <w:color w:val="auto"/>
              </w:rPr>
              <w:t>931</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426</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(403)</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954</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721</w:t>
            </w:r>
          </w:p>
        </w:tc>
        <w:tc>
          <w:tcPr>
            <w:tcW w:w="660" w:type="dxa"/>
            <w:vAlign w:val="bottom"/>
          </w:tcPr>
          <w:p>
            <w:pPr>
              <w:jc w:val="right"/>
              <w:spacing w:after="0"/>
              <w:rPr>
                <w:sz w:val="20"/>
                <w:szCs w:val="20"/>
                <w:color w:val="auto"/>
              </w:rPr>
            </w:pPr>
            <w:r>
              <w:rPr>
                <w:rFonts w:ascii="Arial" w:cs="Arial" w:eastAsia="Arial" w:hAnsi="Arial"/>
                <w:sz w:val="16"/>
                <w:szCs w:val="16"/>
                <w:color w:val="auto"/>
              </w:rPr>
              <w:t>2,909</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79"/>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F - 21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
        </w:trPr>
        <w:tc>
          <w:tcPr>
            <w:tcW w:w="2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71" w:right="219" w:bottom="1440" w:gutter="0" w:footer="0" w:header="0"/>
        </w:sectPr>
      </w:pPr>
    </w:p>
    <w:bookmarkStart w:id="152" w:name="page153"/>
    <w:bookmarkEnd w:id="152"/>
    <w:p>
      <w:pPr>
        <w:jc w:val="center"/>
        <w:ind w:right="2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gridSpan w:val="6"/>
          </w:tcPr>
          <w:p>
            <w:pPr>
              <w:spacing w:after="0"/>
              <w:rPr>
                <w:sz w:val="20"/>
                <w:szCs w:val="20"/>
                <w:color w:val="auto"/>
              </w:rPr>
            </w:pPr>
            <w:r>
              <w:rPr>
                <w:rFonts w:ascii="Arial" w:cs="Arial" w:eastAsia="Arial" w:hAnsi="Arial"/>
                <w:sz w:val="16"/>
                <w:szCs w:val="16"/>
                <w:b w:val="1"/>
                <w:bCs w:val="1"/>
                <w:color w:val="auto"/>
              </w:rPr>
              <w:t xml:space="preserve">NOTE 7 – PROPERTY AND EQUIPMENT </w:t>
            </w:r>
            <w:r>
              <w:rPr>
                <w:rFonts w:ascii="Arial" w:cs="Arial" w:eastAsia="Arial" w:hAnsi="Arial"/>
                <w:sz w:val="16"/>
                <w:szCs w:val="16"/>
                <w:color w:val="auto"/>
              </w:rPr>
              <w:t>(cont.)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Cost</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w w:val="90"/>
              </w:rPr>
              <w:t>Accumulated depreciation</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Balance at</w:t>
            </w:r>
          </w:p>
        </w:tc>
        <w:tc>
          <w:tcPr>
            <w:tcW w:w="8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w w:val="92"/>
              </w:rPr>
              <w:t>Additions</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Deletions</w:t>
            </w:r>
          </w:p>
        </w:tc>
        <w:tc>
          <w:tcPr>
            <w:tcW w:w="2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Balance at</w:t>
            </w:r>
          </w:p>
        </w:tc>
        <w:tc>
          <w:tcPr>
            <w:tcW w:w="10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Net book value</w:t>
            </w: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beginning</w:t>
            </w:r>
          </w:p>
        </w:tc>
        <w:tc>
          <w:tcPr>
            <w:tcW w:w="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during</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during</w:t>
            </w:r>
          </w:p>
        </w:tc>
        <w:tc>
          <w:tcPr>
            <w:tcW w:w="2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beginning</w:t>
            </w:r>
          </w:p>
        </w:tc>
        <w:tc>
          <w:tcPr>
            <w:tcW w:w="1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of year</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year</w:t>
            </w:r>
          </w:p>
        </w:tc>
        <w:tc>
          <w:tcPr>
            <w:tcW w:w="18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In USD</w:t>
            </w:r>
          </w:p>
        </w:tc>
        <w:tc>
          <w:tcPr>
            <w:tcW w:w="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88"/>
              </w:rPr>
              <w:t>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In USD 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In USD thousands</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Composition in 2016</w:t>
            </w: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Office furniture and equipment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198</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198</w:t>
            </w: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12</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185</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173</w:t>
            </w:r>
          </w:p>
        </w:tc>
      </w:tr>
      <w:tr>
        <w:trPr>
          <w:trHeight w:val="182"/>
        </w:trPr>
        <w:tc>
          <w:tcPr>
            <w:tcW w:w="20" w:type="dxa"/>
            <w:vAlign w:val="bottom"/>
          </w:tcPr>
          <w:p>
            <w:pPr>
              <w:spacing w:after="0"/>
              <w:rPr>
                <w:sz w:val="15"/>
                <w:szCs w:val="15"/>
                <w:color w:val="auto"/>
              </w:rPr>
            </w:pPr>
          </w:p>
        </w:tc>
        <w:tc>
          <w:tcPr>
            <w:tcW w:w="23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Computers and communications</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7"/>
        </w:trPr>
        <w:tc>
          <w:tcPr>
            <w:tcW w:w="20" w:type="dxa"/>
            <w:vAlign w:val="bottom"/>
          </w:tcPr>
          <w:p>
            <w:pPr>
              <w:spacing w:after="0"/>
              <w:rPr>
                <w:sz w:val="18"/>
                <w:szCs w:val="18"/>
                <w:color w:val="auto"/>
              </w:rPr>
            </w:pPr>
          </w:p>
        </w:tc>
        <w:tc>
          <w:tcPr>
            <w:tcW w:w="2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equipment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489</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Laboratory equipment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1,194</w:t>
            </w: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104</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1,298</w:t>
            </w:r>
          </w:p>
        </w:tc>
        <w:tc>
          <w:tcPr>
            <w:tcW w:w="780" w:type="dxa"/>
            <w:vAlign w:val="bottom"/>
          </w:tcPr>
          <w:p>
            <w:pPr>
              <w:jc w:val="right"/>
              <w:spacing w:after="0"/>
              <w:rPr>
                <w:sz w:val="20"/>
                <w:szCs w:val="20"/>
                <w:color w:val="auto"/>
              </w:rPr>
            </w:pPr>
            <w:r>
              <w:rPr>
                <w:rFonts w:ascii="Arial" w:cs="Arial" w:eastAsia="Arial" w:hAnsi="Arial"/>
                <w:sz w:val="16"/>
                <w:szCs w:val="16"/>
                <w:color w:val="auto"/>
              </w:rPr>
              <w:t>482</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188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670</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712</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628</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2,028</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201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2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3,863</w:t>
            </w:r>
          </w:p>
        </w:tc>
        <w:tc>
          <w:tcPr>
            <w:tcW w:w="220" w:type="dxa"/>
            <w:vAlign w:val="bottom"/>
          </w:tcPr>
          <w:p>
            <w:pPr>
              <w:spacing w:after="0"/>
              <w:rPr>
                <w:sz w:val="16"/>
                <w:szCs w:val="16"/>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150</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4,013</w:t>
            </w:r>
          </w:p>
        </w:tc>
        <w:tc>
          <w:tcPr>
            <w:tcW w:w="780" w:type="dxa"/>
            <w:vAlign w:val="bottom"/>
          </w:tcPr>
          <w:p>
            <w:pPr>
              <w:jc w:val="right"/>
              <w:spacing w:after="0"/>
              <w:rPr>
                <w:sz w:val="20"/>
                <w:szCs w:val="20"/>
                <w:color w:val="auto"/>
              </w:rPr>
            </w:pPr>
            <w:r>
              <w:rPr>
                <w:rFonts w:ascii="Arial" w:cs="Arial" w:eastAsia="Arial" w:hAnsi="Arial"/>
                <w:sz w:val="16"/>
                <w:szCs w:val="16"/>
                <w:color w:val="auto"/>
              </w:rPr>
              <w:t>954</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454</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1,408</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2,909</w:t>
            </w:r>
          </w:p>
        </w:tc>
        <w:tc>
          <w:tcPr>
            <w:tcW w:w="660" w:type="dxa"/>
            <w:vAlign w:val="bottom"/>
          </w:tcPr>
          <w:p>
            <w:pPr>
              <w:jc w:val="right"/>
              <w:spacing w:after="0"/>
              <w:rPr>
                <w:sz w:val="20"/>
                <w:szCs w:val="20"/>
                <w:color w:val="auto"/>
              </w:rPr>
            </w:pPr>
            <w:r>
              <w:rPr>
                <w:rFonts w:ascii="Arial" w:cs="Arial" w:eastAsia="Arial" w:hAnsi="Arial"/>
                <w:sz w:val="16"/>
                <w:szCs w:val="16"/>
                <w:color w:val="auto"/>
              </w:rPr>
              <w:t>2,605</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5"/>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F - 22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
        </w:trPr>
        <w:tc>
          <w:tcPr>
            <w:tcW w:w="2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Arial" w:cs="Arial" w:eastAsia="Arial" w:hAnsi="Arial"/>
                <w:sz w:val="16"/>
                <w:szCs w:val="16"/>
                <w:color w:val="auto"/>
                <w:w w:val="99"/>
              </w:rPr>
              <w:t>NOTE 8 – INTANGIBLE ASSETS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5"/>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Cost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92"/>
              </w:rPr>
              <w:t>Accumulated depreciation and impairment</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89"/>
              </w:rPr>
              <w:t>Balance at</w:t>
            </w:r>
          </w:p>
        </w:tc>
        <w:tc>
          <w:tcPr>
            <w:tcW w:w="880" w:type="dxa"/>
            <w:vAlign w:val="bottom"/>
            <w:tcBorders>
              <w:top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Balance at</w:t>
            </w:r>
          </w:p>
        </w:tc>
        <w:tc>
          <w:tcPr>
            <w:tcW w:w="220" w:type="dxa"/>
            <w:vAlign w:val="bottom"/>
          </w:tcPr>
          <w:p>
            <w:pPr>
              <w:spacing w:after="0"/>
              <w:rPr>
                <w:sz w:val="17"/>
                <w:szCs w:val="17"/>
                <w:color w:val="auto"/>
              </w:rPr>
            </w:pPr>
          </w:p>
        </w:tc>
        <w:tc>
          <w:tcPr>
            <w:tcW w:w="8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Balance at</w:t>
            </w:r>
          </w:p>
        </w:tc>
        <w:tc>
          <w:tcPr>
            <w:tcW w:w="10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Net book value</w:t>
            </w: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beginning</w:t>
            </w:r>
          </w:p>
        </w:tc>
        <w:tc>
          <w:tcPr>
            <w:tcW w:w="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beginning</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of year</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year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In USD</w:t>
            </w:r>
          </w:p>
        </w:tc>
        <w:tc>
          <w:tcPr>
            <w:tcW w:w="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88"/>
              </w:rPr>
              <w:t>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In USD 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In USD thousands</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Composition in 2014</w:t>
            </w: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Intellectual property</w:t>
            </w:r>
          </w:p>
        </w:tc>
        <w:tc>
          <w:tcPr>
            <w:tcW w:w="740" w:type="dxa"/>
            <w:vAlign w:val="bottom"/>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(194)</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193</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193</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(97)</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194</w:t>
            </w:r>
          </w:p>
        </w:tc>
        <w:tc>
          <w:tcPr>
            <w:tcW w:w="6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Computer software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659</w:t>
            </w:r>
          </w:p>
        </w:tc>
        <w:tc>
          <w:tcPr>
            <w:tcW w:w="220" w:type="dxa"/>
            <w:vAlign w:val="bottom"/>
          </w:tcPr>
          <w:p>
            <w:pPr>
              <w:spacing w:after="0"/>
              <w:rPr>
                <w:sz w:val="16"/>
                <w:szCs w:val="16"/>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6"/>
                <w:szCs w:val="16"/>
                <w:color w:val="auto"/>
              </w:rPr>
              <w:t>5</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(194)</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470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433</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17</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(97)</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353</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226</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117</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Cost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92"/>
              </w:rPr>
              <w:t>Accumulated depreciation and impairment</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89"/>
              </w:rPr>
              <w:t>Balance at</w:t>
            </w:r>
          </w:p>
        </w:tc>
        <w:tc>
          <w:tcPr>
            <w:tcW w:w="880" w:type="dxa"/>
            <w:vAlign w:val="bottom"/>
            <w:tcBorders>
              <w:top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Balance at</w:t>
            </w:r>
          </w:p>
        </w:tc>
        <w:tc>
          <w:tcPr>
            <w:tcW w:w="220" w:type="dxa"/>
            <w:vAlign w:val="bottom"/>
          </w:tcPr>
          <w:p>
            <w:pPr>
              <w:spacing w:after="0"/>
              <w:rPr>
                <w:sz w:val="17"/>
                <w:szCs w:val="17"/>
                <w:color w:val="auto"/>
              </w:rPr>
            </w:pPr>
          </w:p>
        </w:tc>
        <w:tc>
          <w:tcPr>
            <w:tcW w:w="8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Balance at</w:t>
            </w:r>
          </w:p>
        </w:tc>
        <w:tc>
          <w:tcPr>
            <w:tcW w:w="10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Net book value</w:t>
            </w: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beginning</w:t>
            </w:r>
          </w:p>
        </w:tc>
        <w:tc>
          <w:tcPr>
            <w:tcW w:w="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beginning</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of year</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year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In USD</w:t>
            </w:r>
          </w:p>
        </w:tc>
        <w:tc>
          <w:tcPr>
            <w:tcW w:w="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88"/>
              </w:rPr>
              <w:t>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In USD 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In USD thousands</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Composition in 2015</w:t>
            </w: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Intellectual property</w:t>
            </w:r>
          </w:p>
        </w:tc>
        <w:tc>
          <w:tcPr>
            <w:tcW w:w="740" w:type="dxa"/>
            <w:vAlign w:val="bottom"/>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193</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96</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97</w:t>
            </w:r>
          </w:p>
        </w:tc>
        <w:tc>
          <w:tcPr>
            <w:tcW w:w="6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Computer software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470</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521</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353</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16</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369</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117</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Cost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9"/>
          </w:tcPr>
          <w:p>
            <w:pPr>
              <w:jc w:val="center"/>
              <w:ind w:right="220"/>
              <w:spacing w:after="0"/>
              <w:rPr>
                <w:sz w:val="20"/>
                <w:szCs w:val="20"/>
                <w:color w:val="auto"/>
              </w:rPr>
            </w:pPr>
            <w:r>
              <w:rPr>
                <w:rFonts w:ascii="Arial" w:cs="Arial" w:eastAsia="Arial" w:hAnsi="Arial"/>
                <w:sz w:val="16"/>
                <w:szCs w:val="16"/>
                <w:b w:val="1"/>
                <w:bCs w:val="1"/>
                <w:color w:val="auto"/>
                <w:w w:val="92"/>
              </w:rPr>
              <w:t>Accumulated depreciation and impairment</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89"/>
              </w:rPr>
              <w:t>Balance at</w:t>
            </w:r>
          </w:p>
        </w:tc>
        <w:tc>
          <w:tcPr>
            <w:tcW w:w="880" w:type="dxa"/>
            <w:vAlign w:val="bottom"/>
            <w:tcBorders>
              <w:top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Balance at</w:t>
            </w:r>
          </w:p>
        </w:tc>
        <w:tc>
          <w:tcPr>
            <w:tcW w:w="220" w:type="dxa"/>
            <w:vAlign w:val="bottom"/>
          </w:tcPr>
          <w:p>
            <w:pPr>
              <w:spacing w:after="0"/>
              <w:rPr>
                <w:sz w:val="17"/>
                <w:szCs w:val="17"/>
                <w:color w:val="auto"/>
              </w:rPr>
            </w:pPr>
          </w:p>
        </w:tc>
        <w:tc>
          <w:tcPr>
            <w:tcW w:w="8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Balance at</w:t>
            </w:r>
          </w:p>
        </w:tc>
        <w:tc>
          <w:tcPr>
            <w:tcW w:w="10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2"/>
              </w:rPr>
              <w:t>Additions</w:t>
            </w:r>
          </w:p>
        </w:tc>
        <w:tc>
          <w:tcPr>
            <w:tcW w:w="9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8"/>
              </w:rPr>
              <w:t>Deletions</w:t>
            </w: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Net book value</w:t>
            </w: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beginning</w:t>
            </w:r>
          </w:p>
        </w:tc>
        <w:tc>
          <w:tcPr>
            <w:tcW w:w="8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beginning</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during</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end of</w:t>
            </w:r>
          </w:p>
        </w:tc>
        <w:tc>
          <w:tcPr>
            <w:tcW w:w="15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of year</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year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220" w:type="dxa"/>
            <w:vAlign w:val="bottom"/>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In USD</w:t>
            </w:r>
          </w:p>
        </w:tc>
        <w:tc>
          <w:tcPr>
            <w:tcW w:w="9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88"/>
              </w:rPr>
              <w:t>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In USD 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In USD thousands</w:t>
            </w: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Composition in 2016</w:t>
            </w: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Intellectual property</w:t>
            </w:r>
          </w:p>
        </w:tc>
        <w:tc>
          <w:tcPr>
            <w:tcW w:w="740" w:type="dxa"/>
            <w:vAlign w:val="bottom"/>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193</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96</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97</w:t>
            </w:r>
          </w:p>
        </w:tc>
        <w:tc>
          <w:tcPr>
            <w:tcW w:w="6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Computer software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521</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578</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369</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28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397</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152</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181</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During 2014, the Company wrote-off $97,000 of intellectual property in respect of the out-licensing of BL-5010.</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Depreciation in respect of computer software for all years presented was included in research and development expenses.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2"/>
          </w:tcPr>
          <w:p>
            <w:pPr>
              <w:spacing w:after="0"/>
              <w:rPr>
                <w:sz w:val="20"/>
                <w:szCs w:val="20"/>
                <w:color w:val="auto"/>
              </w:rPr>
            </w:pPr>
            <w:r>
              <w:rPr>
                <w:rFonts w:ascii="Arial" w:cs="Arial" w:eastAsia="Arial" w:hAnsi="Arial"/>
                <w:sz w:val="16"/>
                <w:szCs w:val="16"/>
                <w:color w:val="auto"/>
              </w:rPr>
              <w:t>NOTE 9 – LONG-TERM BANK LOAN</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0"/>
        </w:trPr>
        <w:tc>
          <w:tcPr>
            <w:tcW w:w="8200" w:type="dxa"/>
            <w:vAlign w:val="bottom"/>
            <w:gridSpan w:val="2"/>
          </w:tcPr>
          <w:p>
            <w:pPr>
              <w:ind w:left="800"/>
              <w:spacing w:after="0"/>
              <w:rPr>
                <w:sz w:val="20"/>
                <w:szCs w:val="20"/>
                <w:color w:val="auto"/>
              </w:rPr>
            </w:pPr>
            <w:r>
              <w:rPr>
                <w:rFonts w:ascii="Arial" w:cs="Arial" w:eastAsia="Arial" w:hAnsi="Arial"/>
                <w:sz w:val="16"/>
                <w:szCs w:val="16"/>
                <w:b w:val="1"/>
                <w:bCs w:val="1"/>
                <w:color w:val="auto"/>
              </w:rPr>
              <w:t>a.   Composition</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11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December 31,</w:t>
            </w:r>
          </w:p>
        </w:tc>
      </w:tr>
      <w:tr>
        <w:trPr>
          <w:trHeight w:val="199"/>
        </w:trPr>
        <w:tc>
          <w:tcPr>
            <w:tcW w:w="11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USD</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70"/>
              </w:rPr>
              <w:t>thousands</w:t>
            </w:r>
          </w:p>
        </w:tc>
        <w:tc>
          <w:tcPr>
            <w:tcW w:w="80" w:type="dxa"/>
            <w:vAlign w:val="bottom"/>
          </w:tcPr>
          <w:p>
            <w:pPr>
              <w:spacing w:after="0"/>
              <w:rPr>
                <w:sz w:val="17"/>
                <w:szCs w:val="17"/>
                <w:color w:val="auto"/>
              </w:rPr>
            </w:pPr>
          </w:p>
        </w:tc>
      </w:tr>
      <w:tr>
        <w:trPr>
          <w:trHeight w:val="195"/>
        </w:trPr>
        <w:tc>
          <w:tcPr>
            <w:tcW w:w="114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r>
      <w:tr>
        <w:trPr>
          <w:trHeight w:val="195"/>
        </w:trPr>
        <w:tc>
          <w:tcPr>
            <w:tcW w:w="1140" w:type="dxa"/>
            <w:vAlign w:val="bottom"/>
          </w:tcPr>
          <w:p>
            <w:pPr>
              <w:spacing w:after="0"/>
              <w:rPr>
                <w:sz w:val="16"/>
                <w:szCs w:val="16"/>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Loan balance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343</w:t>
            </w:r>
          </w:p>
        </w:tc>
      </w:tr>
      <w:tr>
        <w:trPr>
          <w:trHeight w:val="199"/>
        </w:trPr>
        <w:tc>
          <w:tcPr>
            <w:tcW w:w="114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6"/>
                <w:szCs w:val="16"/>
                <w:color w:val="auto"/>
              </w:rPr>
              <w:t>Less current maturities</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(93)</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r>
      <w:tr>
        <w:trPr>
          <w:trHeight w:val="235"/>
        </w:trPr>
        <w:tc>
          <w:tcPr>
            <w:tcW w:w="114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3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loan is denominated in dollars and bears interest at an annual rate of 3.75%. The book value of the loan approximates its fair value.</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loan is repayable in 60 monthly installments and is collateralized by certain lab equipment.</w:t>
      </w:r>
    </w:p>
    <w:p>
      <w:pPr>
        <w:spacing w:after="0" w:line="202" w:lineRule="exact"/>
        <w:rPr>
          <w:sz w:val="20"/>
          <w:szCs w:val="20"/>
          <w:color w:val="auto"/>
        </w:rPr>
      </w:pPr>
    </w:p>
    <w:p>
      <w:pPr>
        <w:ind w:left="1140" w:hanging="339"/>
        <w:spacing w:after="0"/>
        <w:tabs>
          <w:tab w:leader="none" w:pos="114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Future repayments</w:t>
      </w:r>
    </w:p>
    <w:p>
      <w:pPr>
        <w:spacing w:after="0" w:line="258" w:lineRule="exact"/>
        <w:rPr>
          <w:sz w:val="20"/>
          <w:szCs w:val="20"/>
          <w:color w:val="auto"/>
        </w:rPr>
      </w:pPr>
    </w:p>
    <w:p>
      <w:pPr>
        <w:ind w:left="1140"/>
        <w:spacing w:after="0" w:line="283" w:lineRule="auto"/>
        <w:rPr>
          <w:sz w:val="20"/>
          <w:szCs w:val="20"/>
          <w:color w:val="auto"/>
        </w:rPr>
      </w:pPr>
      <w:r>
        <w:rPr>
          <w:rFonts w:ascii="Arial" w:cs="Arial" w:eastAsia="Arial" w:hAnsi="Arial"/>
          <w:sz w:val="16"/>
          <w:szCs w:val="16"/>
          <w:color w:val="auto"/>
        </w:rPr>
        <w:t>Future repayments of the long-term bank loan (other than current maturities) in the years subsequent to the balance sheet date are as follows (in USD thousands):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6"/>
                <w:szCs w:val="16"/>
                <w:color w:val="auto"/>
              </w:rPr>
            </w:pPr>
          </w:p>
        </w:tc>
      </w:tr>
      <w:tr>
        <w:trPr>
          <w:trHeight w:val="199"/>
        </w:trPr>
        <w:tc>
          <w:tcPr>
            <w:tcW w:w="7120" w:type="dxa"/>
            <w:vAlign w:val="bottom"/>
          </w:tcPr>
          <w:p>
            <w:pPr>
              <w:spacing w:after="0"/>
              <w:rPr>
                <w:sz w:val="20"/>
                <w:szCs w:val="20"/>
                <w:color w:val="auto"/>
              </w:rPr>
            </w:pPr>
            <w:r>
              <w:rPr>
                <w:rFonts w:ascii="Arial" w:cs="Arial" w:eastAsia="Arial" w:hAnsi="Arial"/>
                <w:sz w:val="16"/>
                <w:szCs w:val="16"/>
                <w:color w:val="auto"/>
              </w:rPr>
              <w:t>2019 through 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7"/>
                <w:szCs w:val="17"/>
                <w:color w:val="auto"/>
              </w:rPr>
            </w:pPr>
          </w:p>
        </w:tc>
      </w:tr>
      <w:tr>
        <w:trPr>
          <w:trHeight w:val="235"/>
        </w:trPr>
        <w:tc>
          <w:tcPr>
            <w:tcW w:w="7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NOTE 10 – EQUITY</w:t>
      </w:r>
    </w:p>
    <w:p>
      <w:pPr>
        <w:spacing w:after="0" w:line="202" w:lineRule="exact"/>
        <w:rPr>
          <w:sz w:val="20"/>
          <w:szCs w:val="20"/>
          <w:color w:val="auto"/>
        </w:rPr>
      </w:pPr>
    </w:p>
    <w:p>
      <w:pPr>
        <w:ind w:left="1140" w:hanging="339"/>
        <w:spacing w:after="0"/>
        <w:tabs>
          <w:tab w:leader="none" w:pos="114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w:t>
      </w:r>
    </w:p>
    <w:p>
      <w:pPr>
        <w:spacing w:after="0" w:line="209"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As of December 31, 2015, and 2016 the Company’s share capital is composed of ordinary shares,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Number of Ordinary Shares</w:t>
            </w:r>
          </w:p>
        </w:tc>
      </w:tr>
      <w:tr>
        <w:trPr>
          <w:trHeight w:val="199"/>
        </w:trPr>
        <w:tc>
          <w:tcPr>
            <w:tcW w:w="7060" w:type="dxa"/>
            <w:vAlign w:val="bottom"/>
          </w:tcPr>
          <w:p>
            <w:pPr>
              <w:spacing w:after="0"/>
              <w:rPr>
                <w:sz w:val="17"/>
                <w:szCs w:val="17"/>
                <w:color w:val="auto"/>
              </w:rPr>
            </w:pPr>
          </w:p>
        </w:tc>
        <w:tc>
          <w:tcPr>
            <w:tcW w:w="20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r>
      <w:tr>
        <w:trPr>
          <w:trHeight w:val="199"/>
        </w:trPr>
        <w:tc>
          <w:tcPr>
            <w:tcW w:w="7060" w:type="dxa"/>
            <w:vAlign w:val="bottom"/>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95"/>
        </w:trPr>
        <w:tc>
          <w:tcPr>
            <w:tcW w:w="706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5"/>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Authorized share capital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150,000,000</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150,000,000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84"/>
        </w:trPr>
        <w:tc>
          <w:tcPr>
            <w:tcW w:w="706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r>
      <w:tr>
        <w:trPr>
          <w:trHeight w:val="215"/>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Issued and paid-up share capital</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54,818,057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57,033,355</w:t>
            </w:r>
          </w:p>
        </w:tc>
      </w:tr>
      <w:tr>
        <w:trPr>
          <w:trHeight w:val="20"/>
        </w:trPr>
        <w:tc>
          <w:tcPr>
            <w:tcW w:w="70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83"/>
        </w:trPr>
        <w:tc>
          <w:tcPr>
            <w:tcW w:w="7060" w:type="dxa"/>
            <w:vAlign w:val="bottom"/>
          </w:tcPr>
          <w:p>
            <w:pPr>
              <w:spacing w:after="0"/>
              <w:rPr>
                <w:sz w:val="24"/>
                <w:szCs w:val="24"/>
                <w:color w:val="auto"/>
              </w:rPr>
            </w:pPr>
          </w:p>
        </w:tc>
        <w:tc>
          <w:tcPr>
            <w:tcW w:w="2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6"/>
              </w:rPr>
              <w:t>In USD and NIS</w:t>
            </w:r>
          </w:p>
        </w:tc>
      </w:tr>
      <w:tr>
        <w:trPr>
          <w:trHeight w:val="199"/>
        </w:trPr>
        <w:tc>
          <w:tcPr>
            <w:tcW w:w="7060" w:type="dxa"/>
            <w:vAlign w:val="bottom"/>
          </w:tcPr>
          <w:p>
            <w:pPr>
              <w:spacing w:after="0"/>
              <w:rPr>
                <w:sz w:val="17"/>
                <w:szCs w:val="17"/>
                <w:color w:val="auto"/>
              </w:rPr>
            </w:pPr>
          </w:p>
        </w:tc>
        <w:tc>
          <w:tcPr>
            <w:tcW w:w="20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r>
      <w:tr>
        <w:trPr>
          <w:trHeight w:val="199"/>
        </w:trPr>
        <w:tc>
          <w:tcPr>
            <w:tcW w:w="7060" w:type="dxa"/>
            <w:vAlign w:val="bottom"/>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95"/>
        </w:trPr>
        <w:tc>
          <w:tcPr>
            <w:tcW w:w="706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r>
      <w:tr>
        <w:trPr>
          <w:trHeight w:val="235"/>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Authorized share capital (in NIS)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15,000,000</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15,000,000</w:t>
            </w:r>
          </w:p>
        </w:tc>
      </w:tr>
      <w:tr>
        <w:trPr>
          <w:trHeight w:val="184"/>
        </w:trPr>
        <w:tc>
          <w:tcPr>
            <w:tcW w:w="70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35"/>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Issued and paid-up share capital (in NIS)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5,481,806</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5,703,336</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84"/>
        </w:trPr>
        <w:tc>
          <w:tcPr>
            <w:tcW w:w="706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5"/>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Issued and paid-up share capital (in USD)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1,455,159</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1,513,294</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2" w:lineRule="exact"/>
        <w:rPr>
          <w:sz w:val="20"/>
          <w:szCs w:val="20"/>
          <w:color w:val="auto"/>
        </w:rPr>
      </w:pPr>
    </w:p>
    <w:p>
      <w:pPr>
        <w:ind w:left="1140"/>
        <w:spacing w:after="0" w:line="283" w:lineRule="auto"/>
        <w:rPr>
          <w:sz w:val="20"/>
          <w:szCs w:val="20"/>
          <w:color w:val="auto"/>
        </w:rPr>
      </w:pPr>
      <w:r>
        <w:rPr>
          <w:rFonts w:ascii="Arial" w:cs="Arial" w:eastAsia="Arial" w:hAnsi="Arial"/>
          <w:sz w:val="16"/>
          <w:szCs w:val="16"/>
          <w:color w:val="auto"/>
        </w:rPr>
        <w:t>As of December 30, 2016, the market price on NASDAQ of BioLineRx’s ADSs was $0.92, and the market price on the Tel Aviv Stock Exchange of BioLineRx’s ordinary shares was NIS 3.47</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EQUITY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Rights related to shares</w:t>
      </w:r>
    </w:p>
    <w:p>
      <w:pPr>
        <w:spacing w:after="0" w:line="209"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 ordinary shares confer upon their holders voting and dividend rights and the right to receive assets of the Company upon its liquidation. As of December 31, 2015 and 2016, all outstanding share capital consisted of ordinary shares.</w:t>
      </w:r>
    </w:p>
    <w:p>
      <w:pPr>
        <w:spacing w:after="0" w:line="195" w:lineRule="exact"/>
        <w:rPr>
          <w:rFonts w:ascii="Arial" w:cs="Arial" w:eastAsia="Arial" w:hAnsi="Arial"/>
          <w:sz w:val="16"/>
          <w:szCs w:val="16"/>
          <w:b w:val="1"/>
          <w:bCs w:val="1"/>
          <w:color w:val="auto"/>
        </w:rPr>
      </w:pPr>
    </w:p>
    <w:p>
      <w:pPr>
        <w:ind w:left="1140" w:hanging="339"/>
        <w:spacing w:after="0"/>
        <w:tabs>
          <w:tab w:leader="none" w:pos="114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the Company’s equity</w:t>
      </w:r>
    </w:p>
    <w:p>
      <w:pPr>
        <w:spacing w:after="0" w:line="209" w:lineRule="exact"/>
        <w:rPr>
          <w:rFonts w:ascii="Arial" w:cs="Arial" w:eastAsia="Arial" w:hAnsi="Arial"/>
          <w:sz w:val="16"/>
          <w:szCs w:val="16"/>
          <w:b w:val="1"/>
          <w:bCs w:val="1"/>
          <w:color w:val="auto"/>
        </w:rPr>
      </w:pPr>
    </w:p>
    <w:p>
      <w:pPr>
        <w:jc w:val="both"/>
        <w:ind w:left="1480" w:right="20" w:hanging="338"/>
        <w:spacing w:after="0" w:line="259" w:lineRule="auto"/>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February 2012, BioLineRx issued as part of private placement, warrants to purchase up to 2,622,157 ADSs at an exercise price of $3.57 per ADS. The warrants are exercisable for a term of five years from the date of their issuance. Since the exercise price was not deemed to be fixed, the warrants did not qualify for classification as an equity instrument and have therefore been classified as a non-current derivative financial liability. The amount of the private placement consideration allocated to the warrants was approximately $4,800,000 as of the issuance date, based on their fair value as calculated on the basis of the Black-Scholes model. The changes in fair value for the three years ended December 31, 2014, 2015 and 2016, of approximately $2,000,000, $700,000 and $110,000, respectively, have been recorded as non-operating income on the statement of comprehensive loss. The warrants expired in full in February 2017, without being exercised.</w:t>
      </w:r>
    </w:p>
    <w:p>
      <w:pPr>
        <w:spacing w:after="0" w:line="168" w:lineRule="exact"/>
        <w:rPr>
          <w:rFonts w:ascii="Arial" w:cs="Arial" w:eastAsia="Arial" w:hAnsi="Arial"/>
          <w:sz w:val="16"/>
          <w:szCs w:val="16"/>
          <w:color w:val="auto"/>
        </w:rPr>
      </w:pPr>
    </w:p>
    <w:p>
      <w:pPr>
        <w:jc w:val="both"/>
        <w:ind w:left="1480" w:right="20"/>
        <w:spacing w:after="0" w:line="278" w:lineRule="auto"/>
        <w:rPr>
          <w:rFonts w:ascii="Arial" w:cs="Arial" w:eastAsia="Arial" w:hAnsi="Arial"/>
          <w:sz w:val="16"/>
          <w:szCs w:val="16"/>
          <w:color w:val="auto"/>
        </w:rPr>
      </w:pPr>
      <w:r>
        <w:rPr>
          <w:rFonts w:ascii="Arial" w:cs="Arial" w:eastAsia="Arial" w:hAnsi="Arial"/>
          <w:sz w:val="15"/>
          <w:szCs w:val="15"/>
          <w:color w:val="auto"/>
        </w:rPr>
        <w:t>In February 2013, the Company issued as part of a direct placement to leading healthcare investor, OrbiMed Israel Partners Limited Partnership, an affiliate of OrbiMed Advisors LLC., warrants to purchase up to 1,600,000 ADSs, at an exercise price of $3.94 per ADS. The warrants are exercisable for a term of five years from the date of their issuance. Since the exercise price was not deemed to be fixed, the warrants did not qualify for classification as an equity instrument and have therefore been classified as a non-current derivative financial liability. The amount of the direct placement consideration allocated to the warrants was approximately $3,400,000, as calculated on the basis of the Black-Scholes model, which reflected their fair value as of the issuance date. The changes in fair value for the years ended December 31, 2014, 2015 and 2016, of approximately $1,100,000, $600,000, and $100,000 respectively, have been recorded as non-operating income on the statement of comprehensive loss.</w:t>
      </w:r>
    </w:p>
    <w:p>
      <w:pPr>
        <w:spacing w:after="0" w:line="159" w:lineRule="exact"/>
        <w:rPr>
          <w:rFonts w:ascii="Arial" w:cs="Arial" w:eastAsia="Arial" w:hAnsi="Arial"/>
          <w:sz w:val="16"/>
          <w:szCs w:val="16"/>
          <w:color w:val="auto"/>
        </w:rPr>
      </w:pPr>
    </w:p>
    <w:p>
      <w:pPr>
        <w:ind w:left="1480" w:right="20" w:hanging="338"/>
        <w:spacing w:after="0" w:line="283" w:lineRule="auto"/>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March 2014, the Company completed an underwritten public offering of 9,660,000 ADSs at a public offering price of $2.50 per ADS. The offering raised a total of $24.2 million, with net proceeds of approximately $22.3 million, after deducting fees and expenses.</w:t>
      </w:r>
    </w:p>
    <w:p>
      <w:pPr>
        <w:spacing w:after="0" w:line="150" w:lineRule="exact"/>
        <w:rPr>
          <w:rFonts w:ascii="Arial" w:cs="Arial" w:eastAsia="Arial" w:hAnsi="Arial"/>
          <w:sz w:val="16"/>
          <w:szCs w:val="16"/>
          <w:color w:val="auto"/>
        </w:rPr>
      </w:pPr>
    </w:p>
    <w:p>
      <w:pPr>
        <w:ind w:left="1480" w:right="20" w:hanging="338"/>
        <w:spacing w:after="0" w:line="283" w:lineRule="auto"/>
        <w:tabs>
          <w:tab w:leader="none" w:pos="14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March 2015, the Company completed an underwritten public offering of 14,375,000 ADSs at a public offering price of $2.00 per ADS. The offering raised a total of $28.8 million, with net proceeds of approximately $26.4 million, after deducting fees and expenses.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EQUITY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Share purchase agreement</w:t>
      </w:r>
    </w:p>
    <w:p>
      <w:pPr>
        <w:spacing w:after="0" w:line="209" w:lineRule="exact"/>
        <w:rPr>
          <w:rFonts w:ascii="Arial" w:cs="Arial" w:eastAsia="Arial" w:hAnsi="Arial"/>
          <w:sz w:val="16"/>
          <w:szCs w:val="16"/>
          <w:b w:val="1"/>
          <w:bCs w:val="1"/>
          <w:color w:val="auto"/>
        </w:rPr>
      </w:pPr>
    </w:p>
    <w:p>
      <w:pPr>
        <w:jc w:val="both"/>
        <w:ind w:left="1140" w:hanging="4"/>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In September 2012, BioLineRx and Lincoln Park Capital Fund, LLC, an Illinois limited liability company (“LPC”), entered into a $15 million purchase agreement, together with a registration rights agreement, whereby LPC agreed to purchase, from time to time, up to $15 million of BioLineRx’s ADSs, subject to certain limitations, during the 36-month term of the Purchase Agreement.</w:t>
      </w:r>
    </w:p>
    <w:p>
      <w:pPr>
        <w:spacing w:after="0" w:line="162" w:lineRule="exact"/>
        <w:rPr>
          <w:rFonts w:ascii="Arial" w:cs="Arial" w:eastAsia="Arial" w:hAnsi="Arial"/>
          <w:sz w:val="16"/>
          <w:szCs w:val="16"/>
          <w:b w:val="1"/>
          <w:bCs w:val="1"/>
          <w:color w:val="auto"/>
        </w:rPr>
      </w:pPr>
    </w:p>
    <w:p>
      <w:pPr>
        <w:jc w:val="both"/>
        <w:ind w:left="1140" w:hanging="4"/>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In consideration for entering into the $15 million agreement, BioLineRx paid to LPC an initial commitment fee, as well as an initial finder’s fee, in cash, to Oberon Securities, LLC Additional commitment and finder’s fees associated with the agreement, payable only upon the issuance of shares, were recorded as issuance expenses against share premium on the statement of financial position.</w:t>
      </w:r>
    </w:p>
    <w:p>
      <w:pPr>
        <w:spacing w:after="0" w:line="162" w:lineRule="exact"/>
        <w:rPr>
          <w:rFonts w:ascii="Arial" w:cs="Arial" w:eastAsia="Arial" w:hAnsi="Arial"/>
          <w:sz w:val="16"/>
          <w:szCs w:val="16"/>
          <w:b w:val="1"/>
          <w:bCs w:val="1"/>
          <w:color w:val="auto"/>
        </w:rPr>
      </w:pPr>
    </w:p>
    <w:p>
      <w:pPr>
        <w:jc w:val="both"/>
        <w:ind w:left="1140" w:right="20" w:hanging="4"/>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On a cumulative basis, from the effective date of the $15,000,000 purchase agreement through its termination in May 2014, BioLineRx sold a total of 3,793,209 ADSs to LPC for aggregate gross proceeds of $9,731,000. In connection with these issuances, a total of 94,832 ADSs was issued to LPC as an additional commitment fee and a total of $195,000 was paid to Oberon Securities as an additional finder’s fee.</w:t>
      </w:r>
    </w:p>
    <w:p>
      <w:pPr>
        <w:spacing w:after="0" w:line="162" w:lineRule="exact"/>
        <w:rPr>
          <w:rFonts w:ascii="Arial" w:cs="Arial" w:eastAsia="Arial" w:hAnsi="Arial"/>
          <w:sz w:val="16"/>
          <w:szCs w:val="16"/>
          <w:b w:val="1"/>
          <w:bCs w:val="1"/>
          <w:color w:val="auto"/>
        </w:rPr>
      </w:pPr>
    </w:p>
    <w:p>
      <w:pPr>
        <w:ind w:left="1140" w:right="20" w:hanging="4"/>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In May 2014, BioLineRx and LPC entered into a new $20 million, 36-month purchase agreement, and terminated the previous $15 million agreement. The terms of the new purchase agreement are substantially identical to the terms of the previous purchase agreement.</w:t>
      </w:r>
    </w:p>
    <w:p>
      <w:pPr>
        <w:spacing w:after="0" w:line="150" w:lineRule="exact"/>
        <w:rPr>
          <w:rFonts w:ascii="Arial" w:cs="Arial" w:eastAsia="Arial" w:hAnsi="Arial"/>
          <w:sz w:val="16"/>
          <w:szCs w:val="16"/>
          <w:b w:val="1"/>
          <w:bCs w:val="1"/>
          <w:color w:val="auto"/>
        </w:rPr>
      </w:pPr>
    </w:p>
    <w:p>
      <w:pPr>
        <w:jc w:val="both"/>
        <w:ind w:left="1140" w:right="20" w:hanging="4"/>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In consideration for entering into the new $20 million purchase agreement, BioLineRx paid to LPC an initial commitment fee of $300,000, paid via the issuance of 150,000 ADSs, and will pay a further commitment fee of up to $500,000, pro rata, as the facility is used over time, which will be paid in ADSs valued based on the prevailing market prices of BioLineRx’s ADSs at such time. The new purchase agreement may be terminated by BioLineRx at any time, at its sole discretion, without any cost or penalty.</w:t>
      </w:r>
    </w:p>
    <w:p>
      <w:pPr>
        <w:spacing w:after="0" w:line="167" w:lineRule="exact"/>
        <w:rPr>
          <w:rFonts w:ascii="Arial" w:cs="Arial" w:eastAsia="Arial" w:hAnsi="Arial"/>
          <w:sz w:val="16"/>
          <w:szCs w:val="16"/>
          <w:b w:val="1"/>
          <w:bCs w:val="1"/>
          <w:color w:val="auto"/>
        </w:rPr>
      </w:pPr>
    </w:p>
    <w:p>
      <w:pPr>
        <w:jc w:val="both"/>
        <w:ind w:left="1140" w:right="20" w:hanging="4"/>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In connection with the new purchase Agreement, BioLineRx agreed to pay an initial cash finder’s fee to Oberon Securities of $50,000, and will pay an additional cash finder’s fee equal to 2.0% of the dollar amount of ADSs sold under the new agreement, up to an aggregate additional finder’s fee of $200,000. BioLineRx has no other obligations to Oberon Securities with respect to this or any other potential future agreement.</w:t>
      </w:r>
    </w:p>
    <w:p>
      <w:pPr>
        <w:spacing w:after="0" w:line="162" w:lineRule="exact"/>
        <w:rPr>
          <w:rFonts w:ascii="Arial" w:cs="Arial" w:eastAsia="Arial" w:hAnsi="Arial"/>
          <w:sz w:val="16"/>
          <w:szCs w:val="16"/>
          <w:b w:val="1"/>
          <w:bCs w:val="1"/>
          <w:color w:val="auto"/>
        </w:rPr>
      </w:pPr>
    </w:p>
    <w:p>
      <w:pPr>
        <w:jc w:val="both"/>
        <w:ind w:left="1140" w:right="20" w:hanging="4"/>
        <w:spacing w:after="0" w:line="294" w:lineRule="auto"/>
        <w:rPr>
          <w:rFonts w:ascii="Arial" w:cs="Arial" w:eastAsia="Arial" w:hAnsi="Arial"/>
          <w:sz w:val="16"/>
          <w:szCs w:val="16"/>
          <w:b w:val="1"/>
          <w:bCs w:val="1"/>
          <w:color w:val="auto"/>
        </w:rPr>
      </w:pPr>
      <w:r>
        <w:rPr>
          <w:rFonts w:ascii="Arial" w:cs="Arial" w:eastAsia="Arial" w:hAnsi="Arial"/>
          <w:sz w:val="15"/>
          <w:szCs w:val="15"/>
          <w:color w:val="auto"/>
        </w:rPr>
        <w:t>The initial commitment fee payable to LPC and the initial finder’s fee payable to Oberon Securities, in the total aggregate amount of $350,000, were recorded as a non-operating expense in the statement of comprehensive loss for the year ended December 31, 2014. Future commitment and finder’s fees payable, if and when the facility is used over time, will be recorded as issuance expenses against share premium on the statement of financial position.</w:t>
      </w:r>
    </w:p>
    <w:p>
      <w:pPr>
        <w:spacing w:after="0" w:line="145" w:lineRule="exact"/>
        <w:rPr>
          <w:rFonts w:ascii="Arial" w:cs="Arial" w:eastAsia="Arial" w:hAnsi="Arial"/>
          <w:sz w:val="16"/>
          <w:szCs w:val="16"/>
          <w:b w:val="1"/>
          <w:bCs w:val="1"/>
          <w:color w:val="auto"/>
        </w:rPr>
      </w:pPr>
    </w:p>
    <w:p>
      <w:pPr>
        <w:ind w:left="1140" w:right="20"/>
        <w:spacing w:after="0" w:line="358" w:lineRule="auto"/>
        <w:rPr>
          <w:rFonts w:ascii="Arial" w:cs="Arial" w:eastAsia="Arial" w:hAnsi="Arial"/>
          <w:sz w:val="16"/>
          <w:szCs w:val="16"/>
          <w:b w:val="1"/>
          <w:bCs w:val="1"/>
          <w:color w:val="auto"/>
        </w:rPr>
      </w:pPr>
      <w:r>
        <w:rPr>
          <w:rFonts w:ascii="Arial" w:cs="Arial" w:eastAsia="Arial" w:hAnsi="Arial"/>
          <w:sz w:val="14"/>
          <w:szCs w:val="14"/>
          <w:color w:val="auto"/>
        </w:rPr>
        <w:t>During the year ended December 31, 2016 BioLineRx sold a total of 2,133,050 ADSs to LPC for aggregate gross proceeds of $2,227,000. In connection with these issuances, a total of 53,327 ADSs was issued to LPC as a commitment fee and a total of $45,000 was paid to Oberon Securities as a finder’s fee.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EQUITY </w:t>
      </w:r>
      <w:r>
        <w:rPr>
          <w:rFonts w:ascii="Arial" w:cs="Arial" w:eastAsia="Arial" w:hAnsi="Arial"/>
          <w:sz w:val="16"/>
          <w:szCs w:val="16"/>
          <w:color w:val="auto"/>
        </w:rPr>
        <w:t>(cont.)</w:t>
      </w:r>
    </w:p>
    <w:p>
      <w:pPr>
        <w:spacing w:after="0" w:line="190" w:lineRule="exact"/>
        <w:rPr>
          <w:sz w:val="20"/>
          <w:szCs w:val="20"/>
          <w:color w:val="auto"/>
        </w:rPr>
      </w:pPr>
    </w:p>
    <w:p>
      <w:pPr>
        <w:ind w:left="1140" w:hanging="339"/>
        <w:spacing w:after="0"/>
        <w:tabs>
          <w:tab w:leader="none" w:pos="114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purchase agreement </w:t>
      </w:r>
      <w:r>
        <w:rPr>
          <w:rFonts w:ascii="Arial" w:cs="Arial" w:eastAsia="Arial" w:hAnsi="Arial"/>
          <w:sz w:val="16"/>
          <w:szCs w:val="16"/>
          <w:color w:val="auto"/>
        </w:rPr>
        <w:t>(cont.)</w:t>
      </w:r>
    </w:p>
    <w:p>
      <w:pPr>
        <w:spacing w:after="0" w:line="209" w:lineRule="exact"/>
        <w:rPr>
          <w:rFonts w:ascii="Arial" w:cs="Arial" w:eastAsia="Arial" w:hAnsi="Arial"/>
          <w:sz w:val="16"/>
          <w:szCs w:val="16"/>
          <w:b w:val="1"/>
          <w:bCs w:val="1"/>
          <w:color w:val="auto"/>
        </w:rPr>
      </w:pPr>
    </w:p>
    <w:p>
      <w:pPr>
        <w:jc w:val="both"/>
        <w:ind w:left="114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On a cumulative basis, from the effective date of the purchase agreement through the approval date of these financial statements, BioLineRx has sold a total of 5,550,603 ADSs to LPC for aggregate gross proceeds of $7,000,000. In connection with these issuances, a total of 138,766 ADSs were issued to LPC as a commitment fee and a total of $140,000 was paid to Oberon Securities as a finder’s fee.</w:t>
      </w:r>
    </w:p>
    <w:p>
      <w:pPr>
        <w:spacing w:after="0" w:line="158" w:lineRule="exact"/>
        <w:rPr>
          <w:rFonts w:ascii="Arial" w:cs="Arial" w:eastAsia="Arial" w:hAnsi="Arial"/>
          <w:sz w:val="16"/>
          <w:szCs w:val="16"/>
          <w:b w:val="1"/>
          <w:bCs w:val="1"/>
          <w:color w:val="auto"/>
        </w:rPr>
      </w:pPr>
    </w:p>
    <w:p>
      <w:pPr>
        <w:ind w:left="1140" w:hanging="339"/>
        <w:spacing w:after="0"/>
        <w:tabs>
          <w:tab w:leader="none" w:pos="114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payments</w:t>
      </w:r>
    </w:p>
    <w:p>
      <w:pPr>
        <w:spacing w:after="0" w:line="209" w:lineRule="exact"/>
        <w:rPr>
          <w:rFonts w:ascii="Arial" w:cs="Arial" w:eastAsia="Arial" w:hAnsi="Arial"/>
          <w:sz w:val="16"/>
          <w:szCs w:val="16"/>
          <w:b w:val="1"/>
          <w:bCs w:val="1"/>
          <w:color w:val="auto"/>
        </w:rPr>
      </w:pPr>
    </w:p>
    <w:p>
      <w:pPr>
        <w:ind w:left="1440" w:hanging="298"/>
        <w:spacing w:after="0"/>
        <w:tabs>
          <w:tab w:leader="none" w:pos="144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Share Incentive plan – general</w:t>
      </w:r>
    </w:p>
    <w:p>
      <w:pPr>
        <w:spacing w:after="0" w:line="254" w:lineRule="exact"/>
        <w:rPr>
          <w:sz w:val="20"/>
          <w:szCs w:val="20"/>
          <w:color w:val="auto"/>
        </w:rPr>
      </w:pPr>
    </w:p>
    <w:p>
      <w:pPr>
        <w:jc w:val="both"/>
        <w:ind w:left="1500" w:right="20"/>
        <w:spacing w:after="0" w:line="260" w:lineRule="auto"/>
        <w:rPr>
          <w:sz w:val="20"/>
          <w:szCs w:val="20"/>
          <w:color w:val="auto"/>
        </w:rPr>
      </w:pPr>
      <w:r>
        <w:rPr>
          <w:rFonts w:ascii="Arial" w:cs="Arial" w:eastAsia="Arial" w:hAnsi="Arial"/>
          <w:sz w:val="16"/>
          <w:szCs w:val="16"/>
          <w:color w:val="auto"/>
        </w:rPr>
        <w:t>In 2003, BioLineRx adopted the 2003 Share Incentive Plan (the “Plan”). The Plan provides for the granting of stock options and ordinary shares to the Company’s employees, directors, consultants and other service providers. Options are issued at the determination of the Board of Directors in accordance with applicable law. The options are generally exercisable for a ten-year period and the grants generally vest over a four-year period. In 2013, the Company’s Board of Directors approved amendments to the Plan to take into account changes in laws and regulations that had occurred since its adoption and to extend the term of the plan until November 2023. In 2016, the Board of Directors approved amendments to the Plan to allow the grant of restricted stock units (“RSUs”) and performance stock units (“PSUs”).</w:t>
      </w:r>
    </w:p>
    <w:p>
      <w:pPr>
        <w:spacing w:after="0" w:line="217" w:lineRule="exact"/>
        <w:rPr>
          <w:sz w:val="20"/>
          <w:szCs w:val="20"/>
          <w:color w:val="auto"/>
        </w:rPr>
      </w:pPr>
    </w:p>
    <w:p>
      <w:pPr>
        <w:jc w:val="both"/>
        <w:ind w:left="1500"/>
        <w:spacing w:after="0" w:line="259" w:lineRule="auto"/>
        <w:rPr>
          <w:sz w:val="20"/>
          <w:szCs w:val="20"/>
          <w:color w:val="auto"/>
        </w:rPr>
      </w:pPr>
      <w:r>
        <w:rPr>
          <w:rFonts w:ascii="Arial" w:cs="Arial" w:eastAsia="Arial" w:hAnsi="Arial"/>
          <w:sz w:val="16"/>
          <w:szCs w:val="16"/>
          <w:color w:val="auto"/>
        </w:rPr>
        <w:t>PSUs represent RSUs that are linked to any one or more performance goals (in addition to, or in lieu of, time-based vesting terms) determined appropriate by the Board of Directors. Once vested, each PSU granted is equivalent to one ordinary share. The specific performance goals, as well as the time period associated with achieving such goals, are approved by the Board and are set forth in the grantee’s grant agreement. To date, each PSU grant has had four performance goals on which vesting is based, each such goal being either a specified Company milestone and or the success of a specific project, with vesting of 25% on the achievement of each goal. As of December 31, 2016, it was still not ascertainable whether the performance criteria to which the granted PSUs are linked would be met. The tranche of PSUs associated with a given milestone expires 12 months after the target date established for that milestone.</w:t>
      </w:r>
    </w:p>
    <w:p>
      <w:pPr>
        <w:spacing w:after="0" w:line="217"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As of December 31, 2016, there were 4,745,924 ordinary shares issuable upon the exercise of outstanding equity instruments under the Plan.</w:t>
      </w:r>
    </w:p>
    <w:p>
      <w:pPr>
        <w:spacing w:after="0" w:line="26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Ordinary shares resulting from grants under the Plan confer the same rights as all other ordinary shares of BioLineRx.</w:t>
      </w:r>
    </w:p>
    <w:p>
      <w:pPr>
        <w:spacing w:after="0" w:line="206" w:lineRule="exact"/>
        <w:rPr>
          <w:sz w:val="20"/>
          <w:szCs w:val="20"/>
          <w:color w:val="auto"/>
        </w:rPr>
      </w:pPr>
    </w:p>
    <w:p>
      <w:pPr>
        <w:jc w:val="both"/>
        <w:ind w:left="1500"/>
        <w:spacing w:after="0" w:line="294" w:lineRule="auto"/>
        <w:rPr>
          <w:sz w:val="20"/>
          <w:szCs w:val="20"/>
          <w:color w:val="auto"/>
        </w:rPr>
      </w:pPr>
      <w:r>
        <w:rPr>
          <w:rFonts w:ascii="Arial" w:cs="Arial" w:eastAsia="Arial" w:hAnsi="Arial"/>
          <w:sz w:val="15"/>
          <w:szCs w:val="15"/>
          <w:color w:val="auto"/>
        </w:rPr>
        <w:t>Company employees and directors are granted options under Section 102 of the Israeli Income Tax Ordinance (the “Ordinance”), primarily under the “capital gains” track. Non-employees of the Company (consultants and other service providers), as well as controlling shareholders in BioLineRx (as this term is defined in Section 32(9) of the Ordinance), are granted options under Section 3(i) of the Ordinance.</w:t>
      </w:r>
    </w:p>
    <w:p>
      <w:pPr>
        <w:spacing w:after="0" w:line="145" w:lineRule="exact"/>
        <w:rPr>
          <w:sz w:val="20"/>
          <w:szCs w:val="20"/>
          <w:color w:val="auto"/>
        </w:rPr>
      </w:pPr>
    </w:p>
    <w:p>
      <w:pPr>
        <w:jc w:val="both"/>
        <w:ind w:left="1500" w:right="20"/>
        <w:spacing w:after="0" w:line="263" w:lineRule="auto"/>
        <w:rPr>
          <w:sz w:val="20"/>
          <w:szCs w:val="20"/>
          <w:color w:val="auto"/>
        </w:rPr>
      </w:pPr>
      <w:r>
        <w:rPr>
          <w:rFonts w:ascii="Arial" w:cs="Arial" w:eastAsia="Arial" w:hAnsi="Arial"/>
          <w:sz w:val="16"/>
          <w:szCs w:val="16"/>
          <w:color w:val="auto"/>
        </w:rPr>
        <w:t>In November 2014 and December 2015, the Company’s Board of Directors approved increases of 1.6 million and 5.0 million shares, respectively, to the total pool of authorized ordinary shares reserved for purposes of the Plan and any other present or future share incentive plans of the Company, bringing the pool to an aggregate of 9.6 million shares. As of December 31, 2016, there were 4.0 million remaining authorized but unissued ordinary shares in the pool reserved for future share-based incentive grants.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EQUITY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payments </w:t>
      </w:r>
      <w:r>
        <w:rPr>
          <w:rFonts w:ascii="Arial" w:cs="Arial" w:eastAsia="Arial" w:hAnsi="Arial"/>
          <w:sz w:val="16"/>
          <w:szCs w:val="16"/>
          <w:color w:val="auto"/>
        </w:rPr>
        <w:t>(cont.)</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Employee share incentive plan:</w:t>
      </w:r>
    </w:p>
    <w:p>
      <w:pPr>
        <w:spacing w:after="0" w:line="205" w:lineRule="exact"/>
        <w:rPr>
          <w:rFonts w:ascii="Arial" w:cs="Arial" w:eastAsia="Arial" w:hAnsi="Arial"/>
          <w:sz w:val="16"/>
          <w:szCs w:val="16"/>
          <w:color w:val="auto"/>
        </w:rPr>
      </w:pPr>
    </w:p>
    <w:p>
      <w:pPr>
        <w:ind w:left="1500" w:right="20"/>
        <w:spacing w:after="0" w:line="283" w:lineRule="auto"/>
        <w:rPr>
          <w:rFonts w:ascii="Arial" w:cs="Arial" w:eastAsia="Arial" w:hAnsi="Arial"/>
          <w:sz w:val="16"/>
          <w:szCs w:val="16"/>
          <w:color w:val="auto"/>
        </w:rPr>
      </w:pPr>
      <w:r>
        <w:rPr>
          <w:rFonts w:ascii="Arial" w:cs="Arial" w:eastAsia="Arial" w:hAnsi="Arial"/>
          <w:sz w:val="16"/>
          <w:szCs w:val="16"/>
          <w:color w:val="auto"/>
        </w:rPr>
        <w:t>The following table contains additional information concerning equity instruments granted to employees and directors under the existing share incentive plans.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10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10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line="178" w:lineRule="exact"/>
              <w:rPr>
                <w:sz w:val="20"/>
                <w:szCs w:val="20"/>
                <w:color w:val="auto"/>
              </w:rPr>
            </w:pPr>
            <w:r>
              <w:rPr>
                <w:rFonts w:ascii="Arial" w:cs="Arial" w:eastAsia="Arial" w:hAnsi="Arial"/>
                <w:sz w:val="16"/>
                <w:szCs w:val="16"/>
                <w:b w:val="1"/>
                <w:bCs w:val="1"/>
                <w:color w:val="auto"/>
                <w:w w:val="88"/>
              </w:rPr>
              <w:t>Weighted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line="178" w:lineRule="exact"/>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9"/>
              <w:spacing w:after="0" w:line="178" w:lineRule="exact"/>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average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exercise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exercise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4"/>
              </w:rPr>
              <w:t>exercise</w:t>
            </w: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2"/>
              </w:rPr>
              <w:t>Number</w:t>
            </w: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price</w:t>
            </w:r>
          </w:p>
        </w:tc>
        <w:tc>
          <w:tcPr>
            <w:tcW w:w="15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5"/>
              </w:rPr>
              <w:t>Number</w:t>
            </w: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price</w:t>
            </w:r>
          </w:p>
        </w:tc>
        <w:tc>
          <w:tcPr>
            <w:tcW w:w="15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5"/>
              </w:rPr>
              <w:t>Number</w:t>
            </w: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7"/>
              </w:rPr>
              <w:t>of options</w:t>
            </w: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(in NIS)</w:t>
            </w:r>
          </w:p>
        </w:tc>
        <w:tc>
          <w:tcPr>
            <w:tcW w:w="15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7"/>
              </w:rPr>
              <w:t>of options</w:t>
            </w: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(in NIS)</w:t>
            </w:r>
          </w:p>
        </w:tc>
        <w:tc>
          <w:tcPr>
            <w:tcW w:w="150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7"/>
              </w:rPr>
              <w:t>of options</w:t>
            </w: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(in NIS)</w:t>
            </w:r>
          </w:p>
        </w:tc>
        <w:tc>
          <w:tcPr>
            <w:tcW w:w="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1,861,280</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3,187,092</w:t>
            </w: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3,500,262</w:t>
            </w: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3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1,478,200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5.7</w:t>
            </w:r>
          </w:p>
        </w:tc>
        <w:tc>
          <w:tcPr>
            <w:tcW w:w="1140" w:type="dxa"/>
            <w:vAlign w:val="bottom"/>
          </w:tcPr>
          <w:p>
            <w:pPr>
              <w:jc w:val="right"/>
              <w:spacing w:after="0"/>
              <w:rPr>
                <w:sz w:val="20"/>
                <w:szCs w:val="20"/>
                <w:color w:val="auto"/>
              </w:rPr>
            </w:pPr>
            <w:r>
              <w:rPr>
                <w:rFonts w:ascii="Arial" w:cs="Arial" w:eastAsia="Arial" w:hAnsi="Arial"/>
                <w:sz w:val="16"/>
                <w:szCs w:val="16"/>
                <w:color w:val="auto"/>
              </w:rPr>
              <w:t>500,800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6.8</w:t>
            </w:r>
          </w:p>
        </w:tc>
        <w:tc>
          <w:tcPr>
            <w:tcW w:w="1120" w:type="dxa"/>
            <w:vAlign w:val="bottom"/>
          </w:tcPr>
          <w:p>
            <w:pPr>
              <w:jc w:val="right"/>
              <w:spacing w:after="0"/>
              <w:rPr>
                <w:sz w:val="20"/>
                <w:szCs w:val="20"/>
                <w:color w:val="auto"/>
              </w:rPr>
            </w:pPr>
            <w:r>
              <w:rPr>
                <w:rFonts w:ascii="Arial" w:cs="Arial" w:eastAsia="Arial" w:hAnsi="Arial"/>
                <w:sz w:val="16"/>
                <w:szCs w:val="16"/>
                <w:color w:val="auto"/>
              </w:rPr>
              <w:t>2,505,684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 and expired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(150,985)</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(187,630)</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(1,435,990)</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330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(1,403)</w:t>
            </w: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(12,029)</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end of year</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3,187,092</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3,500,262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4,557,927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4"/>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Exercisable at end of year</w:t>
            </w:r>
          </w:p>
        </w:tc>
        <w:tc>
          <w:tcPr>
            <w:tcW w:w="1160" w:type="dxa"/>
            <w:vAlign w:val="bottom"/>
          </w:tcPr>
          <w:p>
            <w:pPr>
              <w:jc w:val="right"/>
              <w:spacing w:after="0"/>
              <w:rPr>
                <w:sz w:val="20"/>
                <w:szCs w:val="20"/>
                <w:color w:val="auto"/>
              </w:rPr>
            </w:pPr>
            <w:r>
              <w:rPr>
                <w:rFonts w:ascii="Arial" w:cs="Arial" w:eastAsia="Arial" w:hAnsi="Arial"/>
                <w:sz w:val="16"/>
                <w:szCs w:val="16"/>
                <w:color w:val="auto"/>
              </w:rPr>
              <w:t>641,960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15.1</w:t>
            </w:r>
          </w:p>
        </w:tc>
        <w:tc>
          <w:tcPr>
            <w:tcW w:w="1140" w:type="dxa"/>
            <w:vAlign w:val="bottom"/>
          </w:tcPr>
          <w:p>
            <w:pPr>
              <w:jc w:val="right"/>
              <w:spacing w:after="0"/>
              <w:rPr>
                <w:sz w:val="20"/>
                <w:szCs w:val="20"/>
                <w:color w:val="auto"/>
              </w:rPr>
            </w:pPr>
            <w:r>
              <w:rPr>
                <w:rFonts w:ascii="Arial" w:cs="Arial" w:eastAsia="Arial" w:hAnsi="Arial"/>
                <w:sz w:val="16"/>
                <w:szCs w:val="16"/>
                <w:color w:val="auto"/>
              </w:rPr>
              <w:t>1,169,540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12.6</w:t>
            </w:r>
          </w:p>
        </w:tc>
        <w:tc>
          <w:tcPr>
            <w:tcW w:w="1120" w:type="dxa"/>
            <w:vAlign w:val="bottom"/>
          </w:tcPr>
          <w:p>
            <w:pPr>
              <w:jc w:val="right"/>
              <w:spacing w:after="0"/>
              <w:rPr>
                <w:sz w:val="20"/>
                <w:szCs w:val="20"/>
                <w:color w:val="auto"/>
              </w:rPr>
            </w:pPr>
            <w:r>
              <w:rPr>
                <w:rFonts w:ascii="Arial" w:cs="Arial" w:eastAsia="Arial" w:hAnsi="Arial"/>
                <w:sz w:val="16"/>
                <w:szCs w:val="16"/>
                <w:color w:val="auto"/>
              </w:rPr>
              <w:t>1,786,209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1500" w:hanging="121"/>
        <w:spacing w:after="0"/>
        <w:tabs>
          <w:tab w:leader="none" w:pos="1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of the December 31, 2016, includes PSUs at an exercise price of 0.10 NIS, for which performance obligations have not been met.</w:t>
      </w:r>
    </w:p>
    <w:p>
      <w:pPr>
        <w:spacing w:after="0" w:line="363"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6"/>
          <w:szCs w:val="16"/>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EQUITY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payments </w:t>
      </w:r>
      <w:r>
        <w:rPr>
          <w:rFonts w:ascii="Arial" w:cs="Arial" w:eastAsia="Arial" w:hAnsi="Arial"/>
          <w:sz w:val="16"/>
          <w:szCs w:val="16"/>
          <w:color w:val="auto"/>
        </w:rPr>
        <w:t>(cont.)</w:t>
      </w:r>
    </w:p>
    <w:p>
      <w:pPr>
        <w:spacing w:after="0" w:line="21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total consideration received from the exercise of equity instruments during 2014, 2015 and 2016 was not material.</w:t>
      </w:r>
    </w:p>
    <w:p>
      <w:pPr>
        <w:spacing w:after="0" w:line="206" w:lineRule="exact"/>
        <w:rPr>
          <w:sz w:val="20"/>
          <w:szCs w:val="20"/>
          <w:color w:val="auto"/>
        </w:rPr>
      </w:pPr>
    </w:p>
    <w:p>
      <w:pPr>
        <w:ind w:left="1500" w:right="20"/>
        <w:spacing w:after="0" w:line="283" w:lineRule="auto"/>
        <w:rPr>
          <w:sz w:val="20"/>
          <w:szCs w:val="20"/>
          <w:color w:val="auto"/>
        </w:rPr>
      </w:pPr>
      <w:r>
        <w:rPr>
          <w:rFonts w:ascii="Arial" w:cs="Arial" w:eastAsia="Arial" w:hAnsi="Arial"/>
          <w:sz w:val="16"/>
          <w:szCs w:val="16"/>
          <w:color w:val="auto"/>
        </w:rPr>
        <w:t>Set forth below is data regarding the range of exercise prices and weighted-average remaining contractual life (in years) for the equity instruments outstanding at the end of each of the years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99"/>
        </w:trPr>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2014</w:t>
            </w: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2015</w:t>
            </w: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2016</w:t>
            </w:r>
          </w:p>
        </w:tc>
        <w:tc>
          <w:tcPr>
            <w:tcW w:w="1300" w:type="dxa"/>
            <w:vAlign w:val="bottom"/>
            <w:tcBorders>
              <w:bottom w:val="single" w:sz="8" w:color="auto"/>
            </w:tcBorders>
          </w:tcPr>
          <w:p>
            <w:pPr>
              <w:spacing w:after="0"/>
              <w:rPr>
                <w:sz w:val="17"/>
                <w:szCs w:val="17"/>
                <w:color w:val="auto"/>
              </w:rPr>
            </w:pPr>
          </w:p>
        </w:tc>
      </w:tr>
      <w:tr>
        <w:trPr>
          <w:trHeight w:val="178"/>
        </w:trPr>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left="39"/>
              <w:spacing w:after="0" w:line="178" w:lineRule="exact"/>
              <w:rPr>
                <w:sz w:val="20"/>
                <w:szCs w:val="20"/>
                <w:color w:val="auto"/>
              </w:rPr>
            </w:pPr>
            <w:r>
              <w:rPr>
                <w:rFonts w:ascii="Arial" w:cs="Arial" w:eastAsia="Arial" w:hAnsi="Arial"/>
                <w:sz w:val="16"/>
                <w:szCs w:val="16"/>
                <w:b w:val="1"/>
                <w:bCs w:val="1"/>
                <w:color w:val="auto"/>
                <w:w w:val="91"/>
              </w:rPr>
              <w:t>Weighted</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left="39"/>
              <w:spacing w:after="0" w:line="178" w:lineRule="exact"/>
              <w:rPr>
                <w:sz w:val="20"/>
                <w:szCs w:val="20"/>
                <w:color w:val="auto"/>
              </w:rPr>
            </w:pPr>
            <w:r>
              <w:rPr>
                <w:rFonts w:ascii="Arial" w:cs="Arial" w:eastAsia="Arial" w:hAnsi="Arial"/>
                <w:sz w:val="16"/>
                <w:szCs w:val="16"/>
                <w:b w:val="1"/>
                <w:bCs w:val="1"/>
                <w:color w:val="auto"/>
                <w:w w:val="91"/>
              </w:rPr>
              <w:t>Weighted</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119"/>
              <w:spacing w:after="0" w:line="178" w:lineRule="exact"/>
              <w:rPr>
                <w:sz w:val="20"/>
                <w:szCs w:val="20"/>
                <w:color w:val="auto"/>
              </w:rPr>
            </w:pPr>
            <w:r>
              <w:rPr>
                <w:rFonts w:ascii="Arial" w:cs="Arial" w:eastAsia="Arial" w:hAnsi="Arial"/>
                <w:sz w:val="16"/>
                <w:szCs w:val="16"/>
                <w:b w:val="1"/>
                <w:bCs w:val="1"/>
                <w:color w:val="auto"/>
                <w:w w:val="91"/>
              </w:rPr>
              <w:t>Weighted</w:t>
            </w:r>
          </w:p>
        </w:tc>
      </w:tr>
      <w:tr>
        <w:trPr>
          <w:trHeight w:val="195"/>
        </w:trPr>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Range of</w:t>
            </w: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39"/>
              <w:spacing w:after="0"/>
              <w:rPr>
                <w:sz w:val="20"/>
                <w:szCs w:val="20"/>
                <w:color w:val="auto"/>
              </w:rPr>
            </w:pPr>
            <w:r>
              <w:rPr>
                <w:rFonts w:ascii="Arial" w:cs="Arial" w:eastAsia="Arial" w:hAnsi="Arial"/>
                <w:sz w:val="16"/>
                <w:szCs w:val="16"/>
                <w:b w:val="1"/>
                <w:bCs w:val="1"/>
                <w:color w:val="auto"/>
                <w:w w:val="89"/>
              </w:rPr>
              <w:t>average</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left="39"/>
              <w:spacing w:after="0"/>
              <w:rPr>
                <w:sz w:val="20"/>
                <w:szCs w:val="20"/>
                <w:color w:val="auto"/>
              </w:rPr>
            </w:pPr>
            <w:r>
              <w:rPr>
                <w:rFonts w:ascii="Arial" w:cs="Arial" w:eastAsia="Arial" w:hAnsi="Arial"/>
                <w:sz w:val="16"/>
                <w:szCs w:val="16"/>
                <w:b w:val="1"/>
                <w:bCs w:val="1"/>
                <w:color w:val="auto"/>
                <w:w w:val="89"/>
              </w:rPr>
              <w:t>average</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average</w:t>
            </w:r>
          </w:p>
        </w:tc>
      </w:tr>
      <w:tr>
        <w:trPr>
          <w:trHeight w:val="195"/>
        </w:trPr>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exercise</w:t>
            </w:r>
          </w:p>
        </w:tc>
        <w:tc>
          <w:tcPr>
            <w:tcW w:w="18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2"/>
              </w:rPr>
              <w:t>Number</w:t>
            </w:r>
          </w:p>
        </w:tc>
        <w:tc>
          <w:tcPr>
            <w:tcW w:w="980" w:type="dxa"/>
            <w:vAlign w:val="bottom"/>
          </w:tcPr>
          <w:p>
            <w:pPr>
              <w:jc w:val="center"/>
              <w:ind w:left="59"/>
              <w:spacing w:after="0"/>
              <w:rPr>
                <w:sz w:val="20"/>
                <w:szCs w:val="20"/>
                <w:color w:val="auto"/>
              </w:rPr>
            </w:pPr>
            <w:r>
              <w:rPr>
                <w:rFonts w:ascii="Arial" w:cs="Arial" w:eastAsia="Arial" w:hAnsi="Arial"/>
                <w:sz w:val="16"/>
                <w:szCs w:val="16"/>
                <w:b w:val="1"/>
                <w:bCs w:val="1"/>
                <w:color w:val="auto"/>
                <w:w w:val="94"/>
              </w:rPr>
              <w:t>remaining</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5"/>
              </w:rPr>
              <w:t>Number</w:t>
            </w:r>
          </w:p>
        </w:tc>
        <w:tc>
          <w:tcPr>
            <w:tcW w:w="94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remaining</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5"/>
              </w:rPr>
              <w:t>Number</w:t>
            </w: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remaining</w:t>
            </w:r>
          </w:p>
        </w:tc>
      </w:tr>
      <w:tr>
        <w:trPr>
          <w:trHeight w:val="195"/>
        </w:trPr>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prices</w:t>
            </w:r>
          </w:p>
        </w:tc>
        <w:tc>
          <w:tcPr>
            <w:tcW w:w="18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7"/>
              </w:rPr>
              <w:t>of options</w:t>
            </w:r>
          </w:p>
        </w:tc>
        <w:tc>
          <w:tcPr>
            <w:tcW w:w="980" w:type="dxa"/>
            <w:vAlign w:val="bottom"/>
          </w:tcPr>
          <w:p>
            <w:pPr>
              <w:jc w:val="center"/>
              <w:ind w:left="59"/>
              <w:spacing w:after="0"/>
              <w:rPr>
                <w:sz w:val="20"/>
                <w:szCs w:val="20"/>
                <w:color w:val="auto"/>
              </w:rPr>
            </w:pPr>
            <w:r>
              <w:rPr>
                <w:rFonts w:ascii="Arial" w:cs="Arial" w:eastAsia="Arial" w:hAnsi="Arial"/>
                <w:sz w:val="16"/>
                <w:szCs w:val="16"/>
                <w:b w:val="1"/>
                <w:bCs w:val="1"/>
                <w:color w:val="auto"/>
                <w:w w:val="92"/>
              </w:rPr>
              <w:t>contractual</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7"/>
              </w:rPr>
              <w:t>of options</w:t>
            </w:r>
          </w:p>
        </w:tc>
        <w:tc>
          <w:tcPr>
            <w:tcW w:w="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contractual</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of options</w:t>
            </w: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contractual</w:t>
            </w:r>
          </w:p>
        </w:tc>
      </w:tr>
      <w:tr>
        <w:trPr>
          <w:trHeight w:val="216"/>
        </w:trPr>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(in NIS)</w:t>
            </w:r>
          </w:p>
        </w:tc>
        <w:tc>
          <w:tcPr>
            <w:tcW w:w="18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outstanding</w:t>
            </w:r>
          </w:p>
        </w:tc>
        <w:tc>
          <w:tcPr>
            <w:tcW w:w="980" w:type="dxa"/>
            <w:vAlign w:val="bottom"/>
          </w:tcPr>
          <w:p>
            <w:pPr>
              <w:jc w:val="center"/>
              <w:ind w:left="59"/>
              <w:spacing w:after="0"/>
              <w:rPr>
                <w:sz w:val="20"/>
                <w:szCs w:val="20"/>
                <w:color w:val="auto"/>
              </w:rPr>
            </w:pPr>
            <w:r>
              <w:rPr>
                <w:rFonts w:ascii="Arial" w:cs="Arial" w:eastAsia="Arial" w:hAnsi="Arial"/>
                <w:sz w:val="16"/>
                <w:szCs w:val="16"/>
                <w:b w:val="1"/>
                <w:bCs w:val="1"/>
                <w:color w:val="auto"/>
                <w:w w:val="93"/>
              </w:rPr>
              <w:t>life (in yrs.)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outstanding</w:t>
            </w:r>
          </w:p>
        </w:tc>
        <w:tc>
          <w:tcPr>
            <w:tcW w:w="940" w:type="dxa"/>
            <w:vAlign w:val="bottom"/>
          </w:tcPr>
          <w:p>
            <w:pPr>
              <w:jc w:val="center"/>
              <w:ind w:left="19"/>
              <w:spacing w:after="0"/>
              <w:rPr>
                <w:sz w:val="20"/>
                <w:szCs w:val="20"/>
                <w:color w:val="auto"/>
              </w:rPr>
            </w:pPr>
            <w:r>
              <w:rPr>
                <w:rFonts w:ascii="Arial" w:cs="Arial" w:eastAsia="Arial" w:hAnsi="Arial"/>
                <w:sz w:val="16"/>
                <w:szCs w:val="16"/>
                <w:b w:val="1"/>
                <w:bCs w:val="1"/>
                <w:color w:val="auto"/>
                <w:w w:val="93"/>
              </w:rPr>
              <w:t>life (in yrs.)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9"/>
              </w:rPr>
              <w:t>outstanding</w:t>
            </w: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life (in yrs.)</w:t>
            </w:r>
          </w:p>
        </w:tc>
      </w:tr>
      <w:tr>
        <w:trPr>
          <w:trHeight w:val="195"/>
        </w:trPr>
        <w:tc>
          <w:tcPr>
            <w:tcW w:w="12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Up to 10.00</w:t>
            </w:r>
          </w:p>
        </w:tc>
        <w:tc>
          <w:tcPr>
            <w:tcW w:w="28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1,717,686</w:t>
            </w:r>
          </w:p>
        </w:tc>
        <w:tc>
          <w:tcPr>
            <w:tcW w:w="2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3"/>
              </w:rPr>
              <w:t>6.61</w:t>
            </w:r>
          </w:p>
        </w:tc>
        <w:tc>
          <w:tcPr>
            <w:tcW w:w="280" w:type="dxa"/>
            <w:vAlign w:val="bottom"/>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2,117,886</w:t>
            </w: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5.76</w:t>
            </w:r>
          </w:p>
        </w:tc>
        <w:tc>
          <w:tcPr>
            <w:tcW w:w="280" w:type="dxa"/>
            <w:vAlign w:val="bottom"/>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3,502,043</w:t>
            </w:r>
          </w:p>
        </w:tc>
        <w:tc>
          <w:tcPr>
            <w:tcW w:w="2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195"/>
        </w:trPr>
        <w:tc>
          <w:tcPr>
            <w:tcW w:w="1280" w:type="dxa"/>
            <w:vAlign w:val="bottom"/>
          </w:tcPr>
          <w:p>
            <w:pPr>
              <w:jc w:val="center"/>
              <w:spacing w:after="0"/>
              <w:rPr>
                <w:sz w:val="20"/>
                <w:szCs w:val="20"/>
                <w:color w:val="auto"/>
              </w:rPr>
            </w:pPr>
            <w:r>
              <w:rPr>
                <w:rFonts w:ascii="Arial" w:cs="Arial" w:eastAsia="Arial" w:hAnsi="Arial"/>
                <w:sz w:val="16"/>
                <w:szCs w:val="16"/>
                <w:color w:val="auto"/>
                <w:w w:val="91"/>
              </w:rPr>
              <w:t>10.01-20.00</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1,406,609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auto"/>
              </w:rPr>
              <w:t>4.84</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1,334,866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w w:val="83"/>
              </w:rPr>
              <w:t>3.81</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1,037,436</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195"/>
        </w:trPr>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20.01-30.00</w:t>
            </w:r>
          </w:p>
        </w:tc>
        <w:tc>
          <w:tcPr>
            <w:tcW w:w="2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10,903</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1.82</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10,340</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3"/>
              </w:rPr>
              <w:t>0.88</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3,278</w:t>
            </w:r>
          </w:p>
        </w:tc>
        <w:tc>
          <w:tcPr>
            <w:tcW w:w="16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0.74</w:t>
            </w:r>
          </w:p>
        </w:tc>
      </w:tr>
      <w:tr>
        <w:trPr>
          <w:trHeight w:val="195"/>
        </w:trPr>
        <w:tc>
          <w:tcPr>
            <w:tcW w:w="1280" w:type="dxa"/>
            <w:vAlign w:val="bottom"/>
          </w:tcPr>
          <w:p>
            <w:pPr>
              <w:jc w:val="center"/>
              <w:spacing w:after="0"/>
              <w:rPr>
                <w:sz w:val="20"/>
                <w:szCs w:val="20"/>
                <w:color w:val="auto"/>
              </w:rPr>
            </w:pPr>
            <w:r>
              <w:rPr>
                <w:rFonts w:ascii="Arial" w:cs="Arial" w:eastAsia="Arial" w:hAnsi="Arial"/>
                <w:sz w:val="16"/>
                <w:szCs w:val="16"/>
                <w:color w:val="auto"/>
                <w:w w:val="91"/>
              </w:rPr>
              <w:t>30.01-40.00</w:t>
            </w:r>
          </w:p>
        </w:tc>
        <w:tc>
          <w:tcPr>
            <w:tcW w:w="280" w:type="dxa"/>
            <w:vAlign w:val="bottom"/>
          </w:tcPr>
          <w:p>
            <w:pPr>
              <w:spacing w:after="0"/>
              <w:rPr>
                <w:sz w:val="16"/>
                <w:szCs w:val="16"/>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color w:val="auto"/>
              </w:rPr>
              <w:t>11,125</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auto"/>
              </w:rPr>
              <w:t>2.36</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10,000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w w:val="83"/>
              </w:rPr>
              <w:t>1.55</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0.55</w:t>
            </w:r>
          </w:p>
        </w:tc>
      </w:tr>
      <w:tr>
        <w:trPr>
          <w:trHeight w:val="195"/>
        </w:trPr>
        <w:tc>
          <w:tcPr>
            <w:tcW w:w="15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Over 40.00</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1.34</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27,170</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3"/>
              </w:rPr>
              <w:t>1.00</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5,170</w:t>
            </w:r>
          </w:p>
        </w:tc>
        <w:tc>
          <w:tcPr>
            <w:tcW w:w="16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4"/>
        </w:trPr>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r>
      <w:tr>
        <w:trPr>
          <w:trHeight w:val="195"/>
        </w:trPr>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3,187,092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auto"/>
              </w:rPr>
              <w:t>5.73</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3,500,262</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w w:val="83"/>
              </w:rPr>
              <w:t>4.96</w:t>
            </w: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4,557,927</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1500" w:right="20"/>
        <w:spacing w:after="0" w:line="283" w:lineRule="auto"/>
        <w:rPr>
          <w:sz w:val="20"/>
          <w:szCs w:val="20"/>
          <w:color w:val="auto"/>
        </w:rPr>
      </w:pPr>
      <w:r>
        <w:rPr>
          <w:rFonts w:ascii="Arial" w:cs="Arial" w:eastAsia="Arial" w:hAnsi="Arial"/>
          <w:sz w:val="16"/>
          <w:szCs w:val="16"/>
          <w:color w:val="auto"/>
        </w:rPr>
        <w:t>With regard to the PSUs granted in 2016, the performance obligations attached to these instruments have not yet been met as of the date of these financial statements.</w:t>
      </w:r>
    </w:p>
    <w:p>
      <w:pPr>
        <w:spacing w:after="0" w:line="151" w:lineRule="exact"/>
        <w:rPr>
          <w:sz w:val="20"/>
          <w:szCs w:val="20"/>
          <w:color w:val="auto"/>
        </w:rPr>
      </w:pPr>
    </w:p>
    <w:p>
      <w:pPr>
        <w:ind w:left="1500" w:right="20"/>
        <w:spacing w:after="0" w:line="283" w:lineRule="auto"/>
        <w:rPr>
          <w:sz w:val="20"/>
          <w:szCs w:val="20"/>
          <w:color w:val="auto"/>
        </w:rPr>
      </w:pPr>
      <w:r>
        <w:rPr>
          <w:rFonts w:ascii="Arial" w:cs="Arial" w:eastAsia="Arial" w:hAnsi="Arial"/>
          <w:sz w:val="16"/>
          <w:szCs w:val="16"/>
          <w:color w:val="auto"/>
        </w:rPr>
        <w:t>The fair value of all other equity instruments granted to employees through December 31, 2016 has been determined using the Black-Scholes option-pricing model. These values are based on the following assumptions as of the applicable grant dates: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gridSpan w:val="2"/>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r>
      <w:tr>
        <w:trPr>
          <w:trHeight w:val="195"/>
        </w:trPr>
        <w:tc>
          <w:tcPr>
            <w:tcW w:w="150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7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r>
      <w:tr>
        <w:trPr>
          <w:trHeight w:val="195"/>
        </w:trPr>
        <w:tc>
          <w:tcPr>
            <w:tcW w:w="1500" w:type="dxa"/>
            <w:vAlign w:val="bottom"/>
          </w:tcPr>
          <w:p>
            <w:pPr>
              <w:spacing w:after="0"/>
              <w:rPr>
                <w:sz w:val="16"/>
                <w:szCs w:val="16"/>
                <w:color w:val="auto"/>
              </w:rPr>
            </w:pPr>
          </w:p>
        </w:tc>
        <w:tc>
          <w:tcPr>
            <w:tcW w:w="708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65%</w:t>
            </w:r>
          </w:p>
        </w:tc>
        <w:tc>
          <w:tcPr>
            <w:tcW w:w="74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68%</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r>
      <w:tr>
        <w:trPr>
          <w:trHeight w:val="195"/>
        </w:trPr>
        <w:tc>
          <w:tcPr>
            <w:tcW w:w="1500" w:type="dxa"/>
            <w:vAlign w:val="bottom"/>
          </w:tcPr>
          <w:p>
            <w:pPr>
              <w:spacing w:after="0"/>
              <w:rPr>
                <w:sz w:val="16"/>
                <w:szCs w:val="16"/>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07"/>
        </w:trPr>
        <w:tc>
          <w:tcPr>
            <w:tcW w:w="1500" w:type="dxa"/>
            <w:vAlign w:val="bottom"/>
          </w:tcPr>
          <w:p>
            <w:pPr>
              <w:spacing w:after="0"/>
              <w:rPr>
                <w:sz w:val="17"/>
                <w:szCs w:val="17"/>
                <w:color w:val="auto"/>
              </w:rPr>
            </w:pPr>
          </w:p>
        </w:tc>
        <w:tc>
          <w:tcPr>
            <w:tcW w:w="7080" w:type="dxa"/>
            <w:vAlign w:val="bottom"/>
            <w:gridSpan w:val="2"/>
          </w:tcPr>
          <w:p>
            <w:pPr>
              <w:spacing w:after="0"/>
              <w:rPr>
                <w:sz w:val="20"/>
                <w:szCs w:val="20"/>
                <w:color w:val="auto"/>
              </w:rPr>
            </w:pPr>
            <w:r>
              <w:rPr>
                <w:rFonts w:ascii="Arial" w:cs="Arial" w:eastAsia="Arial" w:hAnsi="Arial"/>
                <w:sz w:val="16"/>
                <w:szCs w:val="16"/>
                <w:color w:val="auto"/>
              </w:rPr>
              <w:t>Expected life of options (in years)</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74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5</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r>
      <w:tr>
        <w:trPr>
          <w:trHeight w:val="535"/>
        </w:trPr>
        <w:tc>
          <w:tcPr>
            <w:tcW w:w="1500" w:type="dxa"/>
            <w:vAlign w:val="bottom"/>
          </w:tcPr>
          <w:p>
            <w:pPr>
              <w:spacing w:after="0"/>
              <w:rPr>
                <w:sz w:val="24"/>
                <w:szCs w:val="24"/>
                <w:color w:val="auto"/>
              </w:rPr>
            </w:pPr>
          </w:p>
        </w:tc>
        <w:tc>
          <w:tcPr>
            <w:tcW w:w="7080" w:type="dxa"/>
            <w:vAlign w:val="bottom"/>
            <w:gridSpan w:val="2"/>
          </w:tcPr>
          <w:p>
            <w:pPr>
              <w:ind w:left="4020"/>
              <w:spacing w:after="0"/>
              <w:rPr>
                <w:sz w:val="20"/>
                <w:szCs w:val="20"/>
                <w:color w:val="auto"/>
              </w:rPr>
            </w:pPr>
            <w:r>
              <w:rPr>
                <w:rFonts w:ascii="Arial" w:cs="Arial" w:eastAsia="Arial" w:hAnsi="Arial"/>
                <w:sz w:val="16"/>
                <w:szCs w:val="16"/>
                <w:color w:val="auto"/>
              </w:rPr>
              <w:t>F - 29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
        </w:trPr>
        <w:tc>
          <w:tcPr>
            <w:tcW w:w="1500" w:type="dxa"/>
            <w:vAlign w:val="bottom"/>
            <w:tcBorders>
              <w:bottom w:val="single" w:sz="8" w:color="auto"/>
            </w:tcBorders>
          </w:tcPr>
          <w:p>
            <w:pPr>
              <w:spacing w:after="0"/>
              <w:rPr>
                <w:sz w:val="4"/>
                <w:szCs w:val="4"/>
                <w:color w:val="auto"/>
              </w:rPr>
            </w:pPr>
          </w:p>
        </w:tc>
        <w:tc>
          <w:tcPr>
            <w:tcW w:w="6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EQUITY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payments </w:t>
      </w:r>
      <w:r>
        <w:rPr>
          <w:rFonts w:ascii="Arial" w:cs="Arial" w:eastAsia="Arial" w:hAnsi="Arial"/>
          <w:sz w:val="16"/>
          <w:szCs w:val="16"/>
          <w:color w:val="auto"/>
        </w:rPr>
        <w:t>(cont.)</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Stock options to consultants</w:t>
      </w:r>
    </w:p>
    <w:p>
      <w:pPr>
        <w:spacing w:after="0" w:line="254" w:lineRule="exact"/>
        <w:rPr>
          <w:rFonts w:ascii="Arial" w:cs="Arial" w:eastAsia="Arial" w:hAnsi="Arial"/>
          <w:sz w:val="16"/>
          <w:szCs w:val="16"/>
          <w:color w:val="auto"/>
        </w:rPr>
      </w:pPr>
    </w:p>
    <w:p>
      <w:pPr>
        <w:ind w:left="1500"/>
        <w:spacing w:after="0" w:line="283" w:lineRule="auto"/>
        <w:rPr>
          <w:rFonts w:ascii="Arial" w:cs="Arial" w:eastAsia="Arial" w:hAnsi="Arial"/>
          <w:sz w:val="16"/>
          <w:szCs w:val="16"/>
          <w:color w:val="auto"/>
        </w:rPr>
      </w:pPr>
      <w:r>
        <w:rPr>
          <w:rFonts w:ascii="Arial" w:cs="Arial" w:eastAsia="Arial" w:hAnsi="Arial"/>
          <w:sz w:val="16"/>
          <w:szCs w:val="16"/>
          <w:color w:val="auto"/>
        </w:rPr>
        <w:t>From inception through December 31, 2014, the Company issued to consultants options for the purchase of 76,523 ordinary shares at a weighted average exercise price of NIS 21.54 per share.</w:t>
      </w:r>
    </w:p>
    <w:p>
      <w:pPr>
        <w:spacing w:after="0" w:line="199"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4"/>
          <w:szCs w:val="14"/>
          <w:color w:val="auto"/>
        </w:rPr>
        <w:t>In 2015 the Company issued options to consultants for the purchase of 5,000 ordinary shares at a weighted average exercise price of NIS 7.62 per share.</w:t>
      </w:r>
    </w:p>
    <w:p>
      <w:pPr>
        <w:spacing w:after="0" w:line="277" w:lineRule="exact"/>
        <w:rPr>
          <w:rFonts w:ascii="Arial" w:cs="Arial" w:eastAsia="Arial" w:hAnsi="Arial"/>
          <w:sz w:val="16"/>
          <w:szCs w:val="16"/>
          <w:color w:val="auto"/>
        </w:rPr>
      </w:pPr>
    </w:p>
    <w:p>
      <w:pPr>
        <w:ind w:left="1500" w:right="20"/>
        <w:spacing w:after="0" w:line="283" w:lineRule="auto"/>
        <w:rPr>
          <w:rFonts w:ascii="Arial" w:cs="Arial" w:eastAsia="Arial" w:hAnsi="Arial"/>
          <w:sz w:val="16"/>
          <w:szCs w:val="16"/>
          <w:color w:val="auto"/>
        </w:rPr>
      </w:pPr>
      <w:r>
        <w:rPr>
          <w:rFonts w:ascii="Arial" w:cs="Arial" w:eastAsia="Arial" w:hAnsi="Arial"/>
          <w:sz w:val="16"/>
          <w:szCs w:val="16"/>
          <w:color w:val="auto"/>
        </w:rPr>
        <w:t>In 2016, the company issued additional options to consultants for the purchase of 150.000 ordinary shares at a weighted average price of NIS 4.55 per share</w:t>
      </w:r>
    </w:p>
    <w:p>
      <w:pPr>
        <w:spacing w:after="0" w:line="199" w:lineRule="exact"/>
        <w:rPr>
          <w:rFonts w:ascii="Arial" w:cs="Arial" w:eastAsia="Arial" w:hAnsi="Arial"/>
          <w:sz w:val="16"/>
          <w:szCs w:val="16"/>
          <w:color w:val="auto"/>
        </w:rPr>
      </w:pPr>
    </w:p>
    <w:p>
      <w:pPr>
        <w:jc w:val="both"/>
        <w:ind w:left="1500" w:right="20"/>
        <w:spacing w:after="0" w:line="268" w:lineRule="auto"/>
        <w:rPr>
          <w:rFonts w:ascii="Arial" w:cs="Arial" w:eastAsia="Arial" w:hAnsi="Arial"/>
          <w:sz w:val="16"/>
          <w:szCs w:val="16"/>
          <w:color w:val="auto"/>
        </w:rPr>
      </w:pPr>
      <w:r>
        <w:rPr>
          <w:rFonts w:ascii="Arial" w:cs="Arial" w:eastAsia="Arial" w:hAnsi="Arial"/>
          <w:sz w:val="16"/>
          <w:szCs w:val="16"/>
          <w:color w:val="auto"/>
        </w:rPr>
        <w:t>The options to consultants generally vest over four years and may be exercised for periods of between five and ten years. As of December 31, 2016, 187,997 options to consultants were outstanding with a weighted average exercise price of NIS 9.58 per share and a weighted average contractual life of 7.57 years.</w:t>
      </w:r>
    </w:p>
    <w:p>
      <w:pPr>
        <w:spacing w:after="0" w:line="211" w:lineRule="exact"/>
        <w:rPr>
          <w:rFonts w:ascii="Arial" w:cs="Arial" w:eastAsia="Arial" w:hAnsi="Arial"/>
          <w:sz w:val="16"/>
          <w:szCs w:val="16"/>
          <w:color w:val="auto"/>
        </w:rPr>
      </w:pPr>
    </w:p>
    <w:p>
      <w:pPr>
        <w:jc w:val="both"/>
        <w:ind w:left="1500" w:right="20"/>
        <w:spacing w:after="0" w:line="263" w:lineRule="auto"/>
        <w:rPr>
          <w:rFonts w:ascii="Arial" w:cs="Arial" w:eastAsia="Arial" w:hAnsi="Arial"/>
          <w:sz w:val="16"/>
          <w:szCs w:val="16"/>
          <w:color w:val="auto"/>
        </w:rPr>
      </w:pPr>
      <w:r>
        <w:rPr>
          <w:rFonts w:ascii="Arial" w:cs="Arial" w:eastAsia="Arial" w:hAnsi="Arial"/>
          <w:sz w:val="16"/>
          <w:szCs w:val="16"/>
          <w:color w:val="auto"/>
        </w:rPr>
        <w:t>Company management estimates the fair value of the options granted to consultants based on the value of services received over the vesting period of the applicable options. The value of such services (primarily in respect of clinical advisory services) is estimated based on the additional cash compensation the Company would need to pay if such options were not granted. The value of services recorded in 2014, 2015 and 2016 amounted to $40,000 each year.</w:t>
      </w:r>
    </w:p>
    <w:p>
      <w:pPr>
        <w:spacing w:after="0" w:line="167" w:lineRule="exact"/>
        <w:rPr>
          <w:rFonts w:ascii="Arial" w:cs="Arial" w:eastAsia="Arial" w:hAnsi="Arial"/>
          <w:sz w:val="16"/>
          <w:szCs w:val="16"/>
          <w:color w:val="auto"/>
        </w:rPr>
      </w:pPr>
    </w:p>
    <w:p>
      <w:pPr>
        <w:ind w:left="1480" w:hanging="338"/>
        <w:spacing w:after="0"/>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Grant of equity instruments subsequent to balance sheet date</w:t>
      </w:r>
    </w:p>
    <w:p>
      <w:pPr>
        <w:spacing w:after="0" w:line="206" w:lineRule="exact"/>
        <w:rPr>
          <w:sz w:val="20"/>
          <w:szCs w:val="20"/>
          <w:color w:val="auto"/>
        </w:rPr>
      </w:pPr>
    </w:p>
    <w:p>
      <w:pPr>
        <w:ind w:left="1500" w:right="20"/>
        <w:spacing w:after="0" w:line="283" w:lineRule="auto"/>
        <w:rPr>
          <w:sz w:val="20"/>
          <w:szCs w:val="20"/>
          <w:color w:val="auto"/>
        </w:rPr>
      </w:pPr>
      <w:r>
        <w:rPr>
          <w:rFonts w:ascii="Arial" w:cs="Arial" w:eastAsia="Arial" w:hAnsi="Arial"/>
          <w:sz w:val="16"/>
          <w:szCs w:val="16"/>
          <w:color w:val="auto"/>
        </w:rPr>
        <w:t>In February 2017, the Board of Directors approved a Company-wide grant to employees of approximately 2.5 million equity instruments, including stock options, RSUs and PSUs, with standard terms regarding vesting and contractual life.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NOTE 11 – TAXES ON INCOME</w:t>
      </w:r>
    </w:p>
    <w:p>
      <w:pPr>
        <w:spacing w:after="0" w:line="202" w:lineRule="exact"/>
        <w:rPr>
          <w:sz w:val="20"/>
          <w:szCs w:val="20"/>
          <w:color w:val="auto"/>
        </w:rPr>
      </w:pPr>
    </w:p>
    <w:p>
      <w:pPr>
        <w:ind w:left="1140" w:hanging="339"/>
        <w:spacing w:after="0"/>
        <w:tabs>
          <w:tab w:leader="none" w:pos="114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taxation in Israel</w:t>
      </w:r>
    </w:p>
    <w:p>
      <w:pPr>
        <w:spacing w:after="0" w:line="209" w:lineRule="exact"/>
        <w:rPr>
          <w:rFonts w:ascii="Arial" w:cs="Arial" w:eastAsia="Arial" w:hAnsi="Arial"/>
          <w:sz w:val="16"/>
          <w:szCs w:val="16"/>
          <w:b w:val="1"/>
          <w:bCs w:val="1"/>
          <w:color w:val="auto"/>
        </w:rPr>
      </w:pPr>
    </w:p>
    <w:p>
      <w:pPr>
        <w:ind w:left="1140"/>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 income of BioLineRx is taxed at the standard Israeli corporate tax rate, which was 26.5% in 2014 and 2015, and 25% in 2016. In December 2016, legislation was enacted to further reduce the Israeli corporate tax rate to 24% for 2017 and to 23% for 2018 and thereafter.</w:t>
      </w:r>
    </w:p>
    <w:p>
      <w:pPr>
        <w:spacing w:after="0" w:line="150"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5"/>
          <w:szCs w:val="15"/>
          <w:color w:val="auto"/>
        </w:rPr>
        <w:t>As the Company has not created any deferred tax assets or liabilities (see Note 2m), these changes have no effect on the Company’s financial statements.</w:t>
      </w:r>
    </w:p>
    <w:p>
      <w:pPr>
        <w:spacing w:after="0" w:line="213" w:lineRule="exact"/>
        <w:rPr>
          <w:rFonts w:ascii="Arial" w:cs="Arial" w:eastAsia="Arial" w:hAnsi="Arial"/>
          <w:sz w:val="16"/>
          <w:szCs w:val="16"/>
          <w:b w:val="1"/>
          <w:bCs w:val="1"/>
          <w:color w:val="auto"/>
        </w:rPr>
      </w:pPr>
    </w:p>
    <w:p>
      <w:pPr>
        <w:ind w:left="1140" w:hanging="339"/>
        <w:spacing w:after="0"/>
        <w:tabs>
          <w:tab w:leader="none" w:pos="114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Approved enterprise benefits</w:t>
      </w:r>
    </w:p>
    <w:p>
      <w:pPr>
        <w:spacing w:after="0" w:line="258" w:lineRule="exact"/>
        <w:rPr>
          <w:rFonts w:ascii="Arial" w:cs="Arial" w:eastAsia="Arial" w:hAnsi="Arial"/>
          <w:sz w:val="16"/>
          <w:szCs w:val="16"/>
          <w:b w:val="1"/>
          <w:bCs w:val="1"/>
          <w:color w:val="auto"/>
        </w:rPr>
      </w:pPr>
    </w:p>
    <w:p>
      <w:pPr>
        <w:jc w:val="both"/>
        <w:ind w:left="114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In May 2012, the Israeli Tax Authority (“ITA”) approved BioLineRx’s eligibility for tax benefits as a “Benefited Enterprise” under the Law for the Encouragement of Capital Investments, 5719-1959, as amended (the “Investments Law”), with respect to certain development programs (the “Eligible Projects”).</w:t>
      </w:r>
    </w:p>
    <w:p>
      <w:pPr>
        <w:spacing w:after="0" w:line="211" w:lineRule="exact"/>
        <w:rPr>
          <w:rFonts w:ascii="Arial" w:cs="Arial" w:eastAsia="Arial" w:hAnsi="Arial"/>
          <w:sz w:val="16"/>
          <w:szCs w:val="16"/>
          <w:b w:val="1"/>
          <w:bCs w:val="1"/>
          <w:color w:val="auto"/>
        </w:rPr>
      </w:pPr>
    </w:p>
    <w:p>
      <w:pPr>
        <w:jc w:val="both"/>
        <w:ind w:left="1140"/>
        <w:spacing w:after="0" w:line="277" w:lineRule="auto"/>
        <w:rPr>
          <w:rFonts w:ascii="Arial" w:cs="Arial" w:eastAsia="Arial" w:hAnsi="Arial"/>
          <w:sz w:val="16"/>
          <w:szCs w:val="16"/>
          <w:b w:val="1"/>
          <w:bCs w:val="1"/>
          <w:color w:val="auto"/>
        </w:rPr>
      </w:pPr>
      <w:r>
        <w:rPr>
          <w:rFonts w:ascii="Arial" w:cs="Arial" w:eastAsia="Arial" w:hAnsi="Arial"/>
          <w:sz w:val="15"/>
          <w:szCs w:val="15"/>
          <w:color w:val="auto"/>
        </w:rPr>
        <w:t>Subject to compliance with the applicable requirements, the portion of income eligible for benefits under the Benefited Enterprise regime will be entitled to a tax exemption for a period of two years, followed by five years at the Benefited Enterprise tax rate of 25%, commencing in the first year in which BioLineRx generates taxable income after setting off losses for Israeli tax purposes from prior years (see c. below). The seven-year period may not extend beyond 12 years from the beginning of the Benefited Enterprise’s election year. BioLineRx received Benefited Enterprise status with respect to Eligible Projects in the 2009 and 2012 tax years, so depending on when the Benefited Enterprise programs begin to generate taxable income, the benefits period could continue through 2023. However, any distribution of dividends derived from exempt income sourced in the Benefited Enterprise programs will be subject to a “claw back” of corporate tax at a rate no greater than 25%. In addition, dividends distributed by a publicly traded Israeli company to non-Israeli residents or Israeli individuals are generally subject to withholding tax of 25%. Under an applicable tax treaty, the withholding tax might be lower.</w:t>
      </w:r>
    </w:p>
    <w:p>
      <w:pPr>
        <w:spacing w:after="0" w:line="209" w:lineRule="exact"/>
        <w:rPr>
          <w:rFonts w:ascii="Arial" w:cs="Arial" w:eastAsia="Arial" w:hAnsi="Arial"/>
          <w:sz w:val="16"/>
          <w:szCs w:val="16"/>
          <w:b w:val="1"/>
          <w:bCs w:val="1"/>
          <w:color w:val="auto"/>
        </w:rPr>
      </w:pPr>
    </w:p>
    <w:p>
      <w:pPr>
        <w:jc w:val="both"/>
        <w:ind w:left="1140"/>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BioLineRx has the option to transition to a “Preferred Enterprise” regime under the Investments Law. Upon an irrevocable election made by a company, a uniform corporate tax rate will apply to all qualifying industrial income of such company, as opposed to the previous incentives under the Investments Law, which were limited to income from Benefited Enterprises during the benefits period. Under the Investments Law, when the election is made, the uniform tax rate for 2016 would be 16% for BioLineRx’s location in Israel. Preferred Enterprise profits are freely distributable as dividends, subject to a 20% withholding tax, or lower under an applicable tax treaty.</w:t>
      </w:r>
    </w:p>
    <w:p>
      <w:pPr>
        <w:spacing w:after="0" w:line="217" w:lineRule="exact"/>
        <w:rPr>
          <w:rFonts w:ascii="Arial" w:cs="Arial" w:eastAsia="Arial" w:hAnsi="Arial"/>
          <w:sz w:val="16"/>
          <w:szCs w:val="16"/>
          <w:b w:val="1"/>
          <w:bCs w:val="1"/>
          <w:color w:val="auto"/>
        </w:rPr>
      </w:pPr>
    </w:p>
    <w:p>
      <w:pPr>
        <w:jc w:val="both"/>
        <w:ind w:left="1140"/>
        <w:spacing w:after="0" w:line="263" w:lineRule="auto"/>
        <w:rPr>
          <w:rFonts w:ascii="Arial" w:cs="Arial" w:eastAsia="Arial" w:hAnsi="Arial"/>
          <w:sz w:val="16"/>
          <w:szCs w:val="16"/>
          <w:b w:val="1"/>
          <w:bCs w:val="1"/>
          <w:color w:val="auto"/>
        </w:rPr>
      </w:pPr>
      <w:r>
        <w:rPr>
          <w:rFonts w:ascii="Arial" w:cs="Arial" w:eastAsia="Arial" w:hAnsi="Arial"/>
          <w:sz w:val="16"/>
          <w:szCs w:val="16"/>
          <w:color w:val="auto"/>
        </w:rPr>
        <w:t>In addition, the ITA approved BioLineRx’s operations as an “Industrial Enterprise” under the Investments Law in 2012, meaning that BioLineRx is eligible for accelerated depreciation with respect to certain tangible assets belonging to its Benefited Enterprise. Should BioLineRx not meet the requirements for maintaining these benefits, they may be reduced or cancelled and, among other things, income deriving from the Eligible Projects would be subject to Israeli corporate tax at the standard rates.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11 – TAXES ON INCOME </w:t>
      </w:r>
      <w:r>
        <w:rPr>
          <w:rFonts w:ascii="Arial" w:cs="Arial" w:eastAsia="Arial" w:hAnsi="Arial"/>
          <w:sz w:val="16"/>
          <w:szCs w:val="16"/>
          <w:color w:val="auto"/>
        </w:rPr>
        <w:t>(cont.)</w:t>
      </w:r>
    </w:p>
    <w:p>
      <w:pPr>
        <w:spacing w:after="0" w:line="206" w:lineRule="exact"/>
        <w:rPr>
          <w:sz w:val="20"/>
          <w:szCs w:val="20"/>
          <w:color w:val="auto"/>
        </w:rPr>
      </w:pPr>
    </w:p>
    <w:p>
      <w:pPr>
        <w:ind w:left="1180" w:hanging="379"/>
        <w:spacing w:after="0"/>
        <w:tabs>
          <w:tab w:leader="none" w:pos="118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Tax loss carryforwards</w:t>
      </w:r>
    </w:p>
    <w:p>
      <w:pPr>
        <w:spacing w:after="0" w:line="258" w:lineRule="exact"/>
        <w:rPr>
          <w:sz w:val="20"/>
          <w:szCs w:val="20"/>
          <w:color w:val="auto"/>
        </w:rPr>
      </w:pPr>
    </w:p>
    <w:p>
      <w:pPr>
        <w:ind w:left="1140" w:right="20"/>
        <w:spacing w:after="0" w:line="283" w:lineRule="auto"/>
        <w:rPr>
          <w:sz w:val="20"/>
          <w:szCs w:val="20"/>
          <w:color w:val="auto"/>
        </w:rPr>
      </w:pPr>
      <w:r>
        <w:rPr>
          <w:rFonts w:ascii="Arial" w:cs="Arial" w:eastAsia="Arial" w:hAnsi="Arial"/>
          <w:sz w:val="16"/>
          <w:szCs w:val="16"/>
          <w:color w:val="auto"/>
        </w:rPr>
        <w:t>As of December 31, 2014, 2015 and 2016, the tax loss carryforwards of BioLineRx were approximately $135 million, $150 million and $170 million, respectively. The tax loss carryforwards have no expiration date.</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Company has not created deferred tax assets in respect of these tax loss carryforwards. See Note 2m.</w:t>
      </w:r>
    </w:p>
    <w:p>
      <w:pPr>
        <w:spacing w:after="0" w:line="202" w:lineRule="exact"/>
        <w:rPr>
          <w:sz w:val="20"/>
          <w:szCs w:val="20"/>
          <w:color w:val="auto"/>
        </w:rPr>
      </w:pPr>
    </w:p>
    <w:p>
      <w:pPr>
        <w:ind w:left="1140" w:hanging="339"/>
        <w:spacing w:after="0"/>
        <w:tabs>
          <w:tab w:leader="none" w:pos="114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Tax assessments</w:t>
      </w:r>
    </w:p>
    <w:p>
      <w:pPr>
        <w:spacing w:after="0" w:line="209"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In accordance with Israeli tax regulations, the tax returns filed by BioLineRx through the 2012 tax year are considered final.</w:t>
      </w:r>
    </w:p>
    <w:p>
      <w:pPr>
        <w:spacing w:after="0" w:line="201" w:lineRule="exact"/>
        <w:rPr>
          <w:rFonts w:ascii="Arial" w:cs="Arial" w:eastAsia="Arial" w:hAnsi="Arial"/>
          <w:sz w:val="16"/>
          <w:szCs w:val="16"/>
          <w:b w:val="1"/>
          <w:bCs w:val="1"/>
          <w:color w:val="auto"/>
        </w:rPr>
      </w:pPr>
    </w:p>
    <w:p>
      <w:pPr>
        <w:ind w:left="1140" w:hanging="339"/>
        <w:spacing w:after="0"/>
        <w:tabs>
          <w:tab w:leader="none" w:pos="114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Theoretical taxes</w:t>
      </w:r>
    </w:p>
    <w:p>
      <w:pPr>
        <w:spacing w:after="0" w:line="258" w:lineRule="exact"/>
        <w:rPr>
          <w:rFonts w:ascii="Arial" w:cs="Arial" w:eastAsia="Arial" w:hAnsi="Arial"/>
          <w:sz w:val="16"/>
          <w:szCs w:val="16"/>
          <w:b w:val="1"/>
          <w:bCs w:val="1"/>
          <w:color w:val="auto"/>
        </w:rPr>
      </w:pPr>
    </w:p>
    <w:p>
      <w:pPr>
        <w:jc w:val="both"/>
        <w:ind w:left="1140" w:right="20"/>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As described in Note 2m, the Company has not recognized any deferred tax assets in the financial statements, as it does not expect to generate taxable income in the foreseeable future. The tax on the Company’s income before taxes differs from the theoretical amount that would arise using the weighted average tax rate applicable to income of the consolidated entities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1179"/>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Pr>
          <w:p>
            <w:pPr>
              <w:spacing w:after="0"/>
              <w:rPr>
                <w:sz w:val="17"/>
                <w:szCs w:val="17"/>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9"/>
              <w:spacing w:after="0" w:line="178" w:lineRule="exact"/>
              <w:rPr>
                <w:sz w:val="20"/>
                <w:szCs w:val="20"/>
                <w:color w:val="auto"/>
              </w:rPr>
            </w:pPr>
            <w:r>
              <w:rPr>
                <w:rFonts w:ascii="Arial" w:cs="Arial" w:eastAsia="Arial" w:hAnsi="Arial"/>
                <w:sz w:val="16"/>
                <w:szCs w:val="16"/>
                <w:b w:val="1"/>
                <w:bCs w:val="1"/>
                <w:color w:val="auto"/>
                <w:w w:val="99"/>
              </w:rPr>
              <w:t>USD in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419"/>
              <w:spacing w:after="0" w:line="178" w:lineRule="exact"/>
              <w:rPr>
                <w:sz w:val="20"/>
                <w:szCs w:val="20"/>
                <w:color w:val="auto"/>
              </w:rPr>
            </w:pPr>
            <w:r>
              <w:rPr>
                <w:rFonts w:ascii="Arial" w:cs="Arial" w:eastAsia="Arial" w:hAnsi="Arial"/>
                <w:sz w:val="16"/>
                <w:szCs w:val="16"/>
                <w:b w:val="1"/>
                <w:bCs w:val="1"/>
                <w:color w:val="auto"/>
              </w:rPr>
              <w:t>USD in</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39"/>
              <w:spacing w:after="0" w:line="178" w:lineRule="exact"/>
              <w:rPr>
                <w:sz w:val="20"/>
                <w:szCs w:val="20"/>
                <w:color w:val="auto"/>
              </w:rPr>
            </w:pPr>
            <w:r>
              <w:rPr>
                <w:rFonts w:ascii="Arial" w:cs="Arial" w:eastAsia="Arial" w:hAnsi="Arial"/>
                <w:sz w:val="16"/>
                <w:szCs w:val="16"/>
                <w:b w:val="1"/>
                <w:bCs w:val="1"/>
                <w:color w:val="auto"/>
              </w:rPr>
              <w:t>USD in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88"/>
              </w:rPr>
              <w:t>thousands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thousands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3"/>
              </w:rPr>
              <w:t>thousands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Loss before taxes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26.5%</w:t>
            </w: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(11,076)</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310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Theoretical tax benefit</w:t>
            </w: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(2,935)</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(3,816)</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Arial" w:cs="Arial" w:eastAsia="Arial" w:hAnsi="Arial"/>
                <w:sz w:val="16"/>
                <w:szCs w:val="16"/>
                <w:color w:val="auto"/>
                <w:w w:val="98"/>
              </w:rPr>
              <w:t>Disallowed deductions (tax exempt income):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00" w:type="dxa"/>
            <w:vAlign w:val="bottom"/>
            <w:shd w:val="clear" w:color="auto" w:fill="CCEEFF"/>
          </w:tcPr>
          <w:p>
            <w:pPr>
              <w:ind w:left="160"/>
              <w:spacing w:after="0" w:line="182" w:lineRule="exact"/>
              <w:rPr>
                <w:sz w:val="20"/>
                <w:szCs w:val="20"/>
                <w:color w:val="auto"/>
              </w:rPr>
            </w:pPr>
            <w:r>
              <w:rPr>
                <w:rFonts w:ascii="Arial" w:cs="Arial" w:eastAsia="Arial" w:hAnsi="Arial"/>
                <w:sz w:val="16"/>
                <w:szCs w:val="16"/>
                <w:color w:val="auto"/>
              </w:rPr>
              <w:t>Gain on adjustment of warrants to fair</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(915)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(342)</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Share-based compensation</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280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305</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00" w:type="dxa"/>
            <w:vAlign w:val="bottom"/>
          </w:tcPr>
          <w:p>
            <w:pPr>
              <w:spacing w:after="0" w:line="182" w:lineRule="exact"/>
              <w:rPr>
                <w:sz w:val="20"/>
                <w:szCs w:val="20"/>
                <w:color w:val="auto"/>
              </w:rPr>
            </w:pPr>
            <w:r>
              <w:rPr>
                <w:rFonts w:ascii="Arial" w:cs="Arial" w:eastAsia="Arial" w:hAnsi="Arial"/>
                <w:sz w:val="16"/>
                <w:szCs w:val="16"/>
                <w:color w:val="auto"/>
              </w:rPr>
              <w:t>Increase in taxes for tax losses and timing</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differences incurred in the reporting year</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w w:val="99"/>
              </w:rPr>
              <w:t>for which deferred taxes were not created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3,555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jc w:val="right"/>
              <w:ind w:right="220"/>
              <w:spacing w:after="0"/>
              <w:rPr>
                <w:sz w:val="20"/>
                <w:szCs w:val="20"/>
                <w:color w:val="auto"/>
              </w:rPr>
            </w:pPr>
            <w:r>
              <w:rPr>
                <w:rFonts w:ascii="Arial" w:cs="Arial" w:eastAsia="Arial" w:hAnsi="Arial"/>
                <w:sz w:val="16"/>
                <w:szCs w:val="16"/>
                <w:color w:val="auto"/>
              </w:rPr>
              <w:t>3,839</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Taxes on income for the reported year</w:t>
            </w: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7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920"/>
              <w:spacing w:after="0"/>
              <w:rPr>
                <w:sz w:val="20"/>
                <w:szCs w:val="20"/>
                <w:color w:val="auto"/>
              </w:rPr>
            </w:pPr>
            <w:r>
              <w:rPr>
                <w:rFonts w:ascii="Arial" w:cs="Arial" w:eastAsia="Arial" w:hAnsi="Arial"/>
                <w:sz w:val="16"/>
                <w:szCs w:val="16"/>
                <w:color w:val="auto"/>
              </w:rPr>
              <w:t>F - 32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7" w:right="2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gridSpan w:val="2"/>
          </w:tcPr>
          <w:p>
            <w:pPr>
              <w:spacing w:after="0"/>
              <w:rPr>
                <w:sz w:val="20"/>
                <w:szCs w:val="20"/>
                <w:color w:val="auto"/>
              </w:rPr>
            </w:pPr>
            <w:r>
              <w:rPr>
                <w:rFonts w:ascii="Arial" w:cs="Arial" w:eastAsia="Arial" w:hAnsi="Arial"/>
                <w:sz w:val="16"/>
                <w:szCs w:val="16"/>
                <w:color w:val="auto"/>
              </w:rPr>
              <w:t>NOTE 12 – LOSS PER SHARE</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0"/>
        </w:trPr>
        <w:tc>
          <w:tcPr>
            <w:tcW w:w="7100" w:type="dxa"/>
            <w:vAlign w:val="bottom"/>
            <w:gridSpan w:val="2"/>
          </w:tcPr>
          <w:p>
            <w:pPr>
              <w:ind w:left="800"/>
              <w:spacing w:after="0"/>
              <w:rPr>
                <w:sz w:val="20"/>
                <w:szCs w:val="20"/>
                <w:color w:val="auto"/>
              </w:rPr>
            </w:pPr>
            <w:r>
              <w:rPr>
                <w:rFonts w:ascii="Arial" w:cs="Arial" w:eastAsia="Arial" w:hAnsi="Arial"/>
                <w:sz w:val="16"/>
                <w:szCs w:val="16"/>
                <w:color w:val="auto"/>
                <w:w w:val="99"/>
              </w:rPr>
              <w:t>The following table contains the data used in the computation of the basic loss per share:</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60" w:type="dxa"/>
            <w:vAlign w:val="bottom"/>
            <w:tcBorders>
              <w:bottom w:val="single" w:sz="8" w:color="auto"/>
            </w:tcBorders>
            <w:gridSpan w:val="5"/>
          </w:tcPr>
          <w:p>
            <w:pPr>
              <w:jc w:val="center"/>
              <w:ind w:left="559"/>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In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5"/>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11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Loss attributed to ordinary shares</w:t>
            </w: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(11,076)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(14,400)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(15,841)</w:t>
            </w:r>
          </w:p>
        </w:tc>
        <w:tc>
          <w:tcPr>
            <w:tcW w:w="8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84"/>
        </w:trPr>
        <w:tc>
          <w:tcPr>
            <w:tcW w:w="114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Number of shares used in basic calculation (in thousands)</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32,434</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51,406</w:t>
            </w:r>
          </w:p>
        </w:tc>
        <w:tc>
          <w:tcPr>
            <w:tcW w:w="2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56,145</w:t>
            </w:r>
          </w:p>
        </w:tc>
      </w:tr>
      <w:tr>
        <w:trPr>
          <w:trHeight w:val="20"/>
        </w:trPr>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3"/>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6"/>
                <w:szCs w:val="16"/>
                <w:b w:val="1"/>
                <w:bCs w:val="1"/>
                <w:color w:val="auto"/>
                <w:w w:val="95"/>
              </w:rPr>
              <w:t>in USD</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loss per ordinary share</w:t>
            </w: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(0.34)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(0.28)</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NOTE 13 – COMMITMENTS AND CONTINGENT LIABILITIES</w:t>
      </w:r>
    </w:p>
    <w:p>
      <w:pPr>
        <w:spacing w:after="0" w:line="202" w:lineRule="exact"/>
        <w:rPr>
          <w:sz w:val="20"/>
          <w:szCs w:val="20"/>
          <w:color w:val="auto"/>
        </w:rPr>
      </w:pPr>
    </w:p>
    <w:p>
      <w:pPr>
        <w:ind w:left="1140" w:hanging="339"/>
        <w:spacing w:after="0"/>
        <w:tabs>
          <w:tab w:leader="none" w:pos="114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Obligation to pay royalties to the State of Israel</w:t>
      </w:r>
    </w:p>
    <w:p>
      <w:pPr>
        <w:spacing w:after="0" w:line="205" w:lineRule="exact"/>
        <w:rPr>
          <w:rFonts w:ascii="Arial" w:cs="Arial" w:eastAsia="Arial" w:hAnsi="Arial"/>
          <w:sz w:val="16"/>
          <w:szCs w:val="16"/>
          <w:color w:val="auto"/>
        </w:rPr>
      </w:pPr>
    </w:p>
    <w:p>
      <w:pPr>
        <w:jc w:val="both"/>
        <w:ind w:left="1500"/>
        <w:spacing w:after="0" w:line="268" w:lineRule="auto"/>
        <w:rPr>
          <w:rFonts w:ascii="Arial" w:cs="Arial" w:eastAsia="Arial" w:hAnsi="Arial"/>
          <w:sz w:val="16"/>
          <w:szCs w:val="16"/>
          <w:color w:val="auto"/>
        </w:rPr>
      </w:pPr>
      <w:r>
        <w:rPr>
          <w:rFonts w:ascii="Arial" w:cs="Arial" w:eastAsia="Arial" w:hAnsi="Arial"/>
          <w:sz w:val="16"/>
          <w:szCs w:val="16"/>
          <w:color w:val="auto"/>
        </w:rPr>
        <w:t>The Company is required to pay royalties to the State of Israel (represented by the OCS), computed on the basis of proceeds from the sale or license of products whose development was supported by OCS grants. This obligation relates solely to the financial participation in the development of products by the Company.</w:t>
      </w:r>
    </w:p>
    <w:p>
      <w:pPr>
        <w:spacing w:after="0" w:line="162" w:lineRule="exact"/>
        <w:rPr>
          <w:rFonts w:ascii="Arial" w:cs="Arial" w:eastAsia="Arial" w:hAnsi="Arial"/>
          <w:sz w:val="16"/>
          <w:szCs w:val="16"/>
          <w:color w:val="auto"/>
        </w:rPr>
      </w:pPr>
    </w:p>
    <w:p>
      <w:pPr>
        <w:jc w:val="both"/>
        <w:ind w:left="1500"/>
        <w:spacing w:after="0" w:line="261" w:lineRule="auto"/>
        <w:rPr>
          <w:rFonts w:ascii="Arial" w:cs="Arial" w:eastAsia="Arial" w:hAnsi="Arial"/>
          <w:sz w:val="16"/>
          <w:szCs w:val="16"/>
          <w:color w:val="auto"/>
        </w:rPr>
      </w:pPr>
      <w:r>
        <w:rPr>
          <w:rFonts w:ascii="Arial" w:cs="Arial" w:eastAsia="Arial" w:hAnsi="Arial"/>
          <w:sz w:val="16"/>
          <w:szCs w:val="16"/>
          <w:color w:val="auto"/>
        </w:rPr>
        <w:t>In accordance with the terms of grants provided by the OCS, the State is entitled to royalties on the sale or license of any product whose development was supported with State participation. These royalties are generally 3% in the first three years from initial repayment, 4% of sales in the three subsequent years and 5% of sales in the seventh year until repayment of 100% of the grants (linked to the dollar) received by the Company, plus annual interest at the LIBOR rate. Under certain circumstances, the royalty rate is calculated according to a formula based on the ratio of participation by the OCS in the project to the total project costs incurred by the Company</w:t>
      </w:r>
    </w:p>
    <w:p>
      <w:pPr>
        <w:spacing w:after="0" w:line="168" w:lineRule="exact"/>
        <w:rPr>
          <w:rFonts w:ascii="Arial" w:cs="Arial" w:eastAsia="Arial" w:hAnsi="Arial"/>
          <w:sz w:val="16"/>
          <w:szCs w:val="16"/>
          <w:color w:val="auto"/>
        </w:rPr>
      </w:pPr>
    </w:p>
    <w:p>
      <w:pPr>
        <w:jc w:val="both"/>
        <w:ind w:left="1500"/>
        <w:spacing w:after="0" w:line="261" w:lineRule="auto"/>
        <w:rPr>
          <w:rFonts w:ascii="Arial" w:cs="Arial" w:eastAsia="Arial" w:hAnsi="Arial"/>
          <w:sz w:val="16"/>
          <w:szCs w:val="16"/>
          <w:color w:val="auto"/>
        </w:rPr>
      </w:pPr>
      <w:r>
        <w:rPr>
          <w:rFonts w:ascii="Arial" w:cs="Arial" w:eastAsia="Arial" w:hAnsi="Arial"/>
          <w:sz w:val="16"/>
          <w:szCs w:val="16"/>
          <w:color w:val="auto"/>
        </w:rPr>
        <w:t>In connection with the in-licensing of BL-8040 from Biokine Therapeutics Ltd. (“Biokine”), and as a condition to OCS consent to the transaction, the Company agreed to abide by any obligations resulting from funds previously received by Biokine from the OCS. The contingent liability to the OCS assumed by the Company relating to this transaction amounts to approximately $2.7 million as of December 31, 2016. The Company has a full right of offset for amounts payable to the OCS from payments due to Biokine in the future. Therefore, in the opinion of management, the likelihood of any future Company payment obligation to the OCS with regard to this matter is remote.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13 – COMMITMENTS AND CONTINGENT LIABILITIES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Licensing agreements</w:t>
      </w:r>
    </w:p>
    <w:p>
      <w:pPr>
        <w:spacing w:after="0" w:line="205" w:lineRule="exact"/>
        <w:rPr>
          <w:rFonts w:ascii="Arial" w:cs="Arial" w:eastAsia="Arial" w:hAnsi="Arial"/>
          <w:sz w:val="16"/>
          <w:szCs w:val="16"/>
          <w:color w:val="auto"/>
        </w:rPr>
      </w:pPr>
    </w:p>
    <w:p>
      <w:pPr>
        <w:jc w:val="both"/>
        <w:ind w:left="1500" w:right="20"/>
        <w:spacing w:after="0" w:line="304" w:lineRule="auto"/>
        <w:rPr>
          <w:rFonts w:ascii="Arial" w:cs="Arial" w:eastAsia="Arial" w:hAnsi="Arial"/>
          <w:sz w:val="16"/>
          <w:szCs w:val="16"/>
          <w:color w:val="auto"/>
        </w:rPr>
      </w:pPr>
      <w:r>
        <w:rPr>
          <w:rFonts w:ascii="Arial" w:cs="Arial" w:eastAsia="Arial" w:hAnsi="Arial"/>
          <w:sz w:val="14"/>
          <w:szCs w:val="14"/>
          <w:color w:val="auto"/>
        </w:rPr>
        <w:t>From time to time, the Company enters into in-licensing agreements with academic institutions, research institutions and companies (the “licensors”) in connection with the development of therapeutic compounds. Pursuant to these licensing agreements, the Company generally obtains the rights for one or more therapeutic compounds in pre-clinical and early-clinical stages of development, in order to continue development of the compounds through more advanced stages of development and, subsequently, to manufacture, distribute and market the drugs or to out-license the development, manufacturing and commercialization rights to third parties. Such development activities are carried out by either the Company and/or by companies or institutions to which the Company has entered into an out-license agreement, subject to certain restrictions stipulated in the various agreements.</w:t>
      </w:r>
    </w:p>
    <w:p>
      <w:pPr>
        <w:spacing w:after="0" w:line="140"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4"/>
          <w:szCs w:val="14"/>
          <w:color w:val="auto"/>
        </w:rPr>
        <w:t>The licenses that have been granted to the Company are broad and comprehensive, and generally include various provisions and usage rights as follows:</w:t>
      </w:r>
    </w:p>
    <w:p>
      <w:pPr>
        <w:spacing w:after="0" w:line="45" w:lineRule="exact"/>
        <w:rPr>
          <w:rFonts w:ascii="Arial" w:cs="Arial" w:eastAsia="Arial" w:hAnsi="Arial"/>
          <w:sz w:val="16"/>
          <w:szCs w:val="16"/>
          <w:color w:val="auto"/>
        </w:rPr>
      </w:pPr>
    </w:p>
    <w:p>
      <w:pPr>
        <w:jc w:val="both"/>
        <w:ind w:left="1500" w:right="20" w:hanging="7"/>
        <w:spacing w:after="0" w:line="286" w:lineRule="auto"/>
        <w:tabs>
          <w:tab w:leader="none" w:pos="1704" w:val="left"/>
        </w:tabs>
        <w:numPr>
          <w:ilvl w:val="2"/>
          <w:numId w:val="116"/>
        </w:numPr>
        <w:rPr>
          <w:rFonts w:ascii="Arial" w:cs="Arial" w:eastAsia="Arial" w:hAnsi="Arial"/>
          <w:sz w:val="15"/>
          <w:szCs w:val="15"/>
          <w:color w:val="auto"/>
        </w:rPr>
      </w:pPr>
      <w:r>
        <w:rPr>
          <w:rFonts w:ascii="Arial" w:cs="Arial" w:eastAsia="Arial" w:hAnsi="Arial"/>
          <w:sz w:val="15"/>
          <w:szCs w:val="15"/>
          <w:color w:val="auto"/>
        </w:rPr>
        <w:t>territorial scope of the license (global); (ii) term of the license (unrestricted but not shorter than the life of the patent); and (iii) development of the therapeutic compound (allowing the Company to perform all development activities on its own, or by outsourcing under Company supervision, as well as out-licensing development under the license to other companies, subject to the provisions of the licensing agreements).</w:t>
      </w:r>
    </w:p>
    <w:p>
      <w:pPr>
        <w:spacing w:after="0" w:line="151" w:lineRule="exact"/>
        <w:rPr>
          <w:sz w:val="20"/>
          <w:szCs w:val="20"/>
          <w:color w:val="auto"/>
        </w:rPr>
      </w:pPr>
    </w:p>
    <w:p>
      <w:pPr>
        <w:jc w:val="both"/>
        <w:ind w:left="1500" w:right="20"/>
        <w:spacing w:after="0" w:line="286" w:lineRule="auto"/>
        <w:rPr>
          <w:sz w:val="20"/>
          <w:szCs w:val="20"/>
          <w:color w:val="auto"/>
        </w:rPr>
      </w:pPr>
      <w:r>
        <w:rPr>
          <w:rFonts w:ascii="Arial" w:cs="Arial" w:eastAsia="Arial" w:hAnsi="Arial"/>
          <w:sz w:val="15"/>
          <w:szCs w:val="15"/>
          <w:color w:val="auto"/>
        </w:rPr>
        <w:t>According to the provisions of the licensing agreements, the intellectual property rights in the development of any licensed technology, through the date the applicable license agreement is effective, remain with the licensor, while the rights in products and/or other deliverables developed by the Company after the license is granted belong to the Company. In cases where the licensor has a claim to an invention that was jointly developed with the Company, the licensor also co-owns the related intellectual property. In any event, the scope of the license also covers these rights.</w:t>
      </w:r>
    </w:p>
    <w:p>
      <w:pPr>
        <w:spacing w:after="0" w:line="152" w:lineRule="exact"/>
        <w:rPr>
          <w:sz w:val="20"/>
          <w:szCs w:val="20"/>
          <w:color w:val="auto"/>
        </w:rPr>
      </w:pPr>
    </w:p>
    <w:p>
      <w:pPr>
        <w:jc w:val="both"/>
        <w:ind w:left="1500"/>
        <w:spacing w:after="0" w:line="282" w:lineRule="auto"/>
        <w:rPr>
          <w:sz w:val="20"/>
          <w:szCs w:val="20"/>
          <w:color w:val="auto"/>
        </w:rPr>
      </w:pPr>
      <w:r>
        <w:rPr>
          <w:rFonts w:ascii="Arial" w:cs="Arial" w:eastAsia="Arial" w:hAnsi="Arial"/>
          <w:sz w:val="15"/>
          <w:szCs w:val="15"/>
          <w:color w:val="auto"/>
        </w:rPr>
        <w:t>In addition, the Company generally undertakes in the licensing agreements to protect registered patents resulting from developments under the various licenses, to promote the registration of patents covering new developments in cooperation with the licensor, and to bear responsibility for all related costs. Pursuant to the various agreements, the Company generally works to register the various patents on a broad basis worldwide, and if the Company decides not to initiate or continue a patent registration proceeding in a given country, the Company is required to notify the applicable licensor to this effect and the licensor is entitled to take action for registration of the patent in such country.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13 – COMMITMENTS AND CONTINGENT LIABILITIES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Licensing agreements (cont.)</w:t>
      </w:r>
    </w:p>
    <w:p>
      <w:pPr>
        <w:spacing w:after="0" w:line="205" w:lineRule="exact"/>
        <w:rPr>
          <w:rFonts w:ascii="Arial" w:cs="Arial" w:eastAsia="Arial" w:hAnsi="Arial"/>
          <w:sz w:val="16"/>
          <w:szCs w:val="16"/>
          <w:color w:val="auto"/>
        </w:rPr>
      </w:pPr>
    </w:p>
    <w:p>
      <w:pPr>
        <w:jc w:val="both"/>
        <w:ind w:left="1500"/>
        <w:spacing w:after="0" w:line="297" w:lineRule="auto"/>
        <w:rPr>
          <w:rFonts w:ascii="Arial" w:cs="Arial" w:eastAsia="Arial" w:hAnsi="Arial"/>
          <w:sz w:val="16"/>
          <w:szCs w:val="16"/>
          <w:color w:val="auto"/>
        </w:rPr>
      </w:pPr>
      <w:r>
        <w:rPr>
          <w:rFonts w:ascii="Arial" w:cs="Arial" w:eastAsia="Arial" w:hAnsi="Arial"/>
          <w:sz w:val="14"/>
          <w:szCs w:val="14"/>
          <w:color w:val="auto"/>
        </w:rPr>
        <w:t>The consideration paid pursuant to the licensing agreements generally includes several components that may be payable over the license period and that relate, inter alia, to the progress made in research and development activities, as well as commercial success, as follows: (a) one-time payment of up to $200,000 and/or periodic payments of up to $30,000 per year; (b) payments through the early stages of development ( i.e. through the end of phase 2) of up to $150,000; (c) payments of up to $2,000,000 upon the achievement of milestones necessary for advancing to phase 3; (d) payments of up to $7,000,000 from the end of a successful phase 3 trial through approval of the therapeutic compound; and e) royalties on sales of the final product resulting from development under the license or including any component thereof, ranging between 3%-5% of the Company’s net sales of the product, although in specific instances the royalty rate has been higher or lower than this range. In instances where the Company has out-licensed the product for further development, the Company pays a percentage of the net consideration received from the licensee (“Sublicense Receipts”) to the upstream licensor that generally range from 20% to 29.5% of such consideration , although in specific instances the percentage paid has been higher or lower than this range. These Sublicense Receipts generally take the place of most or all of the milestone and royalty payments set forth in (b) through (e) above.</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The license agreements may be cancelled by the licensor only in specific circumstances, generally upon the occurrence of one of the following events:</w:t>
      </w:r>
    </w:p>
    <w:p>
      <w:pPr>
        <w:spacing w:after="0" w:line="46" w:lineRule="exact"/>
        <w:rPr>
          <w:sz w:val="20"/>
          <w:szCs w:val="20"/>
          <w:color w:val="auto"/>
        </w:rPr>
      </w:pPr>
    </w:p>
    <w:p>
      <w:pPr>
        <w:jc w:val="both"/>
        <w:ind w:left="1500" w:right="20" w:hanging="7"/>
        <w:spacing w:after="0" w:line="258" w:lineRule="auto"/>
        <w:tabs>
          <w:tab w:leader="none" w:pos="173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Company’s failure to meet certain milestones stipulated in the applicable license agreement and appended timetables; (b) default, insolvency, receivership, liquidation, etc. of the Company that is not imposed and/or lifted within the timeframe stipulated in the license agreement; and (c) fundamental breach of the license agreement that is not corrected within the stipulated timeframe. The Company may generally cancel a license agreement with prior notice of 30 to 90 days, due to unsuccessful development or any other cause.</w:t>
      </w:r>
    </w:p>
    <w:p>
      <w:pPr>
        <w:spacing w:after="0" w:line="171" w:lineRule="exact"/>
        <w:rPr>
          <w:sz w:val="20"/>
          <w:szCs w:val="20"/>
          <w:color w:val="auto"/>
        </w:rPr>
      </w:pPr>
    </w:p>
    <w:p>
      <w:pPr>
        <w:jc w:val="both"/>
        <w:ind w:left="1500" w:right="20"/>
        <w:spacing w:after="0" w:line="268" w:lineRule="auto"/>
        <w:rPr>
          <w:sz w:val="20"/>
          <w:szCs w:val="20"/>
          <w:color w:val="auto"/>
        </w:rPr>
      </w:pPr>
      <w:r>
        <w:rPr>
          <w:rFonts w:ascii="Arial" w:cs="Arial" w:eastAsia="Arial" w:hAnsi="Arial"/>
          <w:sz w:val="16"/>
          <w:szCs w:val="16"/>
          <w:color w:val="auto"/>
        </w:rPr>
        <w:t>The Company has undertaken to indemnify certain licensors, their employees, officers, representatives or anyone acting on their behalf for any damage and/or expense that they may incur in connection with the Company’s use of a license granted to it, all in accordance with the terms stipulated in the applicable license agreements.</w:t>
      </w:r>
    </w:p>
    <w:p>
      <w:pPr>
        <w:spacing w:after="0" w:line="163" w:lineRule="exact"/>
        <w:rPr>
          <w:sz w:val="20"/>
          <w:szCs w:val="20"/>
          <w:color w:val="auto"/>
        </w:rPr>
      </w:pPr>
    </w:p>
    <w:p>
      <w:pPr>
        <w:jc w:val="both"/>
        <w:ind w:left="1500" w:right="20"/>
        <w:spacing w:after="0" w:line="268" w:lineRule="auto"/>
        <w:rPr>
          <w:sz w:val="20"/>
          <w:szCs w:val="20"/>
          <w:color w:val="auto"/>
        </w:rPr>
      </w:pPr>
      <w:r>
        <w:rPr>
          <w:rFonts w:ascii="Arial" w:cs="Arial" w:eastAsia="Arial" w:hAnsi="Arial"/>
          <w:sz w:val="16"/>
          <w:szCs w:val="16"/>
          <w:color w:val="auto"/>
        </w:rPr>
        <w:t>Some of the license agreements are accompanied by consulting, support and cooperation agreements, pursuant to which the Company is committed to pay the various licensers a fixed monthly amount over the period stipulated in the agreement for their assistance in the continued research and development under the license.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13 – COMMITMENTS AND CONTINGENT LIABILITIES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w:t>
      </w:r>
    </w:p>
    <w:p>
      <w:pPr>
        <w:spacing w:after="0" w:line="209" w:lineRule="exact"/>
        <w:rPr>
          <w:rFonts w:ascii="Arial" w:cs="Arial" w:eastAsia="Arial" w:hAnsi="Arial"/>
          <w:sz w:val="16"/>
          <w:szCs w:val="16"/>
          <w:b w:val="1"/>
          <w:bCs w:val="1"/>
          <w:color w:val="auto"/>
        </w:rPr>
      </w:pPr>
    </w:p>
    <w:p>
      <w:pPr>
        <w:ind w:left="1480" w:hanging="338"/>
        <w:spacing w:after="0"/>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Lease agreements</w:t>
      </w:r>
    </w:p>
    <w:p>
      <w:pPr>
        <w:spacing w:after="0" w:line="205" w:lineRule="exact"/>
        <w:rPr>
          <w:rFonts w:ascii="Arial" w:cs="Arial" w:eastAsia="Arial" w:hAnsi="Arial"/>
          <w:sz w:val="16"/>
          <w:szCs w:val="16"/>
          <w:color w:val="auto"/>
        </w:rPr>
      </w:pPr>
    </w:p>
    <w:p>
      <w:pPr>
        <w:jc w:val="both"/>
        <w:ind w:left="1820" w:right="20" w:hanging="337"/>
        <w:spacing w:after="0" w:line="263" w:lineRule="auto"/>
        <w:tabs>
          <w:tab w:leader="none" w:pos="18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In August 2014, the Company entered into an operating lease agreement in connection with the lease of new premises. Payments under the new lease commenced in June 2015 and will expire in June 2020. The monthly lease fee is approximately $27,000 (including maintenance fees and parking). The Company has the option to extend the lease for 4 additional lease periods totaling up to an additional 10 years, each option at a 5% increase to the preceding lease payment amount.</w:t>
      </w:r>
    </w:p>
    <w:p>
      <w:pPr>
        <w:spacing w:after="0" w:line="167" w:lineRule="exact"/>
        <w:rPr>
          <w:rFonts w:ascii="Arial" w:cs="Arial" w:eastAsia="Arial" w:hAnsi="Arial"/>
          <w:sz w:val="16"/>
          <w:szCs w:val="16"/>
          <w:color w:val="auto"/>
        </w:rPr>
      </w:pPr>
    </w:p>
    <w:p>
      <w:pPr>
        <w:ind w:left="1840"/>
        <w:spacing w:after="0"/>
        <w:rPr>
          <w:rFonts w:ascii="Arial" w:cs="Arial" w:eastAsia="Arial" w:hAnsi="Arial"/>
          <w:sz w:val="16"/>
          <w:szCs w:val="16"/>
          <w:color w:val="auto"/>
        </w:rPr>
      </w:pPr>
      <w:r>
        <w:rPr>
          <w:rFonts w:ascii="Arial" w:cs="Arial" w:eastAsia="Arial" w:hAnsi="Arial"/>
          <w:sz w:val="16"/>
          <w:szCs w:val="16"/>
          <w:color w:val="auto"/>
        </w:rPr>
        <w:t>See Note 13b regarding a guarantee provided to secure the Company’s liability under the lease agreement.</w:t>
      </w:r>
    </w:p>
    <w:p>
      <w:pPr>
        <w:spacing w:after="0" w:line="205" w:lineRule="exact"/>
        <w:rPr>
          <w:rFonts w:ascii="Arial" w:cs="Arial" w:eastAsia="Arial" w:hAnsi="Arial"/>
          <w:sz w:val="16"/>
          <w:szCs w:val="16"/>
          <w:color w:val="auto"/>
        </w:rPr>
      </w:pPr>
    </w:p>
    <w:p>
      <w:pPr>
        <w:jc w:val="both"/>
        <w:ind w:left="1820" w:right="20" w:hanging="337"/>
        <w:spacing w:after="0" w:line="263" w:lineRule="auto"/>
        <w:tabs>
          <w:tab w:leader="none" w:pos="182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The Company has entered into operating lease agreements in connection with a number of vehicles. The lease periods are generally for three years. The annual lease fees, linked to the CPI, are approximately $210,000. To secure the terms of the lease agreements, the Company has made certain prepayments to the leasing companies, representing approximately two months of lease payments. These amounts have been recorded as prepaid expenses. See also Note 15b.</w:t>
      </w:r>
    </w:p>
    <w:p>
      <w:pPr>
        <w:spacing w:after="0" w:line="163" w:lineRule="exact"/>
        <w:rPr>
          <w:rFonts w:ascii="Arial" w:cs="Arial" w:eastAsia="Arial" w:hAnsi="Arial"/>
          <w:sz w:val="16"/>
          <w:szCs w:val="16"/>
          <w:color w:val="auto"/>
        </w:rPr>
      </w:pPr>
    </w:p>
    <w:p>
      <w:pPr>
        <w:ind w:left="1140" w:hanging="339"/>
        <w:spacing w:after="0"/>
        <w:tabs>
          <w:tab w:leader="none" w:pos="114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Contingent liabilities</w:t>
      </w:r>
    </w:p>
    <w:p>
      <w:pPr>
        <w:spacing w:after="0" w:line="210" w:lineRule="exact"/>
        <w:rPr>
          <w:sz w:val="20"/>
          <w:szCs w:val="20"/>
          <w:color w:val="auto"/>
        </w:rPr>
      </w:pPr>
    </w:p>
    <w:p>
      <w:pPr>
        <w:ind w:left="1140" w:right="20"/>
        <w:spacing w:after="0" w:line="283" w:lineRule="auto"/>
        <w:rPr>
          <w:sz w:val="20"/>
          <w:szCs w:val="20"/>
          <w:color w:val="auto"/>
        </w:rPr>
      </w:pPr>
      <w:r>
        <w:rPr>
          <w:rFonts w:ascii="Arial" w:cs="Arial" w:eastAsia="Arial" w:hAnsi="Arial"/>
          <w:sz w:val="16"/>
          <w:szCs w:val="16"/>
          <w:color w:val="auto"/>
        </w:rPr>
        <w:t>To secure the Company’s lease obligation on its premises, the Company has provided a bank guarantee in the amount of approximately $100,000 for the benefit of the lessor, which remains outstanding as of December 31, 2016.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See Note 9a regarding equipment pledged as collateral to secure a bank loan.</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0"/>
        </w:trPr>
        <w:tc>
          <w:tcPr>
            <w:tcW w:w="7840" w:type="dxa"/>
            <w:vAlign w:val="bottom"/>
            <w:gridSpan w:val="2"/>
          </w:tcPr>
          <w:p>
            <w:pPr>
              <w:spacing w:after="0"/>
              <w:rPr>
                <w:sz w:val="20"/>
                <w:szCs w:val="20"/>
                <w:color w:val="auto"/>
              </w:rPr>
            </w:pPr>
            <w:r>
              <w:rPr>
                <w:rFonts w:ascii="Arial" w:cs="Arial" w:eastAsia="Arial" w:hAnsi="Arial"/>
                <w:sz w:val="16"/>
                <w:szCs w:val="16"/>
                <w:color w:val="auto"/>
              </w:rPr>
              <w:t>NOTE 14 – TRANSACTIONS AND BALANCES WITH RELATED PARTIES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7840" w:type="dxa"/>
            <w:vAlign w:val="bottom"/>
            <w:gridSpan w:val="2"/>
          </w:tcPr>
          <w:p>
            <w:pPr>
              <w:ind w:left="940"/>
              <w:spacing w:after="0"/>
              <w:rPr>
                <w:sz w:val="20"/>
                <w:szCs w:val="20"/>
                <w:color w:val="auto"/>
              </w:rPr>
            </w:pPr>
            <w:r>
              <w:rPr>
                <w:rFonts w:ascii="Arial" w:cs="Arial" w:eastAsia="Arial" w:hAnsi="Arial"/>
                <w:sz w:val="16"/>
                <w:szCs w:val="16"/>
                <w:color w:val="auto"/>
              </w:rPr>
              <w:t>Transactions with related parties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114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Arial" w:cs="Arial" w:eastAsia="Arial" w:hAnsi="Arial"/>
                <w:sz w:val="16"/>
                <w:szCs w:val="16"/>
                <w:color w:val="auto"/>
              </w:rPr>
              <w:t>Expenses: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11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72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w w:val="94"/>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1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84"/>
              </w:rPr>
              <w:t>In</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3"/>
              </w:rPr>
              <w:t>USD thousands</w:t>
            </w:r>
          </w:p>
        </w:tc>
        <w:tc>
          <w:tcPr>
            <w:tcW w:w="2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114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Benefits to related parties:</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6700" w:type="dxa"/>
            <w:vAlign w:val="bottom"/>
          </w:tcPr>
          <w:p>
            <w:pPr>
              <w:ind w:left="240"/>
              <w:spacing w:after="0" w:line="182" w:lineRule="exact"/>
              <w:rPr>
                <w:sz w:val="20"/>
                <w:szCs w:val="20"/>
                <w:color w:val="auto"/>
              </w:rPr>
            </w:pPr>
            <w:r>
              <w:rPr>
                <w:rFonts w:ascii="Arial" w:cs="Arial" w:eastAsia="Arial" w:hAnsi="Arial"/>
                <w:sz w:val="16"/>
                <w:szCs w:val="16"/>
                <w:color w:val="auto"/>
              </w:rPr>
              <w:t>Compensation and benefits to senior management, including benefit component of equity</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1140" w:type="dxa"/>
            <w:vAlign w:val="bottom"/>
          </w:tcPr>
          <w:p>
            <w:pPr>
              <w:spacing w:after="0"/>
              <w:rPr>
                <w:sz w:val="17"/>
                <w:szCs w:val="17"/>
                <w:color w:val="auto"/>
              </w:rPr>
            </w:pPr>
          </w:p>
        </w:tc>
        <w:tc>
          <w:tcPr>
            <w:tcW w:w="6700" w:type="dxa"/>
            <w:vAlign w:val="bottom"/>
          </w:tcPr>
          <w:p>
            <w:pPr>
              <w:ind w:left="460"/>
              <w:spacing w:after="0"/>
              <w:rPr>
                <w:sz w:val="20"/>
                <w:szCs w:val="20"/>
                <w:color w:val="auto"/>
              </w:rPr>
            </w:pPr>
            <w:r>
              <w:rPr>
                <w:rFonts w:ascii="Arial" w:cs="Arial" w:eastAsia="Arial" w:hAnsi="Arial"/>
                <w:sz w:val="16"/>
                <w:szCs w:val="16"/>
                <w:color w:val="auto"/>
              </w:rPr>
              <w:t>instrument grants</w:t>
            </w:r>
          </w:p>
        </w:tc>
        <w:tc>
          <w:tcPr>
            <w:tcW w:w="1040" w:type="dxa"/>
            <w:vAlign w:val="bottom"/>
          </w:tcPr>
          <w:p>
            <w:pPr>
              <w:jc w:val="right"/>
              <w:spacing w:after="0"/>
              <w:rPr>
                <w:sz w:val="20"/>
                <w:szCs w:val="20"/>
                <w:color w:val="auto"/>
              </w:rPr>
            </w:pPr>
            <w:r>
              <w:rPr>
                <w:rFonts w:ascii="Arial" w:cs="Arial" w:eastAsia="Arial" w:hAnsi="Arial"/>
                <w:sz w:val="16"/>
                <w:szCs w:val="16"/>
                <w:color w:val="auto"/>
              </w:rPr>
              <w:t>2,084</w:t>
            </w: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1,843</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1,912</w:t>
            </w: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1140" w:type="dxa"/>
            <w:vAlign w:val="bottom"/>
          </w:tcPr>
          <w:p>
            <w:pPr>
              <w:spacing w:after="0"/>
              <w:rPr>
                <w:sz w:val="19"/>
                <w:szCs w:val="19"/>
                <w:color w:val="auto"/>
              </w:rPr>
            </w:pPr>
          </w:p>
        </w:tc>
        <w:tc>
          <w:tcPr>
            <w:tcW w:w="6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Number of individuals to which this benefit related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4"/>
        </w:trPr>
        <w:tc>
          <w:tcPr>
            <w:tcW w:w="1140" w:type="dxa"/>
            <w:vAlign w:val="bottom"/>
          </w:tcPr>
          <w:p>
            <w:pPr>
              <w:spacing w:after="0"/>
              <w:rPr>
                <w:sz w:val="15"/>
                <w:szCs w:val="15"/>
                <w:color w:val="auto"/>
              </w:rPr>
            </w:pPr>
          </w:p>
        </w:tc>
        <w:tc>
          <w:tcPr>
            <w:tcW w:w="6700" w:type="dxa"/>
            <w:vAlign w:val="bottom"/>
          </w:tcPr>
          <w:p>
            <w:pPr>
              <w:ind w:left="240"/>
              <w:spacing w:after="0"/>
              <w:rPr>
                <w:sz w:val="20"/>
                <w:szCs w:val="20"/>
                <w:color w:val="auto"/>
              </w:rPr>
            </w:pPr>
            <w:r>
              <w:rPr>
                <w:rFonts w:ascii="Arial" w:cs="Arial" w:eastAsia="Arial" w:hAnsi="Arial"/>
                <w:sz w:val="16"/>
                <w:szCs w:val="16"/>
                <w:color w:val="auto"/>
                <w:w w:val="94"/>
              </w:rPr>
              <w:t>Compensation and benefits to directors, including benefit component of equity instrument grants</w:t>
            </w:r>
          </w:p>
        </w:tc>
        <w:tc>
          <w:tcPr>
            <w:tcW w:w="1040" w:type="dxa"/>
            <w:vAlign w:val="bottom"/>
          </w:tcPr>
          <w:p>
            <w:pPr>
              <w:jc w:val="right"/>
              <w:spacing w:after="0"/>
              <w:rPr>
                <w:sz w:val="20"/>
                <w:szCs w:val="20"/>
                <w:color w:val="auto"/>
              </w:rPr>
            </w:pPr>
            <w:r>
              <w:rPr>
                <w:rFonts w:ascii="Arial" w:cs="Arial" w:eastAsia="Arial" w:hAnsi="Arial"/>
                <w:sz w:val="16"/>
                <w:szCs w:val="16"/>
                <w:color w:val="auto"/>
              </w:rPr>
              <w:t>218</w:t>
            </w: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233</w:t>
            </w: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316</w:t>
            </w: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1140" w:type="dxa"/>
            <w:vAlign w:val="bottom"/>
          </w:tcPr>
          <w:p>
            <w:pPr>
              <w:spacing w:after="0"/>
              <w:rPr>
                <w:sz w:val="19"/>
                <w:szCs w:val="19"/>
                <w:color w:val="auto"/>
              </w:rPr>
            </w:pPr>
          </w:p>
        </w:tc>
        <w:tc>
          <w:tcPr>
            <w:tcW w:w="6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Number of individuals to which this benefit related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85"/>
        </w:trPr>
        <w:tc>
          <w:tcPr>
            <w:tcW w:w="1140" w:type="dxa"/>
            <w:vAlign w:val="bottom"/>
          </w:tcPr>
          <w:p>
            <w:pPr>
              <w:spacing w:after="0"/>
              <w:rPr>
                <w:sz w:val="24"/>
                <w:szCs w:val="24"/>
                <w:color w:val="auto"/>
              </w:rPr>
            </w:pPr>
          </w:p>
        </w:tc>
        <w:tc>
          <w:tcPr>
            <w:tcW w:w="6700" w:type="dxa"/>
            <w:vAlign w:val="bottom"/>
          </w:tcPr>
          <w:p>
            <w:pPr>
              <w:ind w:left="4380"/>
              <w:spacing w:after="0"/>
              <w:rPr>
                <w:sz w:val="20"/>
                <w:szCs w:val="20"/>
                <w:color w:val="auto"/>
              </w:rPr>
            </w:pPr>
            <w:r>
              <w:rPr>
                <w:rFonts w:ascii="Arial" w:cs="Arial" w:eastAsia="Arial" w:hAnsi="Arial"/>
                <w:sz w:val="16"/>
                <w:szCs w:val="16"/>
                <w:color w:val="auto"/>
              </w:rPr>
              <w:t>F - 36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67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14 – TRANSACTIONS AND BALANCES WITH RELATED PARTIES </w:t>
      </w:r>
      <w:r>
        <w:rPr>
          <w:rFonts w:ascii="Arial" w:cs="Arial" w:eastAsia="Arial" w:hAnsi="Arial"/>
          <w:sz w:val="16"/>
          <w:szCs w:val="16"/>
          <w:color w:val="auto"/>
        </w:rPr>
        <w:t>(cont.)</w:t>
      </w:r>
    </w:p>
    <w:p>
      <w:pPr>
        <w:spacing w:after="0" w:line="25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Transactions with related parties </w:t>
      </w:r>
      <w:r>
        <w:rPr>
          <w:rFonts w:ascii="Arial" w:cs="Arial" w:eastAsia="Arial" w:hAnsi="Arial"/>
          <w:sz w:val="16"/>
          <w:szCs w:val="16"/>
          <w:color w:val="auto"/>
        </w:rPr>
        <w:t>(cont.)</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Key management compensation</w:t>
      </w:r>
    </w:p>
    <w:p>
      <w:pPr>
        <w:spacing w:after="0" w:line="206" w:lineRule="exact"/>
        <w:rPr>
          <w:sz w:val="20"/>
          <w:szCs w:val="20"/>
          <w:color w:val="auto"/>
        </w:rPr>
      </w:pPr>
    </w:p>
    <w:p>
      <w:pPr>
        <w:ind w:left="880" w:right="300"/>
        <w:spacing w:after="0" w:line="283" w:lineRule="auto"/>
        <w:rPr>
          <w:sz w:val="20"/>
          <w:szCs w:val="20"/>
          <w:color w:val="auto"/>
        </w:rPr>
      </w:pPr>
      <w:r>
        <w:rPr>
          <w:rFonts w:ascii="Arial" w:cs="Arial" w:eastAsia="Arial" w:hAnsi="Arial"/>
          <w:sz w:val="16"/>
          <w:szCs w:val="16"/>
          <w:color w:val="auto"/>
        </w:rPr>
        <w:t>Key management includes directors (executive and non-executive), and executive officers. The compensation paid or payable to key management for services during each of the years indicated is presented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60" w:type="dxa"/>
            <w:vAlign w:val="bottom"/>
            <w:tcBorders>
              <w:bottom w:val="single" w:sz="8" w:color="auto"/>
            </w:tcBorders>
            <w:gridSpan w:val="6"/>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9"/>
        </w:trPr>
        <w:tc>
          <w:tcPr>
            <w:tcW w:w="11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9"/>
        </w:trPr>
        <w:tc>
          <w:tcPr>
            <w:tcW w:w="11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3"/>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5"/>
        </w:trPr>
        <w:tc>
          <w:tcPr>
            <w:tcW w:w="1140" w:type="dxa"/>
            <w:vAlign w:val="bottom"/>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Salaries and other short-term employee benefits</w:t>
            </w:r>
          </w:p>
        </w:tc>
        <w:tc>
          <w:tcPr>
            <w:tcW w:w="2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1,412</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114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Post-employment benefits</w:t>
            </w:r>
          </w:p>
        </w:tc>
        <w:tc>
          <w:tcPr>
            <w:tcW w:w="3160" w:type="dxa"/>
            <w:vAlign w:val="bottom"/>
            <w:gridSpan w:val="3"/>
          </w:tcPr>
          <w:p>
            <w:pPr>
              <w:jc w:val="right"/>
              <w:spacing w:after="0"/>
              <w:rPr>
                <w:sz w:val="20"/>
                <w:szCs w:val="20"/>
                <w:color w:val="auto"/>
              </w:rPr>
            </w:pPr>
            <w:r>
              <w:rPr>
                <w:rFonts w:ascii="Arial" w:cs="Arial" w:eastAsia="Arial" w:hAnsi="Arial"/>
                <w:sz w:val="16"/>
                <w:szCs w:val="16"/>
                <w:color w:val="auto"/>
              </w:rPr>
              <w:t>130</w:t>
            </w: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129</w:t>
            </w:r>
          </w:p>
        </w:tc>
        <w:tc>
          <w:tcPr>
            <w:tcW w:w="1160" w:type="dxa"/>
            <w:vAlign w:val="bottom"/>
          </w:tcPr>
          <w:p>
            <w:pPr>
              <w:spacing w:after="0"/>
              <w:rPr>
                <w:sz w:val="16"/>
                <w:szCs w:val="16"/>
                <w:color w:val="auto"/>
              </w:rPr>
            </w:pPr>
          </w:p>
        </w:tc>
      </w:tr>
      <w:tr>
        <w:trPr>
          <w:trHeight w:val="195"/>
        </w:trPr>
        <w:tc>
          <w:tcPr>
            <w:tcW w:w="1140" w:type="dxa"/>
            <w:vAlign w:val="bottom"/>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benefits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r>
      <w:tr>
        <w:trPr>
          <w:trHeight w:val="199"/>
        </w:trPr>
        <w:tc>
          <w:tcPr>
            <w:tcW w:w="114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160" w:type="dxa"/>
            <w:vAlign w:val="bottom"/>
            <w:gridSpan w:val="3"/>
          </w:tcPr>
          <w:p>
            <w:pPr>
              <w:jc w:val="right"/>
              <w:spacing w:after="0"/>
              <w:rPr>
                <w:sz w:val="20"/>
                <w:szCs w:val="20"/>
                <w:color w:val="auto"/>
              </w:rPr>
            </w:pPr>
            <w:r>
              <w:rPr>
                <w:rFonts w:ascii="Arial" w:cs="Arial" w:eastAsia="Arial" w:hAnsi="Arial"/>
                <w:sz w:val="16"/>
                <w:szCs w:val="16"/>
                <w:color w:val="auto"/>
              </w:rPr>
              <w:t>438</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517</w:t>
            </w:r>
          </w:p>
        </w:tc>
        <w:tc>
          <w:tcPr>
            <w:tcW w:w="2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460</w:t>
            </w:r>
          </w:p>
        </w:tc>
        <w:tc>
          <w:tcPr>
            <w:tcW w:w="1160" w:type="dxa"/>
            <w:vAlign w:val="bottom"/>
          </w:tcPr>
          <w:p>
            <w:pPr>
              <w:spacing w:after="0"/>
              <w:rPr>
                <w:sz w:val="17"/>
                <w:szCs w:val="17"/>
                <w:color w:val="auto"/>
              </w:rPr>
            </w:pPr>
          </w:p>
        </w:tc>
      </w:tr>
      <w:tr>
        <w:trPr>
          <w:trHeight w:val="235"/>
        </w:trPr>
        <w:tc>
          <w:tcPr>
            <w:tcW w:w="114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536"/>
        </w:trPr>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40" w:type="dxa"/>
            <w:vAlign w:val="bottom"/>
            <w:gridSpan w:val="4"/>
          </w:tcPr>
          <w:p>
            <w:pPr>
              <w:ind w:left="640"/>
              <w:spacing w:after="0"/>
              <w:rPr>
                <w:sz w:val="20"/>
                <w:szCs w:val="20"/>
                <w:color w:val="auto"/>
              </w:rPr>
            </w:pPr>
            <w:r>
              <w:rPr>
                <w:rFonts w:ascii="Arial" w:cs="Arial" w:eastAsia="Arial" w:hAnsi="Arial"/>
                <w:sz w:val="16"/>
                <w:szCs w:val="16"/>
                <w:color w:val="auto"/>
              </w:rPr>
              <w:t>F - 37</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168" w:name="page169"/>
    <w:bookmarkEnd w:id="168"/>
    <w:p>
      <w:pPr>
        <w:jc w:val="center"/>
        <w:ind w:right="-1139"/>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NOTES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NOTE 15 – SUPPLEMENTARY FINANCIAL STATEMENT INFORMATION</w:t>
      </w:r>
    </w:p>
    <w:p>
      <w:pPr>
        <w:spacing w:after="0" w:line="202" w:lineRule="exact"/>
        <w:rPr>
          <w:sz w:val="20"/>
          <w:szCs w:val="20"/>
          <w:color w:val="auto"/>
        </w:rPr>
      </w:pPr>
    </w:p>
    <w:p>
      <w:pPr>
        <w:ind w:left="1140" w:hanging="339"/>
        <w:spacing w:after="0"/>
        <w:tabs>
          <w:tab w:leader="none" w:pos="114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Other receivables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80" w:type="dxa"/>
            <w:vAlign w:val="bottom"/>
            <w:gridSpan w:val="5"/>
          </w:tcPr>
          <w:p>
            <w:pPr>
              <w:ind w:left="520"/>
              <w:spacing w:after="0"/>
              <w:rPr>
                <w:sz w:val="20"/>
                <w:szCs w:val="20"/>
                <w:color w:val="auto"/>
              </w:rPr>
            </w:pPr>
            <w:r>
              <w:rPr>
                <w:rFonts w:ascii="Arial" w:cs="Arial" w:eastAsia="Arial" w:hAnsi="Arial"/>
                <w:sz w:val="16"/>
                <w:szCs w:val="16"/>
                <w:b w:val="1"/>
                <w:bCs w:val="1"/>
                <w:color w:val="auto"/>
              </w:rPr>
              <w:t>December 31,</w:t>
            </w:r>
          </w:p>
        </w:tc>
      </w:tr>
      <w:tr>
        <w:trPr>
          <w:trHeight w:val="199"/>
        </w:trPr>
        <w:tc>
          <w:tcPr>
            <w:tcW w:w="70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99"/>
        </w:trPr>
        <w:tc>
          <w:tcPr>
            <w:tcW w:w="70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USD</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70"/>
              </w:rPr>
              <w:t>thousands</w:t>
            </w:r>
          </w:p>
        </w:tc>
        <w:tc>
          <w:tcPr>
            <w:tcW w:w="80" w:type="dxa"/>
            <w:vAlign w:val="bottom"/>
          </w:tcPr>
          <w:p>
            <w:pPr>
              <w:spacing w:after="0"/>
              <w:rPr>
                <w:sz w:val="17"/>
                <w:szCs w:val="17"/>
                <w:color w:val="auto"/>
              </w:rPr>
            </w:pPr>
          </w:p>
        </w:tc>
      </w:tr>
      <w:tr>
        <w:trPr>
          <w:trHeight w:val="195"/>
        </w:trPr>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Institutions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6"/>
                <w:szCs w:val="16"/>
                <w:color w:val="auto"/>
              </w:rPr>
            </w:pPr>
          </w:p>
        </w:tc>
      </w:tr>
      <w:tr>
        <w:trPr>
          <w:trHeight w:val="199"/>
        </w:trPr>
        <w:tc>
          <w:tcPr>
            <w:tcW w:w="7060" w:type="dxa"/>
            <w:vAlign w:val="bottom"/>
          </w:tcPr>
          <w:p>
            <w:pPr>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r>
      <w:tr>
        <w:trPr>
          <w:trHeight w:val="235"/>
        </w:trPr>
        <w:tc>
          <w:tcPr>
            <w:tcW w:w="70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27" w:lineRule="exact"/>
        <w:rPr>
          <w:sz w:val="20"/>
          <w:szCs w:val="20"/>
          <w:color w:val="auto"/>
        </w:rPr>
      </w:pPr>
    </w:p>
    <w:p>
      <w:pPr>
        <w:ind w:left="1140" w:hanging="339"/>
        <w:spacing w:after="0"/>
        <w:tabs>
          <w:tab w:leader="none" w:pos="114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Long-term prepaid expenses</w:t>
      </w:r>
    </w:p>
    <w:p>
      <w:pPr>
        <w:spacing w:after="0" w:line="209" w:lineRule="exact"/>
        <w:rPr>
          <w:rFonts w:ascii="Arial" w:cs="Arial" w:eastAsia="Arial" w:hAnsi="Arial"/>
          <w:sz w:val="16"/>
          <w:szCs w:val="16"/>
          <w:b w:val="1"/>
          <w:bCs w:val="1"/>
          <w:color w:val="auto"/>
        </w:rPr>
      </w:pPr>
    </w:p>
    <w:p>
      <w:pPr>
        <w:ind w:left="1140"/>
        <w:spacing w:after="0"/>
        <w:rPr>
          <w:rFonts w:ascii="Arial" w:cs="Arial" w:eastAsia="Arial" w:hAnsi="Arial"/>
          <w:sz w:val="16"/>
          <w:szCs w:val="16"/>
          <w:b w:val="1"/>
          <w:bCs w:val="1"/>
          <w:color w:val="auto"/>
        </w:rPr>
      </w:pPr>
      <w:r>
        <w:rPr>
          <w:rFonts w:ascii="Arial" w:cs="Arial" w:eastAsia="Arial" w:hAnsi="Arial"/>
          <w:sz w:val="16"/>
          <w:szCs w:val="16"/>
          <w:color w:val="auto"/>
        </w:rPr>
        <w:t>The prepaid expenses relate to operating lease agreements in respect of the vehicles leased by the Company.</w:t>
      </w:r>
    </w:p>
    <w:p>
      <w:pPr>
        <w:spacing w:after="0" w:line="201" w:lineRule="exact"/>
        <w:rPr>
          <w:rFonts w:ascii="Arial" w:cs="Arial" w:eastAsia="Arial" w:hAnsi="Arial"/>
          <w:sz w:val="16"/>
          <w:szCs w:val="16"/>
          <w:b w:val="1"/>
          <w:bCs w:val="1"/>
          <w:color w:val="auto"/>
        </w:rPr>
      </w:pPr>
    </w:p>
    <w:p>
      <w:pPr>
        <w:ind w:left="1140" w:hanging="339"/>
        <w:spacing w:after="0"/>
        <w:tabs>
          <w:tab w:leader="none" w:pos="114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Accounts payable and accruals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December 31,</w:t>
            </w:r>
          </w:p>
        </w:tc>
      </w:tr>
      <w:tr>
        <w:trPr>
          <w:trHeight w:val="199"/>
        </w:trPr>
        <w:tc>
          <w:tcPr>
            <w:tcW w:w="1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USD</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70"/>
              </w:rPr>
              <w:t>thousands</w:t>
            </w:r>
          </w:p>
        </w:tc>
        <w:tc>
          <w:tcPr>
            <w:tcW w:w="80" w:type="dxa"/>
            <w:vAlign w:val="bottom"/>
          </w:tcPr>
          <w:p>
            <w:pPr>
              <w:spacing w:after="0"/>
              <w:rPr>
                <w:sz w:val="17"/>
                <w:szCs w:val="17"/>
                <w:color w:val="auto"/>
              </w:rPr>
            </w:pPr>
          </w:p>
        </w:tc>
      </w:tr>
      <w:tr>
        <w:trPr>
          <w:trHeight w:val="195"/>
        </w:trPr>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w:t>
            </w:r>
          </w:p>
        </w:tc>
        <w:tc>
          <w:tcPr>
            <w:tcW w:w="6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Trade:</w:t>
            </w: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5"/>
        </w:trPr>
        <w:tc>
          <w:tcPr>
            <w:tcW w:w="180" w:type="dxa"/>
            <w:vAlign w:val="bottom"/>
          </w:tcPr>
          <w:p>
            <w:pPr>
              <w:spacing w:after="0"/>
              <w:rPr>
                <w:sz w:val="16"/>
                <w:szCs w:val="16"/>
                <w:color w:val="auto"/>
              </w:rPr>
            </w:pPr>
          </w:p>
        </w:tc>
        <w:tc>
          <w:tcPr>
            <w:tcW w:w="6880" w:type="dxa"/>
            <w:vAlign w:val="bottom"/>
          </w:tcPr>
          <w:p>
            <w:pPr>
              <w:ind w:left="60"/>
              <w:spacing w:after="0"/>
              <w:rPr>
                <w:sz w:val="20"/>
                <w:szCs w:val="20"/>
                <w:color w:val="auto"/>
              </w:rPr>
            </w:pPr>
            <w:r>
              <w:rPr>
                <w:rFonts w:ascii="Arial" w:cs="Arial" w:eastAsia="Arial" w:hAnsi="Arial"/>
                <w:sz w:val="16"/>
                <w:szCs w:val="16"/>
                <w:color w:val="auto"/>
              </w:rPr>
              <w:t>Accounts payable:</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180" w:type="dxa"/>
            <w:vAlign w:val="bottom"/>
            <w:shd w:val="clear" w:color="auto" w:fill="CCEEFF"/>
          </w:tcPr>
          <w:p>
            <w:pPr>
              <w:spacing w:after="0"/>
              <w:rPr>
                <w:sz w:val="16"/>
                <w:szCs w:val="16"/>
                <w:color w:val="auto"/>
              </w:rPr>
            </w:pPr>
          </w:p>
        </w:tc>
        <w:tc>
          <w:tcPr>
            <w:tcW w:w="6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Overseas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1,536</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80" w:type="dxa"/>
            <w:vAlign w:val="bottom"/>
            <w:shd w:val="clear" w:color="auto" w:fill="CCEEFF"/>
          </w:tcPr>
          <w:p>
            <w:pPr>
              <w:spacing w:after="0"/>
              <w:rPr>
                <w:sz w:val="16"/>
                <w:szCs w:val="16"/>
                <w:color w:val="auto"/>
              </w:rPr>
            </w:pPr>
          </w:p>
        </w:tc>
      </w:tr>
      <w:tr>
        <w:trPr>
          <w:trHeight w:val="199"/>
        </w:trPr>
        <w:tc>
          <w:tcPr>
            <w:tcW w:w="180" w:type="dxa"/>
            <w:vAlign w:val="bottom"/>
          </w:tcPr>
          <w:p>
            <w:pPr>
              <w:spacing w:after="0"/>
              <w:rPr>
                <w:sz w:val="17"/>
                <w:szCs w:val="17"/>
                <w:color w:val="auto"/>
              </w:rPr>
            </w:pPr>
          </w:p>
        </w:tc>
        <w:tc>
          <w:tcPr>
            <w:tcW w:w="6880" w:type="dxa"/>
            <w:vAlign w:val="bottom"/>
          </w:tcPr>
          <w:p>
            <w:pPr>
              <w:ind w:left="280"/>
              <w:spacing w:after="0"/>
              <w:rPr>
                <w:sz w:val="20"/>
                <w:szCs w:val="20"/>
                <w:color w:val="auto"/>
              </w:rPr>
            </w:pPr>
            <w:r>
              <w:rPr>
                <w:rFonts w:ascii="Arial" w:cs="Arial" w:eastAsia="Arial" w:hAnsi="Arial"/>
                <w:sz w:val="16"/>
                <w:szCs w:val="16"/>
                <w:color w:val="auto"/>
              </w:rPr>
              <w:t>In Israel</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374</w:t>
            </w: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438</w:t>
            </w:r>
          </w:p>
        </w:tc>
      </w:tr>
      <w:tr>
        <w:trPr>
          <w:trHeight w:val="235"/>
        </w:trPr>
        <w:tc>
          <w:tcPr>
            <w:tcW w:w="180" w:type="dxa"/>
            <w:vAlign w:val="bottom"/>
            <w:shd w:val="clear" w:color="auto" w:fill="CCEEFF"/>
          </w:tcPr>
          <w:p>
            <w:pPr>
              <w:spacing w:after="0"/>
              <w:rPr>
                <w:sz w:val="20"/>
                <w:szCs w:val="20"/>
                <w:color w:val="auto"/>
              </w:rPr>
            </w:pPr>
          </w:p>
        </w:tc>
        <w:tc>
          <w:tcPr>
            <w:tcW w:w="6880" w:type="dxa"/>
            <w:vAlign w:val="bottom"/>
            <w:shd w:val="clear" w:color="auto" w:fill="CCEEFF"/>
          </w:tcPr>
          <w:p>
            <w:pPr>
              <w:spacing w:after="0"/>
              <w:rPr>
                <w:sz w:val="20"/>
                <w:szCs w:val="20"/>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1,910</w:t>
            </w:r>
          </w:p>
        </w:tc>
        <w:tc>
          <w:tcPr>
            <w:tcW w:w="16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80" w:type="dxa"/>
            <w:vAlign w:val="bottom"/>
            <w:shd w:val="clear" w:color="auto" w:fill="CCEEFF"/>
          </w:tcPr>
          <w:p>
            <w:pPr>
              <w:spacing w:after="0"/>
              <w:rPr>
                <w:sz w:val="20"/>
                <w:szCs w:val="20"/>
                <w:color w:val="auto"/>
              </w:rPr>
            </w:pPr>
          </w:p>
        </w:tc>
      </w:tr>
      <w:tr>
        <w:trPr>
          <w:trHeight w:val="184"/>
        </w:trPr>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4"/>
              </w:rPr>
              <w:t>2)</w:t>
            </w:r>
          </w:p>
        </w:tc>
        <w:tc>
          <w:tcPr>
            <w:tcW w:w="68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95"/>
        </w:trPr>
        <w:tc>
          <w:tcPr>
            <w:tcW w:w="180" w:type="dxa"/>
            <w:vAlign w:val="bottom"/>
            <w:shd w:val="clear" w:color="auto" w:fill="CCEEFF"/>
          </w:tcPr>
          <w:p>
            <w:pPr>
              <w:spacing w:after="0"/>
              <w:rPr>
                <w:sz w:val="16"/>
                <w:szCs w:val="16"/>
                <w:color w:val="auto"/>
              </w:rPr>
            </w:pPr>
          </w:p>
        </w:tc>
        <w:tc>
          <w:tcPr>
            <w:tcW w:w="6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expenses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705</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560</w:t>
            </w:r>
          </w:p>
        </w:tc>
      </w:tr>
      <w:tr>
        <w:trPr>
          <w:trHeight w:val="195"/>
        </w:trPr>
        <w:tc>
          <w:tcPr>
            <w:tcW w:w="180" w:type="dxa"/>
            <w:vAlign w:val="bottom"/>
          </w:tcPr>
          <w:p>
            <w:pPr>
              <w:spacing w:after="0"/>
              <w:rPr>
                <w:sz w:val="16"/>
                <w:szCs w:val="16"/>
                <w:color w:val="auto"/>
              </w:rPr>
            </w:pPr>
          </w:p>
        </w:tc>
        <w:tc>
          <w:tcPr>
            <w:tcW w:w="6880" w:type="dxa"/>
            <w:vAlign w:val="bottom"/>
          </w:tcPr>
          <w:p>
            <w:pPr>
              <w:ind w:left="60"/>
              <w:spacing w:after="0"/>
              <w:rPr>
                <w:sz w:val="20"/>
                <w:szCs w:val="20"/>
                <w:color w:val="auto"/>
              </w:rPr>
            </w:pPr>
            <w:r>
              <w:rPr>
                <w:rFonts w:ascii="Arial" w:cs="Arial" w:eastAsia="Arial" w:hAnsi="Arial"/>
                <w:sz w:val="16"/>
                <w:szCs w:val="16"/>
                <w:color w:val="auto"/>
              </w:rPr>
              <w:t>Accrual for vacation and recreation pay</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c>
          <w:tcPr>
            <w:tcW w:w="1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186</w:t>
            </w:r>
          </w:p>
        </w:tc>
      </w:tr>
      <w:tr>
        <w:trPr>
          <w:trHeight w:val="195"/>
        </w:trPr>
        <w:tc>
          <w:tcPr>
            <w:tcW w:w="180" w:type="dxa"/>
            <w:vAlign w:val="bottom"/>
            <w:shd w:val="clear" w:color="auto" w:fill="CCEEFF"/>
          </w:tcPr>
          <w:p>
            <w:pPr>
              <w:spacing w:after="0"/>
              <w:rPr>
                <w:sz w:val="16"/>
                <w:szCs w:val="16"/>
                <w:color w:val="auto"/>
              </w:rPr>
            </w:pPr>
          </w:p>
        </w:tc>
        <w:tc>
          <w:tcPr>
            <w:tcW w:w="6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Payroll and related expenses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217</w:t>
            </w:r>
          </w:p>
        </w:tc>
      </w:tr>
      <w:tr>
        <w:trPr>
          <w:trHeight w:val="199"/>
        </w:trPr>
        <w:tc>
          <w:tcPr>
            <w:tcW w:w="180" w:type="dxa"/>
            <w:vAlign w:val="bottom"/>
          </w:tcPr>
          <w:p>
            <w:pPr>
              <w:spacing w:after="0"/>
              <w:rPr>
                <w:sz w:val="17"/>
                <w:szCs w:val="17"/>
                <w:color w:val="auto"/>
              </w:rPr>
            </w:pPr>
          </w:p>
        </w:tc>
        <w:tc>
          <w:tcPr>
            <w:tcW w:w="6880" w:type="dxa"/>
            <w:vAlign w:val="bottom"/>
          </w:tcPr>
          <w:p>
            <w:pPr>
              <w:ind w:left="6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r>
      <w:tr>
        <w:trPr>
          <w:trHeight w:val="235"/>
        </w:trPr>
        <w:tc>
          <w:tcPr>
            <w:tcW w:w="180" w:type="dxa"/>
            <w:vAlign w:val="bottom"/>
            <w:tcBorders>
              <w:bottom w:val="single" w:sz="8" w:color="CCEEFF"/>
            </w:tcBorders>
            <w:shd w:val="clear" w:color="auto" w:fill="CCEEFF"/>
          </w:tcPr>
          <w:p>
            <w:pPr>
              <w:spacing w:after="0"/>
              <w:rPr>
                <w:sz w:val="20"/>
                <w:szCs w:val="20"/>
                <w:color w:val="auto"/>
              </w:rPr>
            </w:pPr>
          </w:p>
        </w:tc>
        <w:tc>
          <w:tcPr>
            <w:tcW w:w="68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carrying amounts of accounts payable and accruals approximate their fair value, as the effect of discounting is not material.</w:t>
      </w:r>
    </w:p>
    <w:p>
      <w:pPr>
        <w:spacing w:after="0" w:line="36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15 – SUPPLEMENTARY FINANCIAL STATEMENT INFORMATION </w:t>
      </w:r>
      <w:r>
        <w:rPr>
          <w:rFonts w:ascii="Arial" w:cs="Arial" w:eastAsia="Arial" w:hAnsi="Arial"/>
          <w:sz w:val="16"/>
          <w:szCs w:val="16"/>
          <w:color w:val="auto"/>
        </w:rPr>
        <w:t>(cont.)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Pr>
          <w:p>
            <w:pPr>
              <w:ind w:left="800"/>
              <w:spacing w:after="0"/>
              <w:rPr>
                <w:sz w:val="20"/>
                <w:szCs w:val="20"/>
                <w:color w:val="auto"/>
              </w:rPr>
            </w:pPr>
            <w:r>
              <w:rPr>
                <w:rFonts w:ascii="Arial" w:cs="Arial" w:eastAsia="Arial" w:hAnsi="Arial"/>
                <w:sz w:val="16"/>
                <w:szCs w:val="16"/>
                <w:b w:val="1"/>
                <w:bCs w:val="1"/>
                <w:color w:val="auto"/>
              </w:rPr>
              <w:t>d.</w:t>
            </w:r>
          </w:p>
        </w:tc>
        <w:tc>
          <w:tcPr>
            <w:tcW w:w="3760" w:type="dxa"/>
            <w:vAlign w:val="bottom"/>
          </w:tcPr>
          <w:p>
            <w:pPr>
              <w:spacing w:after="0"/>
              <w:rPr>
                <w:sz w:val="20"/>
                <w:szCs w:val="20"/>
                <w:color w:val="auto"/>
              </w:rPr>
            </w:pPr>
            <w:r>
              <w:rPr>
                <w:rFonts w:ascii="Arial" w:cs="Arial" w:eastAsia="Arial" w:hAnsi="Arial"/>
                <w:sz w:val="16"/>
                <w:szCs w:val="16"/>
                <w:b w:val="1"/>
                <w:bCs w:val="1"/>
                <w:color w:val="auto"/>
              </w:rPr>
              <w:t>Research and development expenses</w:t>
            </w: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6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In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5"/>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services</w:t>
            </w:r>
          </w:p>
        </w:tc>
        <w:tc>
          <w:tcPr>
            <w:tcW w:w="2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6,050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5,455</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Payroll and related expenses, including vehicles</w:t>
            </w:r>
          </w:p>
        </w:tc>
        <w:tc>
          <w:tcPr>
            <w:tcW w:w="3320" w:type="dxa"/>
            <w:vAlign w:val="bottom"/>
            <w:gridSpan w:val="3"/>
          </w:tcPr>
          <w:p>
            <w:pPr>
              <w:jc w:val="right"/>
              <w:ind w:right="119"/>
              <w:spacing w:after="0"/>
              <w:rPr>
                <w:sz w:val="20"/>
                <w:szCs w:val="20"/>
                <w:color w:val="auto"/>
              </w:rPr>
            </w:pPr>
            <w:r>
              <w:rPr>
                <w:rFonts w:ascii="Arial" w:cs="Arial" w:eastAsia="Arial" w:hAnsi="Arial"/>
                <w:sz w:val="16"/>
                <w:szCs w:val="16"/>
                <w:color w:val="auto"/>
              </w:rPr>
              <w:t>3,771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3,754</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3,475</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Lab, occupancy and telephone</w:t>
            </w:r>
          </w:p>
        </w:tc>
        <w:tc>
          <w:tcPr>
            <w:tcW w:w="33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940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926</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Professional fees</w:t>
            </w:r>
          </w:p>
        </w:tc>
        <w:tc>
          <w:tcPr>
            <w:tcW w:w="3320" w:type="dxa"/>
            <w:vAlign w:val="bottom"/>
            <w:gridSpan w:val="3"/>
          </w:tcPr>
          <w:p>
            <w:pPr>
              <w:jc w:val="right"/>
              <w:ind w:right="119"/>
              <w:spacing w:after="0"/>
              <w:rPr>
                <w:sz w:val="20"/>
                <w:szCs w:val="20"/>
                <w:color w:val="auto"/>
              </w:rPr>
            </w:pPr>
            <w:r>
              <w:rPr>
                <w:rFonts w:ascii="Arial" w:cs="Arial" w:eastAsia="Arial" w:hAnsi="Arial"/>
                <w:sz w:val="16"/>
                <w:szCs w:val="16"/>
                <w:color w:val="auto"/>
              </w:rPr>
              <w:t>682</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772</w:t>
            </w:r>
          </w:p>
        </w:tc>
        <w:tc>
          <w:tcPr>
            <w:tcW w:w="2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678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3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253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414</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Write-off of intellectual property</w:t>
            </w:r>
          </w:p>
        </w:tc>
        <w:tc>
          <w:tcPr>
            <w:tcW w:w="3320" w:type="dxa"/>
            <w:vAlign w:val="bottom"/>
            <w:gridSpan w:val="3"/>
          </w:tcPr>
          <w:p>
            <w:pPr>
              <w:jc w:val="right"/>
              <w:ind w:right="119"/>
              <w:spacing w:after="0"/>
              <w:rPr>
                <w:sz w:val="20"/>
                <w:szCs w:val="20"/>
                <w:color w:val="auto"/>
              </w:rPr>
            </w:pPr>
            <w:r>
              <w:rPr>
                <w:rFonts w:ascii="Arial" w:cs="Arial" w:eastAsia="Arial" w:hAnsi="Arial"/>
                <w:sz w:val="16"/>
                <w:szCs w:val="16"/>
                <w:color w:val="auto"/>
              </w:rPr>
              <w:t>97</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168</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11,866</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11,489</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11,177</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e.</w:t>
            </w:r>
          </w:p>
        </w:tc>
        <w:tc>
          <w:tcPr>
            <w:tcW w:w="3760" w:type="dxa"/>
            <w:vAlign w:val="bottom"/>
            <w:vMerge w:val="restart"/>
          </w:tcPr>
          <w:p>
            <w:pPr>
              <w:spacing w:after="0"/>
              <w:rPr>
                <w:sz w:val="20"/>
                <w:szCs w:val="20"/>
                <w:color w:val="auto"/>
              </w:rPr>
            </w:pPr>
            <w:r>
              <w:rPr>
                <w:rFonts w:ascii="Arial" w:cs="Arial" w:eastAsia="Arial" w:hAnsi="Arial"/>
                <w:sz w:val="16"/>
                <w:szCs w:val="16"/>
                <w:b w:val="1"/>
                <w:bCs w:val="1"/>
                <w:color w:val="auto"/>
              </w:rPr>
              <w:t>Sales and marketing expenses</w:t>
            </w:r>
          </w:p>
        </w:tc>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14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6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In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5"/>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Payroll and related expenses, including vehicles</w:t>
            </w:r>
          </w:p>
        </w:tc>
        <w:tc>
          <w:tcPr>
            <w:tcW w:w="2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668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Marketing</w:t>
            </w:r>
          </w:p>
        </w:tc>
        <w:tc>
          <w:tcPr>
            <w:tcW w:w="3320" w:type="dxa"/>
            <w:vAlign w:val="bottom"/>
            <w:gridSpan w:val="3"/>
          </w:tcPr>
          <w:p>
            <w:pPr>
              <w:jc w:val="right"/>
              <w:ind w:right="119"/>
              <w:spacing w:after="0"/>
              <w:rPr>
                <w:sz w:val="20"/>
                <w:szCs w:val="20"/>
                <w:color w:val="auto"/>
              </w:rPr>
            </w:pPr>
            <w:r>
              <w:rPr>
                <w:rFonts w:ascii="Arial" w:cs="Arial" w:eastAsia="Arial" w:hAnsi="Arial"/>
                <w:sz w:val="16"/>
                <w:szCs w:val="16"/>
                <w:color w:val="auto"/>
              </w:rPr>
              <w:t>799</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243</w:t>
            </w:r>
          </w:p>
        </w:tc>
        <w:tc>
          <w:tcPr>
            <w:tcW w:w="2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Overseas travel</w:t>
            </w:r>
          </w:p>
        </w:tc>
        <w:tc>
          <w:tcPr>
            <w:tcW w:w="2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122</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1,589</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1,003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1,352</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320" w:type="dxa"/>
            <w:vAlign w:val="bottom"/>
            <w:gridSpan w:val="3"/>
          </w:tcPr>
          <w:p>
            <w:pPr>
              <w:jc w:val="right"/>
              <w:ind w:right="2239"/>
              <w:spacing w:after="0"/>
              <w:rPr>
                <w:sz w:val="20"/>
                <w:szCs w:val="20"/>
                <w:color w:val="auto"/>
              </w:rPr>
            </w:pPr>
            <w:r>
              <w:rPr>
                <w:rFonts w:ascii="Arial" w:cs="Arial" w:eastAsia="Arial" w:hAnsi="Arial"/>
                <w:sz w:val="16"/>
                <w:szCs w:val="16"/>
                <w:color w:val="auto"/>
              </w:rPr>
              <w:t>F - 39</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7" w:right="2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15 – SUPPLEMENTARY FINANCIAL STATEMENT INFORMATION </w:t>
      </w:r>
      <w:r>
        <w:rPr>
          <w:rFonts w:ascii="Arial" w:cs="Arial" w:eastAsia="Arial" w:hAnsi="Arial"/>
          <w:sz w:val="16"/>
          <w:szCs w:val="16"/>
          <w:color w:val="auto"/>
        </w:rPr>
        <w:t>(cont.)</w:t>
      </w:r>
    </w:p>
    <w:p>
      <w:pPr>
        <w:spacing w:after="0" w:line="206" w:lineRule="exact"/>
        <w:rPr>
          <w:sz w:val="20"/>
          <w:szCs w:val="20"/>
          <w:color w:val="auto"/>
        </w:rPr>
      </w:pPr>
    </w:p>
    <w:p>
      <w:pPr>
        <w:ind w:left="1140" w:hanging="339"/>
        <w:spacing w:after="0"/>
        <w:tabs>
          <w:tab w:leader="none" w:pos="114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General and administrative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6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In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5"/>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Payroll and related expenses, including vehicles</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2,003</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Professional fees</w:t>
            </w:r>
          </w:p>
        </w:tc>
        <w:tc>
          <w:tcPr>
            <w:tcW w:w="940" w:type="dxa"/>
            <w:vAlign w:val="bottom"/>
          </w:tcPr>
          <w:p>
            <w:pPr>
              <w:jc w:val="right"/>
              <w:spacing w:after="0"/>
              <w:rPr>
                <w:sz w:val="20"/>
                <w:szCs w:val="20"/>
                <w:color w:val="auto"/>
              </w:rPr>
            </w:pPr>
            <w:r>
              <w:rPr>
                <w:rFonts w:ascii="Arial" w:cs="Arial" w:eastAsia="Arial" w:hAnsi="Arial"/>
                <w:sz w:val="16"/>
                <w:szCs w:val="16"/>
                <w:color w:val="auto"/>
              </w:rPr>
              <w:t>884</w:t>
            </w: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1,053</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1,144</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Insurance</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Depreciation</w:t>
            </w: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466</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3,800</w:t>
            </w: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3,704</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3,984</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g.</w:t>
            </w:r>
          </w:p>
        </w:tc>
        <w:tc>
          <w:tcPr>
            <w:tcW w:w="5960" w:type="dxa"/>
            <w:vAlign w:val="bottom"/>
            <w:vMerge w:val="restart"/>
          </w:tcPr>
          <w:p>
            <w:pPr>
              <w:spacing w:after="0"/>
              <w:rPr>
                <w:sz w:val="20"/>
                <w:szCs w:val="20"/>
                <w:color w:val="auto"/>
              </w:rPr>
            </w:pPr>
            <w:r>
              <w:rPr>
                <w:rFonts w:ascii="Arial" w:cs="Arial" w:eastAsia="Arial" w:hAnsi="Arial"/>
                <w:sz w:val="16"/>
                <w:szCs w:val="16"/>
                <w:b w:val="1"/>
                <w:bCs w:val="1"/>
                <w:color w:val="auto"/>
              </w:rPr>
              <w:t>Non-operating income, net</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140" w:type="dxa"/>
            <w:vAlign w:val="bottom"/>
            <w:vMerge w:val="continue"/>
          </w:tcPr>
          <w:p>
            <w:pPr>
              <w:spacing w:after="0"/>
              <w:rPr>
                <w:sz w:val="24"/>
                <w:szCs w:val="24"/>
                <w:color w:val="auto"/>
              </w:rPr>
            </w:pPr>
          </w:p>
        </w:tc>
        <w:tc>
          <w:tcPr>
            <w:tcW w:w="5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6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In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5"/>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Changes in fair value of warrants</w:t>
            </w:r>
          </w:p>
        </w:tc>
        <w:tc>
          <w:tcPr>
            <w:tcW w:w="940" w:type="dxa"/>
            <w:vAlign w:val="bottom"/>
          </w:tcPr>
          <w:p>
            <w:pPr>
              <w:jc w:val="right"/>
              <w:spacing w:after="0"/>
              <w:rPr>
                <w:sz w:val="20"/>
                <w:szCs w:val="20"/>
                <w:color w:val="auto"/>
              </w:rPr>
            </w:pPr>
            <w:r>
              <w:rPr>
                <w:rFonts w:ascii="Arial" w:cs="Arial" w:eastAsia="Arial" w:hAnsi="Arial"/>
                <w:sz w:val="16"/>
                <w:szCs w:val="16"/>
                <w:color w:val="auto"/>
              </w:rPr>
              <w:t>3,454</w:t>
            </w: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1,292</w:t>
            </w:r>
          </w:p>
        </w:tc>
        <w:tc>
          <w:tcPr>
            <w:tcW w:w="2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207</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Cost reimbursement related to prior year</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153</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Initial commitment and finder’s fees associated with LPC agreement</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(290)</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3,061</w:t>
            </w: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1,445</w:t>
            </w:r>
          </w:p>
        </w:tc>
        <w:tc>
          <w:tcPr>
            <w:tcW w:w="26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214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800"/>
              <w:spacing w:after="0"/>
              <w:rPr>
                <w:sz w:val="20"/>
                <w:szCs w:val="20"/>
                <w:color w:val="auto"/>
              </w:rPr>
            </w:pPr>
            <w:r>
              <w:rPr>
                <w:rFonts w:ascii="Arial" w:cs="Arial" w:eastAsia="Arial" w:hAnsi="Arial"/>
                <w:sz w:val="16"/>
                <w:szCs w:val="16"/>
                <w:b w:val="1"/>
                <w:bCs w:val="1"/>
                <w:color w:val="auto"/>
              </w:rPr>
              <w:t>h.</w:t>
            </w:r>
          </w:p>
        </w:tc>
        <w:tc>
          <w:tcPr>
            <w:tcW w:w="5960" w:type="dxa"/>
            <w:vAlign w:val="bottom"/>
            <w:vMerge w:val="restart"/>
          </w:tcPr>
          <w:p>
            <w:pPr>
              <w:spacing w:after="0"/>
              <w:rPr>
                <w:sz w:val="20"/>
                <w:szCs w:val="20"/>
                <w:color w:val="auto"/>
              </w:rPr>
            </w:pPr>
            <w:r>
              <w:rPr>
                <w:rFonts w:ascii="Arial" w:cs="Arial" w:eastAsia="Arial" w:hAnsi="Arial"/>
                <w:sz w:val="16"/>
                <w:szCs w:val="16"/>
                <w:b w:val="1"/>
                <w:bCs w:val="1"/>
                <w:color w:val="auto"/>
              </w:rPr>
              <w:t>Financial income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0" w:type="dxa"/>
            <w:vAlign w:val="bottom"/>
            <w:vMerge w:val="continue"/>
          </w:tcPr>
          <w:p>
            <w:pPr>
              <w:spacing w:after="0"/>
              <w:rPr>
                <w:sz w:val="24"/>
                <w:szCs w:val="24"/>
                <w:color w:val="auto"/>
              </w:rPr>
            </w:pPr>
          </w:p>
        </w:tc>
        <w:tc>
          <w:tcPr>
            <w:tcW w:w="5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6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In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5"/>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Income from interest and exchange differences on deposits</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457</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tcPr>
          <w:p>
            <w:pPr>
              <w:ind w:left="800"/>
              <w:spacing w:after="0"/>
              <w:rPr>
                <w:sz w:val="20"/>
                <w:szCs w:val="20"/>
                <w:color w:val="auto"/>
              </w:rPr>
            </w:pPr>
            <w:r>
              <w:rPr>
                <w:rFonts w:ascii="Arial" w:cs="Arial" w:eastAsia="Arial" w:hAnsi="Arial"/>
                <w:sz w:val="16"/>
                <w:szCs w:val="16"/>
                <w:b w:val="1"/>
                <w:bCs w:val="1"/>
                <w:color w:val="auto"/>
              </w:rPr>
              <w:t>i.</w:t>
            </w:r>
          </w:p>
        </w:tc>
        <w:tc>
          <w:tcPr>
            <w:tcW w:w="59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Financial expenses</w:t>
            </w: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6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In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5"/>
              </w:rPr>
              <w:t>USD thousands</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differences</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91</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Bank commissions</w:t>
            </w: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8"/>
        </w:trPr>
        <w:tc>
          <w:tcPr>
            <w:tcW w:w="1140" w:type="dxa"/>
            <w:vAlign w:val="bottom"/>
          </w:tcPr>
          <w:p>
            <w:pPr>
              <w:spacing w:after="0"/>
              <w:rPr>
                <w:sz w:val="24"/>
                <w:szCs w:val="24"/>
                <w:color w:val="auto"/>
              </w:rPr>
            </w:pPr>
          </w:p>
        </w:tc>
        <w:tc>
          <w:tcPr>
            <w:tcW w:w="5960" w:type="dxa"/>
            <w:vAlign w:val="bottom"/>
            <w:tcBorders>
              <w:top w:val="single" w:sz="8" w:color="CCEEFF"/>
            </w:tcBorders>
          </w:tcPr>
          <w:p>
            <w:pPr>
              <w:ind w:left="4380"/>
              <w:spacing w:after="0"/>
              <w:rPr>
                <w:sz w:val="20"/>
                <w:szCs w:val="20"/>
                <w:color w:val="auto"/>
              </w:rPr>
            </w:pPr>
            <w:r>
              <w:rPr>
                <w:rFonts w:ascii="Arial" w:cs="Arial" w:eastAsia="Arial" w:hAnsi="Arial"/>
                <w:sz w:val="16"/>
                <w:szCs w:val="16"/>
                <w:color w:val="auto"/>
              </w:rPr>
              <w:t>F - 40</w:t>
            </w: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40" w:type="dxa"/>
            <w:vAlign w:val="bottom"/>
            <w:tcBorders>
              <w:bottom w:val="single" w:sz="8" w:color="auto"/>
            </w:tcBorders>
          </w:tcPr>
          <w:p>
            <w:pPr>
              <w:spacing w:after="0"/>
              <w:rPr>
                <w:sz w:val="4"/>
                <w:szCs w:val="4"/>
                <w:color w:val="auto"/>
              </w:rPr>
            </w:pPr>
          </w:p>
        </w:tc>
        <w:tc>
          <w:tcPr>
            <w:tcW w:w="59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7" w:right="21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t>NOTE 16 – STRATEGIC COLLABORATION AGREEMENT WITH NOVARTIS</w:t>
      </w:r>
    </w:p>
    <w:p>
      <w:pPr>
        <w:spacing w:after="0" w:line="206" w:lineRule="exact"/>
        <w:rPr>
          <w:sz w:val="20"/>
          <w:szCs w:val="20"/>
          <w:color w:val="auto"/>
        </w:rPr>
      </w:pPr>
    </w:p>
    <w:p>
      <w:pPr>
        <w:jc w:val="both"/>
        <w:ind w:left="940" w:right="20"/>
        <w:spacing w:after="0" w:line="263" w:lineRule="auto"/>
        <w:rPr>
          <w:sz w:val="20"/>
          <w:szCs w:val="20"/>
          <w:color w:val="auto"/>
        </w:rPr>
      </w:pPr>
      <w:r>
        <w:rPr>
          <w:rFonts w:ascii="Arial" w:cs="Arial" w:eastAsia="Arial" w:hAnsi="Arial"/>
          <w:sz w:val="16"/>
          <w:szCs w:val="16"/>
          <w:color w:val="auto"/>
        </w:rPr>
        <w:t>In December 2014, the Company entered into a multi-year strategic collaboration agreement with Novartis Pharma AG (“Novartis”) designed to facilitate development and commercialization of Israeli-sourced drug candidates. Novartis will evaluate projects identified and presented by the Company for co-development and future licensing under the collaboration. The parties intend to co-develop a number of pre-clinical and clinical therapeutic projects up to clinical proof of concept.</w:t>
      </w:r>
    </w:p>
    <w:p>
      <w:pPr>
        <w:spacing w:after="0" w:line="168" w:lineRule="exact"/>
        <w:rPr>
          <w:sz w:val="20"/>
          <w:szCs w:val="20"/>
          <w:color w:val="auto"/>
        </w:rPr>
      </w:pPr>
    </w:p>
    <w:p>
      <w:pPr>
        <w:jc w:val="both"/>
        <w:ind w:left="940" w:right="20"/>
        <w:spacing w:after="0" w:line="277" w:lineRule="auto"/>
        <w:rPr>
          <w:sz w:val="20"/>
          <w:szCs w:val="20"/>
          <w:color w:val="auto"/>
        </w:rPr>
      </w:pPr>
      <w:r>
        <w:rPr>
          <w:rFonts w:ascii="Arial" w:cs="Arial" w:eastAsia="Arial" w:hAnsi="Arial"/>
          <w:sz w:val="15"/>
          <w:szCs w:val="15"/>
          <w:color w:val="auto"/>
        </w:rPr>
        <w:t>Under the terms of the agreement, Novartis acquired an initial 5,000,000 of the Company’s ADSs, representing 12.8% of the Company’s then outstanding share capital, in a private transaction at a price of $2.00 per ADS, for a total equity investment of $10 million. Novartis will not have any governance rights and has agreed to certain standstill provisions. Novartis and the Company will jointly evaluate both clinical and pre-clinical stage projects presented by the Company via a Joint Steering Committee, which will determine which projects to advance further in development and on what terms. Projects at or reaching the clinical stage will be eligible for selection by Novartis. Upon selection of a project, Novartis will pay the Company an option fee of $5 million, as well as fund 50% of the anticipated remaining development costs associated with establishing clinical proof-of-concept, in the form of an additional equity investment in the Company. Novartis will have an exclusive right of first negotiation to license from the Company each selected project upon establishment of clinical proof-of-concept. The companies intend to develop up to three programs through clinical proof-of-concept pursuant to this collaboration.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NOTE 17 – AGREEMENT WITH OMEGA PHARMA</w:t>
      </w:r>
    </w:p>
    <w:p>
      <w:pPr>
        <w:spacing w:after="0" w:line="206" w:lineRule="exact"/>
        <w:rPr>
          <w:sz w:val="20"/>
          <w:szCs w:val="20"/>
          <w:color w:val="auto"/>
        </w:rPr>
      </w:pPr>
    </w:p>
    <w:p>
      <w:pPr>
        <w:jc w:val="both"/>
        <w:ind w:left="940"/>
        <w:spacing w:after="0" w:line="277" w:lineRule="auto"/>
        <w:rPr>
          <w:sz w:val="20"/>
          <w:szCs w:val="20"/>
          <w:color w:val="auto"/>
        </w:rPr>
      </w:pPr>
      <w:r>
        <w:rPr>
          <w:rFonts w:ascii="Arial" w:cs="Arial" w:eastAsia="Arial" w:hAnsi="Arial"/>
          <w:sz w:val="15"/>
          <w:szCs w:val="15"/>
          <w:color w:val="auto"/>
        </w:rPr>
        <w:t>In December 2014, the Company entered into an exclusive out-licensing arrangement with a subsidiary of Omega Pharma NV (“Omega Pharma”) for the rights to BL-5010 for OTC indications in the territory of Europe, Australia and additional selected countries. The Company will retain the OTC rights to BL-5010 in the United States and the rest of the world, as well as the non-OTC rights on a global basis. Under the out-licensing arrangement with Omega Pharma, Omega Pharma is obligated to use commercially reasonable best efforts to obtain regulatory approval in the licensed territory for at least two OTC indications and to commercialize BL-5010 for those two OTC indications. In addition, Omega Pharma will sponsor and manufacture BL-5010 in the relevant regions. Omega Pharma will pay the Company an agreed amount for each unit sold, and the Company will be entitled to certain commercial milestone payments. In addition, the Company will have full access to all clinical and development data generated during the performance of the development plan and may use these data in order to develop or license the product in other territories and fields of use where the Company retains the rights.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TO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NOTE 18 – EVENT SUBSEQUENT TO THE BALANCE SHEET DATE</w:t>
      </w:r>
    </w:p>
    <w:p>
      <w:pPr>
        <w:spacing w:after="0" w:line="206" w:lineRule="exact"/>
        <w:rPr>
          <w:sz w:val="20"/>
          <w:szCs w:val="20"/>
          <w:color w:val="auto"/>
        </w:rPr>
      </w:pPr>
    </w:p>
    <w:p>
      <w:pPr>
        <w:jc w:val="both"/>
        <w:ind w:left="920"/>
        <w:spacing w:after="0" w:line="261" w:lineRule="auto"/>
        <w:rPr>
          <w:sz w:val="20"/>
          <w:szCs w:val="20"/>
          <w:color w:val="auto"/>
        </w:rPr>
      </w:pPr>
      <w:r>
        <w:rPr>
          <w:rFonts w:ascii="Arial" w:cs="Arial" w:eastAsia="Arial" w:hAnsi="Arial"/>
          <w:sz w:val="16"/>
          <w:szCs w:val="16"/>
          <w:color w:val="auto"/>
        </w:rPr>
        <w:t>In March 2017, the Company acquired substantially all the outstanding shares of Agalimmune for initial consideration of $5.85 million, of which $2.85 million is in cash and the remainder in the Company’s ADSs. Additional consideration may be due to Agalimmune shareholders based on certain development and commercial milestones, including future sales of Agalimmune products. The acquisition expands the Company’s pipeline with a number of assets, including Agalimmune’s primary asset, AGI-134, a novel immuno-oncology agent for various cancer indications at the near-clinical stage of development. Agalimmune also has a number of early-stage preclinical assets for future evaluation by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725995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153670</wp:posOffset>
            </wp:positionV>
            <wp:extent cx="7259955" cy="311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197485</wp:posOffset>
            </wp:positionV>
            <wp:extent cx="72599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140970</wp:posOffset>
            </wp:positionV>
            <wp:extent cx="3726815" cy="873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
        <w:spacing w:after="0"/>
        <w:rPr>
          <w:sz w:val="20"/>
          <w:szCs w:val="20"/>
          <w:color w:val="auto"/>
        </w:rPr>
      </w:pPr>
      <w:r>
        <w:rPr>
          <w:rFonts w:ascii="Arial" w:cs="Arial" w:eastAsia="Arial" w:hAnsi="Arial"/>
          <w:sz w:val="14"/>
          <w:szCs w:val="14"/>
          <w:b w:val="1"/>
          <w:bCs w:val="1"/>
          <w:u w:val="single" w:color="auto"/>
          <w:color w:val="auto"/>
        </w:rPr>
        <w:t>Employment Agreement</w:t>
      </w:r>
    </w:p>
    <w:p>
      <w:pPr>
        <w:sectPr>
          <w:pgSz w:w="11900" w:h="16838" w:orient="portrait"/>
          <w:cols w:equalWidth="0" w:num="1">
            <w:col w:w="11443"/>
          </w:cols>
          <w:pgMar w:left="237" w:top="391" w:right="219" w:bottom="1440" w:gutter="0" w:footer="0" w:header="0"/>
        </w:sectPr>
      </w:pPr>
    </w:p>
    <w:p>
      <w:pPr>
        <w:spacing w:after="0" w:line="253" w:lineRule="exact"/>
        <w:rPr>
          <w:sz w:val="20"/>
          <w:szCs w:val="20"/>
          <w:color w:val="auto"/>
        </w:rPr>
      </w:pPr>
    </w:p>
    <w:p>
      <w:pPr>
        <w:jc w:val="both"/>
        <w:ind w:left="3"/>
        <w:spacing w:after="0" w:line="271" w:lineRule="auto"/>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on this 24 day of May, 2009 by and between State of Israel, with its offices at 19 Hartum Street, P.O. Box 45158, Jerusalem 91450, Israel (“</w:t>
      </w:r>
      <w:r>
        <w:rPr>
          <w:rFonts w:ascii="Arial" w:cs="Arial" w:eastAsia="Arial" w:hAnsi="Arial"/>
          <w:sz w:val="16"/>
          <w:szCs w:val="16"/>
          <w:b w:val="1"/>
          <w:bCs w:val="1"/>
          <w:color w:val="auto"/>
        </w:rPr>
        <w:t>BioLine</w:t>
      </w:r>
      <w:r>
        <w:rPr>
          <w:rFonts w:ascii="Arial" w:cs="Arial" w:eastAsia="Arial" w:hAnsi="Arial"/>
          <w:sz w:val="16"/>
          <w:szCs w:val="16"/>
          <w:color w:val="auto"/>
        </w:rPr>
        <w:t>”), and Hachazav Street, Bet Shemesh (the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right="20" w:firstLine="34"/>
        <w:spacing w:after="0" w:line="324" w:lineRule="auto"/>
        <w:rPr>
          <w:sz w:val="20"/>
          <w:szCs w:val="20"/>
          <w:color w:val="auto"/>
        </w:rPr>
      </w:pPr>
      <w:r>
        <w:rPr>
          <w:rFonts w:ascii="Arial" w:cs="Arial" w:eastAsia="Arial" w:hAnsi="Arial"/>
          <w:sz w:val="15"/>
          <w:szCs w:val="15"/>
          <w:b w:val="1"/>
          <w:bCs w:val="1"/>
          <w:color w:val="auto"/>
        </w:rPr>
        <w:t>BioLineRx Ltd.</w:t>
      </w:r>
      <w:r>
        <w:rPr>
          <w:rFonts w:ascii="Arial" w:cs="Arial" w:eastAsia="Arial" w:hAnsi="Arial"/>
          <w:sz w:val="15"/>
          <w:szCs w:val="15"/>
          <w:color w:val="auto"/>
        </w:rPr>
        <w:t>, a company organized under the laws of the</w:t>
      </w:r>
      <w:r>
        <w:rPr>
          <w:rFonts w:ascii="Arial" w:cs="Arial" w:eastAsia="Arial" w:hAnsi="Arial"/>
          <w:sz w:val="15"/>
          <w:szCs w:val="15"/>
          <w:b w:val="1"/>
          <w:bCs w:val="1"/>
          <w:color w:val="auto"/>
        </w:rPr>
        <w:t xml:space="preserve"> Phillip Serlin</w:t>
      </w:r>
      <w:r>
        <w:rPr>
          <w:rFonts w:ascii="Arial" w:cs="Arial" w:eastAsia="Arial" w:hAnsi="Arial"/>
          <w:sz w:val="15"/>
          <w:szCs w:val="15"/>
          <w:color w:val="auto"/>
        </w:rPr>
        <w:t>, I.D. Number 310550157 with an address at 11</w:t>
      </w:r>
    </w:p>
    <w:p>
      <w:pPr>
        <w:spacing w:after="0" w:line="341" w:lineRule="exact"/>
        <w:rPr>
          <w:sz w:val="20"/>
          <w:szCs w:val="20"/>
          <w:color w:val="auto"/>
        </w:rPr>
      </w:pPr>
    </w:p>
    <w:p>
      <w:pPr>
        <w:sectPr>
          <w:pgSz w:w="11900" w:h="16838" w:orient="portrait"/>
          <w:cols w:equalWidth="0" w:num="2">
            <w:col w:w="7323" w:space="20"/>
            <w:col w:w="4100"/>
          </w:cols>
          <w:pgMar w:left="237" w:top="391" w:right="21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WHEREAS, BioLine desires to employ the Employee and the Employee desires to enter into such employment, on the terms and conditions hereinafter set forth.</w:t>
      </w:r>
    </w:p>
    <w:p>
      <w:pPr>
        <w:spacing w:after="0" w:line="230" w:lineRule="exact"/>
        <w:rPr>
          <w:sz w:val="20"/>
          <w:szCs w:val="20"/>
          <w:color w:val="auto"/>
        </w:rPr>
      </w:pPr>
    </w:p>
    <w:p>
      <w:pPr>
        <w:ind w:left="3"/>
        <w:spacing w:after="0"/>
        <w:rPr>
          <w:sz w:val="20"/>
          <w:szCs w:val="20"/>
          <w:color w:val="auto"/>
        </w:rPr>
      </w:pPr>
      <w:r>
        <w:rPr>
          <w:rFonts w:ascii="Arial" w:cs="Arial" w:eastAsia="Arial" w:hAnsi="Arial"/>
          <w:sz w:val="16"/>
          <w:szCs w:val="16"/>
          <w:color w:val="auto"/>
        </w:rPr>
        <w:t>NOW THEREFORE, in consideration of the mutual covenants and conditions hereinafter set forth, the parties agree as follows:</w:t>
      </w:r>
    </w:p>
    <w:p>
      <w:pPr>
        <w:spacing w:after="0" w:line="226" w:lineRule="exact"/>
        <w:rPr>
          <w:sz w:val="20"/>
          <w:szCs w:val="20"/>
          <w:color w:val="auto"/>
        </w:rPr>
      </w:pPr>
    </w:p>
    <w:p>
      <w:pPr>
        <w:ind w:left="283" w:hanging="283"/>
        <w:spacing w:after="0"/>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Employment</w:t>
      </w:r>
      <w:r>
        <w:rPr>
          <w:rFonts w:ascii="Arial" w:cs="Arial" w:eastAsia="Arial" w:hAnsi="Arial"/>
          <w:sz w:val="16"/>
          <w:szCs w:val="16"/>
          <w:color w:val="auto"/>
        </w:rPr>
        <w:t>.</w:t>
      </w:r>
    </w:p>
    <w:p>
      <w:pPr>
        <w:spacing w:after="0" w:line="229" w:lineRule="exact"/>
        <w:rPr>
          <w:rFonts w:ascii="Arial" w:cs="Arial" w:eastAsia="Arial" w:hAnsi="Arial"/>
          <w:sz w:val="16"/>
          <w:szCs w:val="16"/>
          <w:color w:val="auto"/>
        </w:rPr>
      </w:pPr>
    </w:p>
    <w:p>
      <w:pPr>
        <w:ind w:left="583" w:right="20" w:hanging="292"/>
        <w:spacing w:after="0" w:line="262" w:lineRule="auto"/>
        <w:rPr>
          <w:rFonts w:ascii="Arial" w:cs="Arial" w:eastAsia="Arial" w:hAnsi="Arial"/>
          <w:sz w:val="16"/>
          <w:szCs w:val="16"/>
          <w:color w:val="auto"/>
        </w:rPr>
      </w:pPr>
      <w:r>
        <w:rPr>
          <w:rFonts w:ascii="Arial" w:cs="Arial" w:eastAsia="Arial" w:hAnsi="Arial"/>
          <w:sz w:val="16"/>
          <w:szCs w:val="16"/>
          <w:color w:val="auto"/>
        </w:rPr>
        <w:t xml:space="preserve">1.1. The Employee shall serve in the position described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commencing on May 24, 2009 (the “</w:t>
      </w:r>
      <w:r>
        <w:rPr>
          <w:rFonts w:ascii="Arial" w:cs="Arial" w:eastAsia="Arial" w:hAnsi="Arial"/>
          <w:sz w:val="16"/>
          <w:szCs w:val="16"/>
          <w:b w:val="1"/>
          <w:bCs w:val="1"/>
          <w:color w:val="auto"/>
        </w:rPr>
        <w:t>Commencement Date</w:t>
      </w:r>
      <w:r>
        <w:rPr>
          <w:rFonts w:ascii="Arial" w:cs="Arial" w:eastAsia="Arial" w:hAnsi="Arial"/>
          <w:sz w:val="16"/>
          <w:szCs w:val="16"/>
          <w:color w:val="auto"/>
        </w:rPr>
        <w:t>”). The Employee shall be under the direct supervision of and comply with the directives of the CEO of BioLine and/or any such individual designated by BioLine at its sole discretion (the “</w:t>
      </w:r>
      <w:r>
        <w:rPr>
          <w:rFonts w:ascii="Arial" w:cs="Arial" w:eastAsia="Arial" w:hAnsi="Arial"/>
          <w:sz w:val="16"/>
          <w:szCs w:val="16"/>
          <w:b w:val="1"/>
          <w:bCs w:val="1"/>
          <w:color w:val="auto"/>
        </w:rPr>
        <w:t>Supervisor</w:t>
      </w:r>
      <w:r>
        <w:rPr>
          <w:rFonts w:ascii="Arial" w:cs="Arial" w:eastAsia="Arial" w:hAnsi="Arial"/>
          <w:sz w:val="16"/>
          <w:szCs w:val="16"/>
          <w:color w:val="auto"/>
        </w:rPr>
        <w:t>”). The Employee shall perform the duties, undertake the responsibilities and exerciese the authority as determined from time to time by the Superviser diligently, conscientiously and in furtherance of BioLine’s best interests. Employee’s duties and responsibilities hereunder may also include other services performed for affiliates of BioLine.</w:t>
      </w:r>
    </w:p>
    <w:p>
      <w:pPr>
        <w:spacing w:after="0" w:line="192" w:lineRule="exact"/>
        <w:rPr>
          <w:rFonts w:ascii="Arial" w:cs="Arial" w:eastAsia="Arial" w:hAnsi="Arial"/>
          <w:sz w:val="16"/>
          <w:szCs w:val="16"/>
          <w:color w:val="auto"/>
        </w:rPr>
      </w:pPr>
    </w:p>
    <w:p>
      <w:pPr>
        <w:ind w:left="583" w:hanging="292"/>
        <w:spacing w:after="0" w:line="268" w:lineRule="auto"/>
        <w:rPr>
          <w:rFonts w:ascii="Arial" w:cs="Arial" w:eastAsia="Arial" w:hAnsi="Arial"/>
          <w:sz w:val="16"/>
          <w:szCs w:val="16"/>
          <w:color w:val="auto"/>
        </w:rPr>
      </w:pPr>
      <w:r>
        <w:rPr>
          <w:rFonts w:ascii="Arial" w:cs="Arial" w:eastAsia="Arial" w:hAnsi="Arial"/>
          <w:sz w:val="16"/>
          <w:szCs w:val="16"/>
          <w:color w:val="auto"/>
        </w:rPr>
        <w:t>1.2. During the Employment Period, Employee shall honestly, diligently, skillfully and faithfully serve BioLine, and undertakes to devote all of Employee’s efforts and the best of his/her qualifications and skills to promoting the business and affairs of BioLine, and shall at all times act in a manner suitable of his position and status in BioLine.</w:t>
      </w:r>
    </w:p>
    <w:p>
      <w:pPr>
        <w:spacing w:after="0" w:line="187" w:lineRule="exact"/>
        <w:rPr>
          <w:rFonts w:ascii="Arial" w:cs="Arial" w:eastAsia="Arial" w:hAnsi="Arial"/>
          <w:sz w:val="16"/>
          <w:szCs w:val="16"/>
          <w:color w:val="auto"/>
        </w:rPr>
      </w:pPr>
    </w:p>
    <w:p>
      <w:pPr>
        <w:ind w:left="583" w:right="20" w:hanging="292"/>
        <w:spacing w:after="0" w:line="268" w:lineRule="auto"/>
        <w:rPr>
          <w:rFonts w:ascii="Arial" w:cs="Arial" w:eastAsia="Arial" w:hAnsi="Arial"/>
          <w:sz w:val="16"/>
          <w:szCs w:val="16"/>
          <w:color w:val="auto"/>
        </w:rPr>
      </w:pPr>
      <w:r>
        <w:rPr>
          <w:rFonts w:ascii="Arial" w:cs="Arial" w:eastAsia="Arial" w:hAnsi="Arial"/>
          <w:sz w:val="16"/>
          <w:szCs w:val="16"/>
          <w:color w:val="auto"/>
        </w:rPr>
        <w:t>1.3. The Employee agrees and undertakes to inform BioLine, immediately after becoming aware of any matter that may in any way raise a conflict of interest between Employee and BioLine. Employee shall not receive during any payment, compensation or benefit from any third party in connection, directly or indirectly, with the execution of Employee’s position in BioLine.</w:t>
      </w:r>
    </w:p>
    <w:p>
      <w:pPr>
        <w:spacing w:after="0" w:line="187" w:lineRule="exact"/>
        <w:rPr>
          <w:rFonts w:ascii="Arial" w:cs="Arial" w:eastAsia="Arial" w:hAnsi="Arial"/>
          <w:sz w:val="16"/>
          <w:szCs w:val="16"/>
          <w:color w:val="auto"/>
        </w:rPr>
      </w:pPr>
    </w:p>
    <w:p>
      <w:pPr>
        <w:ind w:left="583" w:right="20" w:hanging="292"/>
        <w:spacing w:after="0" w:line="283" w:lineRule="auto"/>
        <w:rPr>
          <w:rFonts w:ascii="Arial" w:cs="Arial" w:eastAsia="Arial" w:hAnsi="Arial"/>
          <w:sz w:val="16"/>
          <w:szCs w:val="16"/>
          <w:color w:val="auto"/>
        </w:rPr>
      </w:pPr>
      <w:r>
        <w:rPr>
          <w:rFonts w:ascii="Arial" w:cs="Arial" w:eastAsia="Arial" w:hAnsi="Arial"/>
          <w:sz w:val="16"/>
          <w:szCs w:val="16"/>
          <w:color w:val="auto"/>
        </w:rPr>
        <w:t>1.4. Employee will be employed on a full time basis. Employee shall not undertake or accept any other paid or unpaid employment or occupation or engage in any other business activity except with the prior written consent of BioLine, which shall not be unreasonably withheld.</w:t>
      </w:r>
    </w:p>
    <w:p>
      <w:pPr>
        <w:spacing w:after="0" w:line="174" w:lineRule="exact"/>
        <w:rPr>
          <w:rFonts w:ascii="Arial" w:cs="Arial" w:eastAsia="Arial" w:hAnsi="Arial"/>
          <w:sz w:val="16"/>
          <w:szCs w:val="16"/>
          <w:color w:val="auto"/>
        </w:rPr>
      </w:pPr>
    </w:p>
    <w:p>
      <w:pPr>
        <w:ind w:left="583" w:right="20" w:hanging="292"/>
        <w:spacing w:after="0" w:line="268" w:lineRule="auto"/>
        <w:rPr>
          <w:rFonts w:ascii="Arial" w:cs="Arial" w:eastAsia="Arial" w:hAnsi="Arial"/>
          <w:sz w:val="16"/>
          <w:szCs w:val="16"/>
          <w:color w:val="auto"/>
        </w:rPr>
      </w:pPr>
      <w:r>
        <w:rPr>
          <w:rFonts w:ascii="Arial" w:cs="Arial" w:eastAsia="Arial" w:hAnsi="Arial"/>
          <w:sz w:val="16"/>
          <w:szCs w:val="16"/>
          <w:color w:val="auto"/>
        </w:rPr>
        <w:t>1.5. Employee hereby confirms and declares that his/her position is one that requires a special measure of personal trust and loyalty. Accordingly, the provisions of the Hours of Work and Rest Law-1951 shall not apply to Employee, and Employee shall not be entitled to any compensation for working more than the maximum number of hours per week set forth in said law or any other applicable law.</w:t>
      </w:r>
    </w:p>
    <w:p>
      <w:pPr>
        <w:spacing w:after="0" w:line="187" w:lineRule="exact"/>
        <w:rPr>
          <w:rFonts w:ascii="Arial" w:cs="Arial" w:eastAsia="Arial" w:hAnsi="Arial"/>
          <w:sz w:val="16"/>
          <w:szCs w:val="16"/>
          <w:color w:val="auto"/>
        </w:rPr>
      </w:pPr>
    </w:p>
    <w:p>
      <w:pPr>
        <w:ind w:left="583" w:right="20" w:hanging="292"/>
        <w:spacing w:after="0" w:line="268" w:lineRule="auto"/>
        <w:rPr>
          <w:rFonts w:ascii="Arial" w:cs="Arial" w:eastAsia="Arial" w:hAnsi="Arial"/>
          <w:sz w:val="16"/>
          <w:szCs w:val="16"/>
          <w:color w:val="auto"/>
        </w:rPr>
      </w:pPr>
      <w:r>
        <w:rPr>
          <w:rFonts w:ascii="Arial" w:cs="Arial" w:eastAsia="Arial" w:hAnsi="Arial"/>
          <w:sz w:val="16"/>
          <w:szCs w:val="16"/>
          <w:color w:val="auto"/>
        </w:rPr>
        <w:t>1.6. The Employee may also work outside of regular working hours and outside of regular working days, as may be required by BioLine from time to time. The Employee must obtain Supervisor’s prior approval for work in excess of the quota of overtime work hours per month set forth in Section 6 below and notify BioLine in the event that this average quota is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250825</wp:posOffset>
            </wp:positionV>
            <wp:extent cx="178625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86"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25995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391" w:right="219" w:bottom="1440" w:gutter="0" w:footer="0" w:header="0"/>
          <w:type w:val="continuous"/>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212725</wp:posOffset>
            </wp:positionV>
            <wp:extent cx="3726815" cy="8737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277" w:lineRule="exact"/>
        <w:rPr>
          <w:sz w:val="20"/>
          <w:szCs w:val="20"/>
          <w:color w:val="auto"/>
        </w:rPr>
      </w:pPr>
    </w:p>
    <w:p>
      <w:pPr>
        <w:ind w:left="583" w:right="20" w:hanging="291"/>
        <w:spacing w:after="0" w:line="283" w:lineRule="auto"/>
        <w:rPr>
          <w:sz w:val="20"/>
          <w:szCs w:val="20"/>
          <w:color w:val="auto"/>
        </w:rPr>
      </w:pPr>
      <w:r>
        <w:rPr>
          <w:rFonts w:ascii="Arial" w:cs="Arial" w:eastAsia="Arial" w:hAnsi="Arial"/>
          <w:sz w:val="16"/>
          <w:szCs w:val="16"/>
          <w:color w:val="auto"/>
        </w:rPr>
        <w:t>1.7. The parties hereby confirm that this is a personal services agreement and that the relationship between the parties hereto shall not be subject to any general or special collective employment agreement or any custom or practice of BioLine with respect to any of its other employees or contractors.</w:t>
      </w:r>
    </w:p>
    <w:p>
      <w:pPr>
        <w:spacing w:after="0" w:line="171" w:lineRule="exact"/>
        <w:rPr>
          <w:sz w:val="20"/>
          <w:szCs w:val="20"/>
          <w:color w:val="auto"/>
        </w:rPr>
      </w:pPr>
    </w:p>
    <w:p>
      <w:pPr>
        <w:ind w:left="283" w:right="20" w:hanging="283"/>
        <w:spacing w:after="0" w:line="288" w:lineRule="auto"/>
        <w:tabs>
          <w:tab w:leader="none" w:pos="283"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Place of Performance</w:t>
      </w:r>
      <w:r>
        <w:rPr>
          <w:rFonts w:ascii="Arial" w:cs="Arial" w:eastAsia="Arial" w:hAnsi="Arial"/>
          <w:sz w:val="16"/>
          <w:szCs w:val="16"/>
          <w:color w:val="auto"/>
        </w:rPr>
        <w:t>. Employee shall be based at BioLine’s facilities in Israel or at such other place as is otherwise appropriate to the functions being performed by</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Employee acknowledges and agrees that his/her position may involve significant domestic and international travel.</w:t>
      </w:r>
    </w:p>
    <w:p>
      <w:pPr>
        <w:spacing w:after="0" w:line="167" w:lineRule="exact"/>
        <w:rPr>
          <w:rFonts w:ascii="Arial" w:cs="Arial" w:eastAsia="Arial" w:hAnsi="Arial"/>
          <w:sz w:val="16"/>
          <w:szCs w:val="16"/>
          <w:color w:val="auto"/>
        </w:rPr>
      </w:pPr>
    </w:p>
    <w:p>
      <w:pPr>
        <w:jc w:val="both"/>
        <w:ind w:left="283" w:hanging="283"/>
        <w:spacing w:after="0" w:line="300" w:lineRule="auto"/>
        <w:tabs>
          <w:tab w:leader="none" w:pos="283" w:val="left"/>
        </w:tabs>
        <w:numPr>
          <w:ilvl w:val="0"/>
          <w:numId w:val="124"/>
        </w:numPr>
        <w:rPr>
          <w:rFonts w:ascii="Arial" w:cs="Arial" w:eastAsia="Arial" w:hAnsi="Arial"/>
          <w:sz w:val="14"/>
          <w:szCs w:val="14"/>
          <w:color w:val="auto"/>
        </w:rPr>
      </w:pPr>
      <w:r>
        <w:rPr>
          <w:rFonts w:ascii="Arial" w:cs="Arial" w:eastAsia="Arial" w:hAnsi="Arial"/>
          <w:sz w:val="14"/>
          <w:szCs w:val="14"/>
          <w:b w:val="1"/>
          <w:bCs w:val="1"/>
          <w:color w:val="auto"/>
        </w:rPr>
        <w:t>Employee’s Representations and Warranties</w:t>
      </w:r>
      <w:r>
        <w:rPr>
          <w:rFonts w:ascii="Arial" w:cs="Arial" w:eastAsia="Arial" w:hAnsi="Arial"/>
          <w:sz w:val="14"/>
          <w:szCs w:val="14"/>
          <w:color w:val="auto"/>
        </w:rPr>
        <w:t>. Employee represents and warrants that the execution and delivery of this Agreement and the fulfillment of all its terms: (i)</w:t>
      </w:r>
      <w:r>
        <w:rPr>
          <w:rFonts w:ascii="Arial" w:cs="Arial" w:eastAsia="Arial" w:hAnsi="Arial"/>
          <w:sz w:val="14"/>
          <w:szCs w:val="14"/>
          <w:b w:val="1"/>
          <w:bCs w:val="1"/>
          <w:color w:val="auto"/>
        </w:rPr>
        <w:t xml:space="preserve"> </w:t>
      </w:r>
      <w:r>
        <w:rPr>
          <w:rFonts w:ascii="Arial" w:cs="Arial" w:eastAsia="Arial" w:hAnsi="Arial"/>
          <w:sz w:val="14"/>
          <w:szCs w:val="14"/>
          <w:color w:val="auto"/>
        </w:rPr>
        <w:t>will not constitute a default under or conflict with any agreement or other instrument to which Employee is a party or by which Employee is bound; and (ii) do not require the consent of any person or entity. Further, with respect to any past engagement Employee may have had with third parties and with respect to any allowed engagement Employee may have with any third party during the term of his/her engagement with BioLine (for purposes hereof, such third parties shall be referred to as “</w:t>
      </w:r>
      <w:r>
        <w:rPr>
          <w:rFonts w:ascii="Arial" w:cs="Arial" w:eastAsia="Arial" w:hAnsi="Arial"/>
          <w:sz w:val="14"/>
          <w:szCs w:val="14"/>
          <w:b w:val="1"/>
          <w:bCs w:val="1"/>
          <w:color w:val="auto"/>
        </w:rPr>
        <w:t>Other</w:t>
      </w:r>
      <w:r>
        <w:rPr>
          <w:rFonts w:ascii="Arial" w:cs="Arial" w:eastAsia="Arial" w:hAnsi="Arial"/>
          <w:sz w:val="14"/>
          <w:szCs w:val="14"/>
          <w:color w:val="auto"/>
        </w:rPr>
        <w:t xml:space="preserve"> </w:t>
      </w:r>
      <w:r>
        <w:rPr>
          <w:rFonts w:ascii="Arial" w:cs="Arial" w:eastAsia="Arial" w:hAnsi="Arial"/>
          <w:sz w:val="14"/>
          <w:szCs w:val="14"/>
          <w:b w:val="1"/>
          <w:bCs w:val="1"/>
          <w:color w:val="auto"/>
        </w:rPr>
        <w:t>Employers</w:t>
      </w:r>
      <w:r>
        <w:rPr>
          <w:rFonts w:ascii="Arial" w:cs="Arial" w:eastAsia="Arial" w:hAnsi="Arial"/>
          <w:sz w:val="14"/>
          <w:szCs w:val="14"/>
          <w:color w:val="auto"/>
        </w:rPr>
        <w:t>”), Employee represents, warrants and undertakes that: (a) Employee’s engagement with BioLine is and/or will not be in breach of Employee’s undertakings</w:t>
      </w:r>
      <w:r>
        <w:rPr>
          <w:rFonts w:ascii="Arial" w:cs="Arial" w:eastAsia="Arial" w:hAnsi="Arial"/>
          <w:sz w:val="14"/>
          <w:szCs w:val="14"/>
          <w:b w:val="1"/>
          <w:bCs w:val="1"/>
          <w:color w:val="auto"/>
        </w:rPr>
        <w:t xml:space="preserve"> </w:t>
      </w:r>
      <w:r>
        <w:rPr>
          <w:rFonts w:ascii="Arial" w:cs="Arial" w:eastAsia="Arial" w:hAnsi="Arial"/>
          <w:sz w:val="14"/>
          <w:szCs w:val="14"/>
          <w:color w:val="auto"/>
        </w:rPr>
        <w:t>towards Other Employers, and (b) Employee will not disclose to BioLine, or use, in provision of any services to BioLine, any proprietary or confidential information belonging to any Other Employers. Employee further represents and warrants that: (y) he/she does not suffer from any medical condition that may prevent from complying with duties and obligations under this Agreement; (z) to Employee’s best knowledge, the employment by BioLine will not cause any hazard to Employee’s health.</w:t>
      </w:r>
    </w:p>
    <w:p>
      <w:pPr>
        <w:spacing w:after="0" w:line="167" w:lineRule="exact"/>
        <w:rPr>
          <w:rFonts w:ascii="Arial" w:cs="Arial" w:eastAsia="Arial" w:hAnsi="Arial"/>
          <w:sz w:val="14"/>
          <w:szCs w:val="14"/>
          <w:color w:val="auto"/>
        </w:rPr>
      </w:pPr>
    </w:p>
    <w:p>
      <w:pPr>
        <w:jc w:val="both"/>
        <w:ind w:left="283" w:right="20" w:hanging="283"/>
        <w:spacing w:after="0" w:line="265" w:lineRule="auto"/>
        <w:tabs>
          <w:tab w:leader="none" w:pos="283"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Proprietary Information; Confidentiality and Non-Competition</w:t>
      </w:r>
      <w:r>
        <w:rPr>
          <w:rFonts w:ascii="Arial" w:cs="Arial" w:eastAsia="Arial" w:hAnsi="Arial"/>
          <w:sz w:val="16"/>
          <w:szCs w:val="16"/>
          <w:color w:val="auto"/>
        </w:rPr>
        <w:t>. The Employee is obligated to keep all the terms and covenants of this Agreement under strict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confidentiality. By executing this Agreement Employee confirms and agrees to the provisions of BioLine’s Proprietary Information, Confidentiality and Non-Competition Agreement attached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Employee acknowledges and confirms that all terms of his/her employment are personal and confidential, and undertakes to keep such term in confidence and refrain from disclosing such terms to any third party.</w:t>
      </w:r>
    </w:p>
    <w:p>
      <w:pPr>
        <w:spacing w:after="0" w:line="185" w:lineRule="exact"/>
        <w:rPr>
          <w:rFonts w:ascii="Arial" w:cs="Arial" w:eastAsia="Arial" w:hAnsi="Arial"/>
          <w:sz w:val="16"/>
          <w:szCs w:val="16"/>
          <w:color w:val="auto"/>
        </w:rPr>
      </w:pPr>
    </w:p>
    <w:p>
      <w:pPr>
        <w:ind w:left="283" w:right="20" w:hanging="283"/>
        <w:spacing w:after="0" w:line="288" w:lineRule="auto"/>
        <w:tabs>
          <w:tab w:leader="none" w:pos="283"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Period of Employment</w:t>
      </w:r>
      <w:r>
        <w:rPr>
          <w:rFonts w:ascii="Arial" w:cs="Arial" w:eastAsia="Arial" w:hAnsi="Arial"/>
          <w:sz w:val="16"/>
          <w:szCs w:val="16"/>
          <w:color w:val="auto"/>
        </w:rPr>
        <w:t>. Employee’s employment by BioLine commence on the Commencement Date and shall continue for an initial period of three (3) months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Initial Period</w:t>
      </w:r>
      <w:r>
        <w:rPr>
          <w:rFonts w:ascii="Arial" w:cs="Arial" w:eastAsia="Arial" w:hAnsi="Arial"/>
          <w:sz w:val="16"/>
          <w:szCs w:val="16"/>
          <w:color w:val="auto"/>
        </w:rPr>
        <w:t>”) and shall then continue, unless terminated in accordance with the provisions of this Agreement (the “</w:t>
      </w:r>
      <w:r>
        <w:rPr>
          <w:rFonts w:ascii="Arial" w:cs="Arial" w:eastAsia="Arial" w:hAnsi="Arial"/>
          <w:sz w:val="16"/>
          <w:szCs w:val="16"/>
          <w:b w:val="1"/>
          <w:bCs w:val="1"/>
          <w:color w:val="auto"/>
        </w:rPr>
        <w:t>Employment Period</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583" w:hanging="292"/>
        <w:spacing w:after="0" w:line="263" w:lineRule="auto"/>
        <w:rPr>
          <w:rFonts w:ascii="Arial" w:cs="Arial" w:eastAsia="Arial" w:hAnsi="Arial"/>
          <w:sz w:val="16"/>
          <w:szCs w:val="16"/>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The Employee’s employment will terminate upon the death of the Employee, and BioLine may terminate the Employee’s employment after having established the Employee’s disability. For purposes of this Agreement, “disability” means a physical or mental infirmity which impairs the Employee’s ability to substantially perform Employee’s duties under this Agreement which continues for a period of at least ninety (90) consecutive days. Upon termination for disability, the Employee shall be entitled to severance pay required by law, in accordance with the terms of this Agreement.</w:t>
      </w:r>
    </w:p>
    <w:p>
      <w:pPr>
        <w:spacing w:after="0" w:line="191" w:lineRule="exact"/>
        <w:rPr>
          <w:rFonts w:ascii="Arial" w:cs="Arial" w:eastAsia="Arial" w:hAnsi="Arial"/>
          <w:sz w:val="16"/>
          <w:szCs w:val="16"/>
          <w:color w:val="auto"/>
        </w:rPr>
      </w:pPr>
    </w:p>
    <w:p>
      <w:pPr>
        <w:ind w:left="583" w:right="20" w:hanging="292"/>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Termination at Will</w:t>
      </w:r>
      <w:r>
        <w:rPr>
          <w:rFonts w:ascii="Arial" w:cs="Arial" w:eastAsia="Arial" w:hAnsi="Arial"/>
          <w:sz w:val="16"/>
          <w:szCs w:val="16"/>
          <w:color w:val="auto"/>
        </w:rPr>
        <w:t>. Either party may terminate the employment relationship hereunder at any time by giving the other party prior written notice as set forth in Exhibit A (the “</w:t>
      </w:r>
      <w:r>
        <w:rPr>
          <w:rFonts w:ascii="Arial" w:cs="Arial" w:eastAsia="Arial" w:hAnsi="Arial"/>
          <w:sz w:val="16"/>
          <w:szCs w:val="16"/>
          <w:b w:val="1"/>
          <w:bCs w:val="1"/>
          <w:color w:val="auto"/>
        </w:rPr>
        <w:t>Notice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242570</wp:posOffset>
            </wp:positionV>
            <wp:extent cx="178625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74"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38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440" w:right="219" w:bottom="1440" w:gutter="0" w:footer="0" w:header="0"/>
        </w:sectPr>
      </w:pPr>
    </w:p>
    <w:bookmarkStart w:id="175" w:name="page176"/>
    <w:bookmarkEnd w:id="175"/>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88900</wp:posOffset>
            </wp:positionV>
            <wp:extent cx="3726815" cy="8737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jc w:val="both"/>
        <w:ind w:left="583" w:hanging="291"/>
        <w:spacing w:after="0" w:line="304"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Termination for Cause</w:t>
      </w:r>
      <w:r>
        <w:rPr>
          <w:rFonts w:ascii="Arial" w:cs="Arial" w:eastAsia="Arial" w:hAnsi="Arial"/>
          <w:sz w:val="14"/>
          <w:szCs w:val="14"/>
          <w:color w:val="auto"/>
        </w:rPr>
        <w:t>. In the event of a termination for Cause (as defined below), BioLine may immediately terminate the employment relationship effective as of the time of notice of the same, and without payment in lieu of prior notice. “</w:t>
      </w:r>
      <w:r>
        <w:rPr>
          <w:rFonts w:ascii="Arial" w:cs="Arial" w:eastAsia="Arial" w:hAnsi="Arial"/>
          <w:sz w:val="14"/>
          <w:szCs w:val="14"/>
          <w:b w:val="1"/>
          <w:bCs w:val="1"/>
          <w:color w:val="auto"/>
        </w:rPr>
        <w:t>Cause</w:t>
      </w:r>
      <w:r>
        <w:rPr>
          <w:rFonts w:ascii="Arial" w:cs="Arial" w:eastAsia="Arial" w:hAnsi="Arial"/>
          <w:sz w:val="14"/>
          <w:szCs w:val="14"/>
          <w:color w:val="auto"/>
        </w:rPr>
        <w:t>” means (i) a serious breach of trust including but not limited to theft, embezzlement, self-dealing, prohibited disclosure to unauthorized persons or entities of confidential or proprietary information of or relating to BioLine or its affiliates, and the engaging by Employee in any prohibited business competitive to the business of BioLine; (ii) any willful failure to perform or failure to perform competently any of Employee’s fundamental functions or duties hereunder, which was not cured within thirty (30) days after receipt by Employee of written notice thereof; (iii) any breach of this Agreement by the Employee; and (iv) any other cause justifying termination or dismissal without severance payment under applicable law.</w:t>
      </w:r>
    </w:p>
    <w:p>
      <w:pPr>
        <w:spacing w:after="0" w:line="165" w:lineRule="exact"/>
        <w:rPr>
          <w:sz w:val="20"/>
          <w:szCs w:val="20"/>
          <w:color w:val="auto"/>
        </w:rPr>
      </w:pPr>
    </w:p>
    <w:p>
      <w:pPr>
        <w:jc w:val="both"/>
        <w:ind w:left="583" w:hanging="291"/>
        <w:spacing w:after="0" w:line="280"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Notice Period; End of Relations</w:t>
      </w:r>
      <w:r>
        <w:rPr>
          <w:rFonts w:ascii="Arial" w:cs="Arial" w:eastAsia="Arial" w:hAnsi="Arial"/>
          <w:sz w:val="15"/>
          <w:szCs w:val="15"/>
          <w:color w:val="auto"/>
        </w:rPr>
        <w:t>. During the Notice Period, the employment relationship hereunder shall remain in full force and effect and there shall be no change in Employee’s position with BioLine, the Salary, or in any other obligations of either party hereunder, unless otherwise determined by BioLine in a written notice to Employee, and Employee shall cooperate with BioLine and assist BioLine with the integration into BioLine of the person who will assume Employee’s responsibilities. At the option of BioLine, the Employee shall during such period either continue with Employee’s duties or remain absent from BioLine’s premises. However, BioLine, at its own discretion, may terminate this Agreement and the employment relationship at any time immediately upon a written notice and pay Employee an amount equal to the Salary referred to in Section 6 below that would have been paid to Employee during the Notice Period in lieu of the prior notice.</w:t>
      </w:r>
    </w:p>
    <w:p>
      <w:pPr>
        <w:spacing w:after="0" w:line="181" w:lineRule="exact"/>
        <w:rPr>
          <w:sz w:val="20"/>
          <w:szCs w:val="20"/>
          <w:color w:val="auto"/>
        </w:rPr>
      </w:pPr>
    </w:p>
    <w:p>
      <w:pPr>
        <w:jc w:val="both"/>
        <w:ind w:left="583" w:hanging="291"/>
        <w:spacing w:after="0" w:line="283" w:lineRule="auto"/>
        <w:rPr>
          <w:sz w:val="20"/>
          <w:szCs w:val="20"/>
          <w:color w:val="auto"/>
        </w:rPr>
      </w:pPr>
      <w:r>
        <w:rPr>
          <w:rFonts w:ascii="Arial" w:cs="Arial" w:eastAsia="Arial" w:hAnsi="Arial"/>
          <w:sz w:val="16"/>
          <w:szCs w:val="16"/>
          <w:color w:val="auto"/>
        </w:rPr>
        <w:t>5.5. Without derogating from all of BioLine’s rights according to the provisions of this Agreement and the law, upon the termination of this Agreement, BioLine shall have the right to deduct from any payment to be paid to the Employee any sum owed by the Employee to BioLine.</w:t>
      </w:r>
    </w:p>
    <w:p>
      <w:pPr>
        <w:spacing w:after="0" w:line="171" w:lineRule="exact"/>
        <w:rPr>
          <w:sz w:val="20"/>
          <w:szCs w:val="20"/>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Salary</w:t>
      </w:r>
      <w:r>
        <w:rPr>
          <w:rFonts w:ascii="Arial" w:cs="Arial" w:eastAsia="Arial" w:hAnsi="Arial"/>
          <w:sz w:val="16"/>
          <w:szCs w:val="16"/>
          <w:color w:val="auto"/>
        </w:rPr>
        <w:t>.</w:t>
      </w:r>
    </w:p>
    <w:p>
      <w:pPr>
        <w:spacing w:after="0" w:line="229" w:lineRule="exact"/>
        <w:rPr>
          <w:rFonts w:ascii="Arial" w:cs="Arial" w:eastAsia="Arial" w:hAnsi="Arial"/>
          <w:sz w:val="16"/>
          <w:szCs w:val="16"/>
          <w:color w:val="auto"/>
        </w:rPr>
      </w:pPr>
    </w:p>
    <w:p>
      <w:pPr>
        <w:ind w:left="583" w:hanging="292"/>
        <w:spacing w:after="0" w:line="284" w:lineRule="auto"/>
        <w:rPr>
          <w:rFonts w:ascii="Arial" w:cs="Arial" w:eastAsia="Arial" w:hAnsi="Arial"/>
          <w:sz w:val="16"/>
          <w:szCs w:val="16"/>
          <w:color w:val="auto"/>
        </w:rPr>
      </w:pPr>
      <w:r>
        <w:rPr>
          <w:rFonts w:ascii="Arial" w:cs="Arial" w:eastAsia="Arial" w:hAnsi="Arial"/>
          <w:sz w:val="15"/>
          <w:szCs w:val="15"/>
          <w:color w:val="auto"/>
        </w:rPr>
        <w:t>6.1. BioLine shall pay or cause to be paid to the Employee during the term of this Agreement a gross salary in the amount set forth in Exhibit A per month (the “</w:t>
      </w:r>
      <w:r>
        <w:rPr>
          <w:rFonts w:ascii="Arial" w:cs="Arial" w:eastAsia="Arial" w:hAnsi="Arial"/>
          <w:sz w:val="15"/>
          <w:szCs w:val="15"/>
          <w:b w:val="1"/>
          <w:bCs w:val="1"/>
          <w:color w:val="auto"/>
        </w:rPr>
        <w:t>Base</w:t>
      </w:r>
      <w:r>
        <w:rPr>
          <w:rFonts w:ascii="Arial" w:cs="Arial" w:eastAsia="Arial" w:hAnsi="Arial"/>
          <w:sz w:val="15"/>
          <w:szCs w:val="15"/>
          <w:color w:val="auto"/>
        </w:rPr>
        <w:t xml:space="preserve"> </w:t>
      </w:r>
      <w:r>
        <w:rPr>
          <w:rFonts w:ascii="Arial" w:cs="Arial" w:eastAsia="Arial" w:hAnsi="Arial"/>
          <w:sz w:val="15"/>
          <w:szCs w:val="15"/>
          <w:b w:val="1"/>
          <w:bCs w:val="1"/>
          <w:color w:val="auto"/>
        </w:rPr>
        <w:t>Salary</w:t>
      </w:r>
      <w:r>
        <w:rPr>
          <w:rFonts w:ascii="Arial" w:cs="Arial" w:eastAsia="Arial" w:hAnsi="Arial"/>
          <w:sz w:val="15"/>
          <w:szCs w:val="15"/>
          <w:color w:val="auto"/>
        </w:rPr>
        <w:t>”). Since the nature of the work precludes supervision of the Employee’s work hours and due to BioLine’s anticipation that the Employee may be required to</w:t>
      </w:r>
      <w:r>
        <w:rPr>
          <w:rFonts w:ascii="Arial" w:cs="Arial" w:eastAsia="Arial" w:hAnsi="Arial"/>
          <w:sz w:val="15"/>
          <w:szCs w:val="15"/>
          <w:b w:val="1"/>
          <w:bCs w:val="1"/>
          <w:color w:val="auto"/>
        </w:rPr>
        <w:t xml:space="preserve"> </w:t>
      </w:r>
      <w:r>
        <w:rPr>
          <w:rFonts w:ascii="Arial" w:cs="Arial" w:eastAsia="Arial" w:hAnsi="Arial"/>
          <w:sz w:val="15"/>
          <w:szCs w:val="15"/>
          <w:color w:val="auto"/>
        </w:rPr>
        <w:t>work outside of regular working hours and outside of regular working days as stated in Section 1.5 above, BioLine agrees to pay to the Employee during the term of this Agreement a gross payment in the amount set forth in Exhibit A per month (the “</w:t>
      </w:r>
      <w:r>
        <w:rPr>
          <w:rFonts w:ascii="Arial" w:cs="Arial" w:eastAsia="Arial" w:hAnsi="Arial"/>
          <w:sz w:val="15"/>
          <w:szCs w:val="15"/>
          <w:b w:val="1"/>
          <w:bCs w:val="1"/>
          <w:color w:val="auto"/>
        </w:rPr>
        <w:t>Overtime Payment</w:t>
      </w:r>
      <w:r>
        <w:rPr>
          <w:rFonts w:ascii="Arial" w:cs="Arial" w:eastAsia="Arial" w:hAnsi="Arial"/>
          <w:sz w:val="15"/>
          <w:szCs w:val="15"/>
          <w:color w:val="auto"/>
        </w:rPr>
        <w:t>”) on account of forty five (45) global overtime work hours per month. The Base Salary and the Overtime Payment together shall constitute the “</w:t>
      </w:r>
      <w:r>
        <w:rPr>
          <w:rFonts w:ascii="Arial" w:cs="Arial" w:eastAsia="Arial" w:hAnsi="Arial"/>
          <w:sz w:val="15"/>
          <w:szCs w:val="15"/>
          <w:b w:val="1"/>
          <w:bCs w:val="1"/>
          <w:color w:val="auto"/>
        </w:rPr>
        <w:t>Salary</w:t>
      </w:r>
      <w:r>
        <w:rPr>
          <w:rFonts w:ascii="Arial" w:cs="Arial" w:eastAsia="Arial" w:hAnsi="Arial"/>
          <w:sz w:val="15"/>
          <w:szCs w:val="15"/>
          <w:color w:val="auto"/>
        </w:rPr>
        <w:t>” for purposes of this Agreement.</w:t>
      </w:r>
    </w:p>
    <w:p>
      <w:pPr>
        <w:spacing w:after="0" w:line="175" w:lineRule="exact"/>
        <w:rPr>
          <w:rFonts w:ascii="Arial" w:cs="Arial" w:eastAsia="Arial" w:hAnsi="Arial"/>
          <w:sz w:val="16"/>
          <w:szCs w:val="16"/>
          <w:color w:val="auto"/>
        </w:rPr>
      </w:pPr>
    </w:p>
    <w:p>
      <w:pPr>
        <w:ind w:left="583" w:hanging="292"/>
        <w:spacing w:after="0" w:line="230" w:lineRule="auto"/>
        <w:rPr>
          <w:rFonts w:ascii="Arial" w:cs="Arial" w:eastAsia="Arial" w:hAnsi="Arial"/>
          <w:sz w:val="16"/>
          <w:szCs w:val="16"/>
          <w:color w:val="auto"/>
        </w:rPr>
      </w:pPr>
      <w:r>
        <w:rPr>
          <w:rFonts w:ascii="Arial" w:cs="Arial" w:eastAsia="Arial" w:hAnsi="Arial"/>
          <w:sz w:val="16"/>
          <w:szCs w:val="16"/>
          <w:color w:val="auto"/>
        </w:rPr>
        <w:t>6.2. The Salary will be paid no later then the 9</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each calendar month after the month for which the Salary is paid, after deduction of any and all taxes and charges applicable to Employee, as may be in effect or which may hereafter be enacted or required by law. Employee shall notify BioLine of any change which may affect Employee’s tax liability.</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Insurance and Social Benefits</w:t>
      </w:r>
      <w:r>
        <w:rPr>
          <w:rFonts w:ascii="Arial" w:cs="Arial" w:eastAsia="Arial" w:hAnsi="Arial"/>
          <w:sz w:val="16"/>
          <w:szCs w:val="16"/>
          <w:color w:val="auto"/>
        </w:rPr>
        <w:t>.</w:t>
      </w:r>
    </w:p>
    <w:p>
      <w:pPr>
        <w:spacing w:after="0" w:line="233"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Employee shall be entitled to the following benefits:</w:t>
      </w:r>
    </w:p>
    <w:p>
      <w:pPr>
        <w:spacing w:after="0" w:line="229" w:lineRule="exact"/>
        <w:rPr>
          <w:rFonts w:ascii="Arial" w:cs="Arial" w:eastAsia="Arial" w:hAnsi="Arial"/>
          <w:sz w:val="16"/>
          <w:szCs w:val="16"/>
          <w:color w:val="auto"/>
        </w:rPr>
      </w:pPr>
    </w:p>
    <w:p>
      <w:pPr>
        <w:ind w:left="583" w:hanging="292"/>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Manager’s insurance; Pension Fund</w:t>
      </w:r>
      <w:r>
        <w:rPr>
          <w:rFonts w:ascii="Arial" w:cs="Arial" w:eastAsia="Arial" w:hAnsi="Arial"/>
          <w:sz w:val="16"/>
          <w:szCs w:val="16"/>
          <w:color w:val="auto"/>
        </w:rPr>
        <w:t>. At the end of the Initial Period, and subject to the continued employment of Employee following the Initial Period, BioLine will insure Employee, retroactive to the Commencement Date, under a “Manager’s Insurance Scheme” or pension fund to be selected by BioLine in coordination with Employee (unless otherwise agreed to by the parties) (collectively the “</w:t>
      </w:r>
      <w:r>
        <w:rPr>
          <w:rFonts w:ascii="Arial" w:cs="Arial" w:eastAsia="Arial" w:hAnsi="Arial"/>
          <w:sz w:val="16"/>
          <w:szCs w:val="16"/>
          <w:b w:val="1"/>
          <w:bCs w:val="1"/>
          <w:color w:val="auto"/>
        </w:rPr>
        <w:t>Policy</w:t>
      </w:r>
      <w:r>
        <w:rPr>
          <w:rFonts w:ascii="Arial" w:cs="Arial" w:eastAsia="Arial" w:hAnsi="Arial"/>
          <w:sz w:val="16"/>
          <w:szCs w:val="16"/>
          <w:color w:val="auto"/>
        </w:rPr>
        <w:t>”), such that BioLine will pay an amount equal to 13⅓% of the Salary towards a such Policy, of which 5% shall be for pension fund payments and 8⅓% shall serve to cover severance compensation. In addition, BioLine shall deduct from the Salary an amount equal to 5% of the Salary, and forward the same to the Policy. Any tax payable in respect of such contributions to the Policy shall be borne and paid by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253365</wp:posOffset>
            </wp:positionV>
            <wp:extent cx="178625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91"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440" w:right="23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302" w:lineRule="exact"/>
        <w:rPr>
          <w:sz w:val="20"/>
          <w:szCs w:val="20"/>
          <w:color w:val="auto"/>
        </w:rPr>
      </w:pPr>
    </w:p>
    <w:p>
      <w:pPr>
        <w:jc w:val="both"/>
        <w:ind w:left="300" w:hanging="291"/>
        <w:spacing w:after="0" w:line="258" w:lineRule="auto"/>
        <w:rPr>
          <w:sz w:val="20"/>
          <w:szCs w:val="20"/>
          <w:color w:val="auto"/>
        </w:rPr>
      </w:pPr>
      <w:r>
        <w:rPr>
          <w:rFonts w:ascii="Arial" w:cs="Arial" w:eastAsia="Arial" w:hAnsi="Arial"/>
          <w:sz w:val="16"/>
          <w:szCs w:val="16"/>
          <w:color w:val="auto"/>
        </w:rPr>
        <w:t>7.2. The Employee hereby agrees and acknowledges that all of the payments that BioLine shall make to the abovementioned Policy shall be instead of any severance pay to which the Employee or Employee’s successors shall be entitled to receive from BioLine with respect to the salary from which these payments were made and the period during which they were made, in accordance with Section 14 of the Severance Pay Law 5723-1963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parties hereby adopt the General Approval of the Minister of Labor and Welfare, published in the Official Publications Gazette No. 4659 on June 30, 1998,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BioLine hereby waives in advance any claim it has or may have to be refunded any of the payments made to the manager’s insurance policy, unless (i) the Employee’s right to severance pay is invalidated by a court ruling on the basis of Sections 16 or 17 of the Law (and in such case only to the extent it is invalidated), or (ii) the Employee withdrew funds from the manager’s insurance policy for reasons other than an “Entitling Event”. An “Entitling Event” means death, disability or retirement at the age of sixty (60) or more.</w:t>
      </w:r>
    </w:p>
    <w:p>
      <w:pPr>
        <w:spacing w:after="0" w:line="195" w:lineRule="exact"/>
        <w:rPr>
          <w:sz w:val="20"/>
          <w:szCs w:val="20"/>
          <w:color w:val="auto"/>
        </w:rPr>
      </w:pPr>
    </w:p>
    <w:p>
      <w:pPr>
        <w:jc w:val="both"/>
        <w:ind w:left="300" w:right="20" w:hanging="291"/>
        <w:spacing w:after="0" w:line="318"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Disability Insurance</w:t>
      </w:r>
      <w:r>
        <w:rPr>
          <w:rFonts w:ascii="Arial" w:cs="Arial" w:eastAsia="Arial" w:hAnsi="Arial"/>
          <w:sz w:val="15"/>
          <w:szCs w:val="15"/>
          <w:color w:val="auto"/>
        </w:rPr>
        <w:t>. In addition to the foregoing, during the Employment Period BioLine will bear the cost of disability insurance with an insurance company (</w:t>
      </w:r>
      <w:r>
        <w:rPr>
          <w:rFonts w:ascii="Arial" w:cs="Arial" w:eastAsia="Arial" w:hAnsi="Arial"/>
          <w:sz w:val="15"/>
          <w:szCs w:val="15"/>
          <w:i w:val="1"/>
          <w:iCs w:val="1"/>
          <w:color w:val="auto"/>
        </w:rPr>
        <w:t>Ovdan</w:t>
      </w:r>
      <w:r>
        <w:rPr>
          <w:rFonts w:ascii="Arial" w:cs="Arial" w:eastAsia="Arial" w:hAnsi="Arial"/>
          <w:sz w:val="15"/>
          <w:szCs w:val="15"/>
          <w:color w:val="auto"/>
        </w:rPr>
        <w:t xml:space="preserve"> </w:t>
      </w:r>
      <w:r>
        <w:rPr>
          <w:rFonts w:ascii="Arial" w:cs="Arial" w:eastAsia="Arial" w:hAnsi="Arial"/>
          <w:sz w:val="15"/>
          <w:szCs w:val="15"/>
          <w:i w:val="1"/>
          <w:iCs w:val="1"/>
          <w:color w:val="auto"/>
        </w:rPr>
        <w:t>Kosher Avoda</w:t>
      </w:r>
      <w:r>
        <w:rPr>
          <w:rFonts w:ascii="Arial" w:cs="Arial" w:eastAsia="Arial" w:hAnsi="Arial"/>
          <w:sz w:val="15"/>
          <w:szCs w:val="15"/>
          <w:color w:val="auto"/>
        </w:rPr>
        <w:t>). The amount paid by BioLine for such insurance shall be as generally accepted, but shall not exceed 2.5% of the Salary.</w:t>
      </w:r>
    </w:p>
    <w:p>
      <w:pPr>
        <w:spacing w:after="0" w:line="152" w:lineRule="exact"/>
        <w:rPr>
          <w:sz w:val="20"/>
          <w:szCs w:val="20"/>
          <w:color w:val="auto"/>
        </w:rPr>
      </w:pPr>
    </w:p>
    <w:p>
      <w:pPr>
        <w:jc w:val="both"/>
        <w:ind w:left="300" w:right="20" w:hanging="291"/>
        <w:spacing w:after="0" w:line="26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Advanced Study Fund</w:t>
      </w:r>
      <w:r>
        <w:rPr>
          <w:rFonts w:ascii="Arial" w:cs="Arial" w:eastAsia="Arial" w:hAnsi="Arial"/>
          <w:sz w:val="16"/>
          <w:szCs w:val="16"/>
          <w:color w:val="auto"/>
        </w:rPr>
        <w:t>. At the end of the Initial Period, and subject to the continued employment of Employee following the Initial Period, BioLine will maintain an advanced study fund (</w:t>
      </w:r>
      <w:r>
        <w:rPr>
          <w:rFonts w:ascii="Arial" w:cs="Arial" w:eastAsia="Arial" w:hAnsi="Arial"/>
          <w:sz w:val="16"/>
          <w:szCs w:val="16"/>
          <w:i w:val="1"/>
          <w:iCs w:val="1"/>
          <w:color w:val="auto"/>
        </w:rPr>
        <w:t>Keren Hishtalmut</w:t>
      </w:r>
      <w:r>
        <w:rPr>
          <w:rFonts w:ascii="Arial" w:cs="Arial" w:eastAsia="Arial" w:hAnsi="Arial"/>
          <w:sz w:val="16"/>
          <w:szCs w:val="16"/>
          <w:color w:val="auto"/>
        </w:rPr>
        <w:t>) recognized by the Israeli Income Tax Authorities, retroactive to the Commencement Date, such that BioLine and Employee shall contribute to such fund an amount equal to 7.5% of the Salary and 2.5% of the Salary, respectively. Any tax payable in respect of such contributions to such fund shall be borne and paid by the Employee.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Convalescence</w:t>
      </w:r>
      <w:r>
        <w:rPr>
          <w:rFonts w:ascii="Arial" w:cs="Arial" w:eastAsia="Arial" w:hAnsi="Arial"/>
          <w:sz w:val="15"/>
          <w:szCs w:val="15"/>
          <w:color w:val="auto"/>
        </w:rPr>
        <w:t>. During the Employment Period, Employee shall be entitled to receive convalescence allowance (</w:t>
      </w:r>
      <w:r>
        <w:rPr>
          <w:rFonts w:ascii="Arial" w:cs="Arial" w:eastAsia="Arial" w:hAnsi="Arial"/>
          <w:sz w:val="15"/>
          <w:szCs w:val="15"/>
          <w:i w:val="1"/>
          <w:iCs w:val="1"/>
          <w:color w:val="auto"/>
        </w:rPr>
        <w:t>Dmei Havra’a</w:t>
      </w:r>
      <w:r>
        <w:rPr>
          <w:rFonts w:ascii="Arial" w:cs="Arial" w:eastAsia="Arial" w:hAnsi="Arial"/>
          <w:sz w:val="15"/>
          <w:szCs w:val="15"/>
          <w:color w:val="auto"/>
        </w:rPr>
        <w:t>) pursuant to applicable law.</w:t>
      </w:r>
    </w:p>
    <w:p>
      <w:pPr>
        <w:spacing w:after="0" w:line="266" w:lineRule="exact"/>
        <w:rPr>
          <w:sz w:val="20"/>
          <w:szCs w:val="20"/>
          <w:color w:val="auto"/>
        </w:rPr>
      </w:pPr>
    </w:p>
    <w:p>
      <w:pPr>
        <w:jc w:val="both"/>
        <w:ind w:left="300" w:hanging="291"/>
        <w:spacing w:after="0" w:line="268"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Sick Leave</w:t>
      </w:r>
      <w:r>
        <w:rPr>
          <w:rFonts w:ascii="Arial" w:cs="Arial" w:eastAsia="Arial" w:hAnsi="Arial"/>
          <w:sz w:val="16"/>
          <w:szCs w:val="16"/>
          <w:color w:val="auto"/>
        </w:rPr>
        <w:t>. The Employee shall be entitled to be absent from work each year due to illness for the number of days allowed pursuant to the Sick Pay Law 5736 - 1976, and shall be entitled to fully paid sick leave upon presentation of appropriate medical documentation regarding said illness. Any amounts paid to the Employee on account of the disability insurance indicated in subsection 7.3 above, will be on account of Sick Leave payment.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Reserve Service</w:t>
      </w:r>
      <w:r>
        <w:rPr>
          <w:rFonts w:ascii="Arial" w:cs="Arial" w:eastAsia="Arial" w:hAnsi="Arial"/>
          <w:sz w:val="15"/>
          <w:szCs w:val="15"/>
          <w:color w:val="auto"/>
        </w:rPr>
        <w:t>. During the Employment Period, BioLine shall pay the full salary of the Employee during the period of the Employee’s military reserve service.</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National Insurance Institute transfers in connection with such military reserved duty shall be retained by BioLine.</w:t>
      </w:r>
    </w:p>
    <w:p>
      <w:pPr>
        <w:spacing w:after="0" w:line="218" w:lineRule="exact"/>
        <w:rPr>
          <w:sz w:val="20"/>
          <w:szCs w:val="20"/>
          <w:color w:val="auto"/>
        </w:rPr>
      </w:pPr>
    </w:p>
    <w:p>
      <w:pPr>
        <w:jc w:val="both"/>
        <w:ind w:left="300" w:right="20" w:hanging="291"/>
        <w:spacing w:after="0" w:line="263"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Vacation</w:t>
      </w:r>
      <w:r>
        <w:rPr>
          <w:rFonts w:ascii="Arial" w:cs="Arial" w:eastAsia="Arial" w:hAnsi="Arial"/>
          <w:sz w:val="16"/>
          <w:szCs w:val="16"/>
          <w:color w:val="auto"/>
        </w:rPr>
        <w:t>. During the Employment Period, Employee shall be entitled to vacation in the number of working days per year as set forth in Exhibit A, as adjusted in accordance with applicable law. A “working day” shall mean Sunday to Thursday inclusive, and the use of said vacation days will be coordinated with BioLine. Employee shall be entitled to accumulation and redemption of vacation days in accordance with BioLine’s employees’ handbook, which may be amended from time to time in BioLine’s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2604135</wp:posOffset>
            </wp:positionH>
            <wp:positionV relativeFrom="paragraph">
              <wp:posOffset>253365</wp:posOffset>
            </wp:positionV>
            <wp:extent cx="178625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91" w:lineRule="exact"/>
        <w:rPr>
          <w:sz w:val="20"/>
          <w:szCs w:val="20"/>
          <w:color w:val="auto"/>
        </w:rPr>
      </w:pPr>
    </w:p>
    <w:p>
      <w:pPr>
        <w:ind w:left="4500"/>
        <w:spacing w:after="0"/>
        <w:tabs>
          <w:tab w:leader="none" w:pos="5900"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45720</wp:posOffset>
            </wp:positionV>
            <wp:extent cx="725995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302" w:lineRule="exact"/>
        <w:rPr>
          <w:sz w:val="20"/>
          <w:szCs w:val="20"/>
          <w:color w:val="auto"/>
        </w:rPr>
      </w:pPr>
    </w:p>
    <w:p>
      <w:pPr>
        <w:jc w:val="both"/>
        <w:ind w:left="583" w:hanging="291"/>
        <w:spacing w:after="0" w:line="283"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Mobile Phone</w:t>
      </w:r>
      <w:r>
        <w:rPr>
          <w:rFonts w:ascii="Arial" w:cs="Arial" w:eastAsia="Arial" w:hAnsi="Arial"/>
          <w:sz w:val="16"/>
          <w:szCs w:val="16"/>
          <w:color w:val="auto"/>
        </w:rPr>
        <w:t>. During the Employment Period, the Employee shall be entitled to receive a mobile phone. Employee shall use the mobile phone in a standard and reasonable manner, and in accordance with BioLine’s policies.</w:t>
      </w:r>
    </w:p>
    <w:p>
      <w:pPr>
        <w:spacing w:after="0" w:line="175" w:lineRule="exact"/>
        <w:rPr>
          <w:sz w:val="20"/>
          <w:szCs w:val="20"/>
          <w:color w:val="auto"/>
        </w:rPr>
      </w:pPr>
    </w:p>
    <w:p>
      <w:pPr>
        <w:jc w:val="both"/>
        <w:ind w:left="623" w:hanging="328"/>
        <w:spacing w:after="0" w:line="274" w:lineRule="auto"/>
        <w:tabs>
          <w:tab w:leader="none" w:pos="602" w:val="left"/>
        </w:tabs>
        <w:rPr>
          <w:sz w:val="20"/>
          <w:szCs w:val="20"/>
          <w:color w:val="auto"/>
        </w:rPr>
      </w:pPr>
      <w:r>
        <w:rPr>
          <w:rFonts w:ascii="Arial" w:cs="Arial" w:eastAsia="Arial" w:hAnsi="Arial"/>
          <w:sz w:val="16"/>
          <w:szCs w:val="16"/>
          <w:color w:val="auto"/>
        </w:rPr>
        <w:t>7.10.</w:t>
      </w:r>
      <w:r>
        <w:rPr>
          <w:sz w:val="20"/>
          <w:szCs w:val="20"/>
          <w:color w:val="auto"/>
        </w:rPr>
        <w:tab/>
      </w:r>
      <w:r>
        <w:rPr>
          <w:rFonts w:ascii="Arial" w:cs="Arial" w:eastAsia="Arial" w:hAnsi="Arial"/>
          <w:sz w:val="15"/>
          <w:szCs w:val="15"/>
          <w:u w:val="single" w:color="auto"/>
          <w:color w:val="auto"/>
        </w:rPr>
        <w:t xml:space="preserve">Automobile. </w:t>
      </w:r>
      <w:r>
        <w:rPr>
          <w:rFonts w:ascii="Arial" w:cs="Arial" w:eastAsia="Arial" w:hAnsi="Arial"/>
          <w:sz w:val="15"/>
          <w:szCs w:val="15"/>
          <w:color w:val="auto"/>
        </w:rPr>
        <w:t>For purposes of performance of Employee’s duties and tasks, and during the Employment Period, BioLine shall make available to Employee a</w:t>
      </w:r>
      <w:r>
        <w:rPr>
          <w:rFonts w:ascii="Arial" w:cs="Arial" w:eastAsia="Arial" w:hAnsi="Arial"/>
          <w:sz w:val="15"/>
          <w:szCs w:val="15"/>
          <w:u w:val="single" w:color="auto"/>
          <w:color w:val="auto"/>
        </w:rPr>
        <w:t xml:space="preserve"> </w:t>
      </w:r>
      <w:r>
        <w:rPr>
          <w:rFonts w:ascii="Arial" w:cs="Arial" w:eastAsia="Arial" w:hAnsi="Arial"/>
          <w:sz w:val="15"/>
          <w:szCs w:val="15"/>
          <w:color w:val="auto"/>
        </w:rPr>
        <w:t>company vehicle, leased or owned by BioLine of a type to be elected by BioLine, in accordance with its policies which may be amended from time to time (the “</w:t>
      </w:r>
      <w:r>
        <w:rPr>
          <w:rFonts w:ascii="Arial" w:cs="Arial" w:eastAsia="Arial" w:hAnsi="Arial"/>
          <w:sz w:val="15"/>
          <w:szCs w:val="15"/>
          <w:b w:val="1"/>
          <w:bCs w:val="1"/>
          <w:color w:val="auto"/>
        </w:rPr>
        <w:t>Company Car</w:t>
      </w:r>
      <w:r>
        <w:rPr>
          <w:rFonts w:ascii="Arial" w:cs="Arial" w:eastAsia="Arial" w:hAnsi="Arial"/>
          <w:sz w:val="15"/>
          <w:szCs w:val="15"/>
          <w:color w:val="auto"/>
        </w:rPr>
        <w:t>”). Employee shall use the Company Car in accordance with BioLine’s car policy then in effect, as well as the requirements of the leasing company and the insurance company. BioLine shall bear the cost of maintenance and repairs, and any insurance deductibles for the Company Car, in accordance with its policies and the Car Agreement which will be signed between Employee and BioLine. Employee shall be liable for paying for fuel, as well as any parking and/or traffic fines received in connection herewith, and for any damages and expenses in case of negligent use of the Company Car and/or use of the Company Car not in accordance with BioLine’s applicable policies. All taxes arising out of the use of the Company Car shall be borne by Employee, and Employee acknowledges that such taxes will be withheld from Employee’s salary as required by law. Employee further acknowledges that the tax treatment of the benefit through use of the Company Car is subject to change, and any economic impact resulting from such changes will be in Employee’s sole responsibility .For the avoidance of doubt, Employee agrees and confirms that the cost of the leasing and/or the cost of the use of the Company Car shall not constitute a component of Employee’s Salary, including with regard to social benefits and/or any other right to which Employee is entitled by virtue of this Agreement or under law. The Employee shall be required to follow rules and regulations as to the usage of the Company Car as described in the “Company Car Lease Agreement” or “Car Addendum” provided to the Employee prior to receipt of the Company Car. The Company Car will remain in BioLine’s ownership, and will be returned to BioLine immediately upon termination of Employee’s employment with BioLine for any reason, as of the date of termination. The Employee shall not be entitled to use a Company Car during unpaid leaves or absences, unless specifically approved by BioLine in writing.</w:t>
      </w:r>
    </w:p>
    <w:p>
      <w:pPr>
        <w:spacing w:after="0" w:line="188" w:lineRule="exact"/>
        <w:rPr>
          <w:sz w:val="20"/>
          <w:szCs w:val="20"/>
          <w:color w:val="auto"/>
        </w:rPr>
      </w:pPr>
    </w:p>
    <w:p>
      <w:pPr>
        <w:ind w:left="283"/>
        <w:spacing w:after="0"/>
        <w:rPr>
          <w:sz w:val="20"/>
          <w:szCs w:val="20"/>
          <w:color w:val="auto"/>
        </w:rPr>
      </w:pPr>
      <w:r>
        <w:rPr>
          <w:rFonts w:ascii="Arial" w:cs="Arial" w:eastAsia="Arial" w:hAnsi="Arial"/>
          <w:sz w:val="16"/>
          <w:szCs w:val="16"/>
          <w:color w:val="auto"/>
        </w:rPr>
        <w:t>7.11.</w:t>
      </w:r>
    </w:p>
    <w:p>
      <w:pPr>
        <w:spacing w:after="0" w:line="230" w:lineRule="exact"/>
        <w:rPr>
          <w:sz w:val="20"/>
          <w:szCs w:val="20"/>
          <w:color w:val="auto"/>
        </w:rPr>
      </w:pPr>
    </w:p>
    <w:p>
      <w:pPr>
        <w:jc w:val="both"/>
        <w:ind w:left="283"/>
        <w:spacing w:after="0" w:line="283" w:lineRule="auto"/>
        <w:rPr>
          <w:sz w:val="20"/>
          <w:szCs w:val="20"/>
          <w:color w:val="auto"/>
        </w:rPr>
      </w:pPr>
      <w:r>
        <w:rPr>
          <w:rFonts w:ascii="Arial" w:cs="Arial" w:eastAsia="Arial" w:hAnsi="Arial"/>
          <w:sz w:val="16"/>
          <w:szCs w:val="16"/>
          <w:color w:val="auto"/>
        </w:rPr>
        <w:t>Notwithstanding anything to the contrary herein, all payments and contributions of BioLine under this Agreement shall be limited to the applicable deductible amount required by the tax authorities.</w:t>
      </w:r>
    </w:p>
    <w:p>
      <w:pPr>
        <w:spacing w:after="0" w:line="171" w:lineRule="exact"/>
        <w:rPr>
          <w:sz w:val="20"/>
          <w:szCs w:val="20"/>
          <w:color w:val="auto"/>
        </w:rPr>
      </w:pPr>
    </w:p>
    <w:p>
      <w:pPr>
        <w:jc w:val="both"/>
        <w:ind w:left="283" w:hanging="283"/>
        <w:spacing w:after="0" w:line="265" w:lineRule="auto"/>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BioLine Property</w:t>
      </w:r>
      <w:r>
        <w:rPr>
          <w:rFonts w:ascii="Arial" w:cs="Arial" w:eastAsia="Arial" w:hAnsi="Arial"/>
          <w:sz w:val="16"/>
          <w:szCs w:val="16"/>
          <w:color w:val="auto"/>
        </w:rPr>
        <w:t>. Employee acknowledges and agrees that the computer, telephone, email account and any other device providing for transmittal and storage of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which are placed at Employee’s disposal by BioLine during the Employment Period are and shall remain the property of BioLine. Employee confirms its understanding that BioLine regularly reviews email correspondence and other information transmitted and stored by using the equipment stated above, and Bioline reserves the right to copy, store, present to others, and use such information.</w:t>
      </w:r>
    </w:p>
    <w:p>
      <w:pPr>
        <w:spacing w:after="0" w:line="185" w:lineRule="exact"/>
        <w:rPr>
          <w:rFonts w:ascii="Arial" w:cs="Arial" w:eastAsia="Arial" w:hAnsi="Arial"/>
          <w:sz w:val="16"/>
          <w:szCs w:val="16"/>
          <w:color w:val="auto"/>
        </w:rPr>
      </w:pPr>
    </w:p>
    <w:p>
      <w:pPr>
        <w:jc w:val="both"/>
        <w:ind w:left="283" w:hanging="283"/>
        <w:spacing w:after="0" w:line="271" w:lineRule="auto"/>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Employee shall be reimbursed for all direct business expenses borne by Employee, in accordance with BioLine’s policies as determined by BioLine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provided that such expenses were approved by Employee’s Superior in advance. As a condition to reimbursement, Emploee shall be required to provide BioLine with all invoices, receipts and other evidence of expenditure as may be reasonably required by BioLine from time to time.</w:t>
      </w:r>
    </w:p>
    <w:p>
      <w:pPr>
        <w:spacing w:after="0" w:line="180" w:lineRule="exact"/>
        <w:rPr>
          <w:rFonts w:ascii="Arial" w:cs="Arial" w:eastAsia="Arial" w:hAnsi="Arial"/>
          <w:sz w:val="16"/>
          <w:szCs w:val="16"/>
          <w:color w:val="auto"/>
        </w:rPr>
      </w:pPr>
    </w:p>
    <w:p>
      <w:pPr>
        <w:jc w:val="both"/>
        <w:ind w:left="283" w:hanging="283"/>
        <w:spacing w:after="0" w:line="271" w:lineRule="auto"/>
        <w:tabs>
          <w:tab w:leader="none" w:pos="283"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Options</w:t>
      </w:r>
      <w:r>
        <w:rPr>
          <w:rFonts w:ascii="Arial" w:cs="Arial" w:eastAsia="Arial" w:hAnsi="Arial"/>
          <w:sz w:val="16"/>
          <w:szCs w:val="16"/>
          <w:color w:val="auto"/>
        </w:rPr>
        <w:t>. Subject to the approval of the BioLine Board of Directors, Employee shall be granted options to purchase Ordinary Shares par value NIS 0.01 each of BioLine,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amount set forth in Exhibit A, to be granted pursuant to, and in accordance with, the terms and conditions of the share option plan adopted by BioLine (the “</w:t>
      </w:r>
      <w:r>
        <w:rPr>
          <w:rFonts w:ascii="Arial" w:cs="Arial" w:eastAsia="Arial" w:hAnsi="Arial"/>
          <w:sz w:val="16"/>
          <w:szCs w:val="16"/>
          <w:b w:val="1"/>
          <w:bCs w:val="1"/>
          <w:color w:val="auto"/>
        </w:rPr>
        <w:t>Options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248920</wp:posOffset>
            </wp:positionV>
            <wp:extent cx="178625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84"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440" w:right="23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298" w:lineRule="exact"/>
        <w:rPr>
          <w:sz w:val="20"/>
          <w:szCs w:val="20"/>
          <w:color w:val="auto"/>
        </w:rPr>
      </w:pPr>
    </w:p>
    <w:p>
      <w:pPr>
        <w:ind w:left="283" w:hanging="283"/>
        <w:spacing w:after="0"/>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w:t>
      </w:r>
    </w:p>
    <w:p>
      <w:pPr>
        <w:spacing w:after="0" w:line="233" w:lineRule="exact"/>
        <w:rPr>
          <w:rFonts w:ascii="Arial" w:cs="Arial" w:eastAsia="Arial" w:hAnsi="Arial"/>
          <w:sz w:val="16"/>
          <w:szCs w:val="16"/>
          <w:color w:val="auto"/>
        </w:rPr>
      </w:pPr>
    </w:p>
    <w:p>
      <w:pPr>
        <w:ind w:left="623" w:right="20" w:hanging="329"/>
        <w:spacing w:after="0" w:line="294" w:lineRule="auto"/>
        <w:rPr>
          <w:rFonts w:ascii="Arial" w:cs="Arial" w:eastAsia="Arial" w:hAnsi="Arial"/>
          <w:sz w:val="16"/>
          <w:szCs w:val="16"/>
          <w:color w:val="auto"/>
        </w:rPr>
      </w:pPr>
      <w:r>
        <w:rPr>
          <w:rFonts w:ascii="Arial" w:cs="Arial" w:eastAsia="Arial" w:hAnsi="Arial"/>
          <w:sz w:val="16"/>
          <w:szCs w:val="16"/>
          <w:color w:val="auto"/>
        </w:rPr>
        <w:t>11.1.</w:t>
      </w:r>
      <w:r>
        <w:rPr>
          <w:rFonts w:ascii="Arial" w:cs="Arial" w:eastAsia="Arial" w:hAnsi="Arial"/>
          <w:sz w:val="15"/>
          <w:szCs w:val="15"/>
          <w:color w:val="auto"/>
        </w:rPr>
        <w:t>The laws of the State of Israel shall apply to this Agreement and the sole and exclusive place of jurisdiction in any matter arising out of or in connection with this Agreement shall be the Jerusalem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w:t>
      </w:r>
    </w:p>
    <w:p>
      <w:pPr>
        <w:spacing w:after="0" w:line="169" w:lineRule="exact"/>
        <w:rPr>
          <w:rFonts w:ascii="Arial" w:cs="Arial" w:eastAsia="Arial" w:hAnsi="Arial"/>
          <w:sz w:val="16"/>
          <w:szCs w:val="16"/>
          <w:color w:val="auto"/>
        </w:rPr>
      </w:pPr>
    </w:p>
    <w:p>
      <w:pPr>
        <w:ind w:left="623" w:right="20" w:hanging="329"/>
        <w:spacing w:after="0" w:line="260" w:lineRule="auto"/>
        <w:rPr>
          <w:rFonts w:ascii="Arial" w:cs="Arial" w:eastAsia="Arial" w:hAnsi="Arial"/>
          <w:sz w:val="16"/>
          <w:szCs w:val="16"/>
          <w:color w:val="auto"/>
        </w:rPr>
      </w:pPr>
      <w:r>
        <w:rPr>
          <w:rFonts w:ascii="Arial" w:cs="Arial" w:eastAsia="Arial" w:hAnsi="Arial"/>
          <w:sz w:val="16"/>
          <w:szCs w:val="16"/>
          <w:color w:val="auto"/>
        </w:rPr>
        <w:t>11.2.This Agreement constitutes the entire agreement and understanding between the parties with respect to the subject matter hereof, and supersedes all prior written or oral agreements with respect thereto. This Agreement may not be modified except by written instrument signed by a duly authorized representative of each party hereto.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that it shall be determined under any applicable law that a certain provision set forth in this Agreement is invalid or unenforceable, such determination shall not affect the remaining provisions of this Agreement.</w:t>
      </w:r>
    </w:p>
    <w:p>
      <w:pPr>
        <w:spacing w:after="0" w:line="192" w:lineRule="exact"/>
        <w:rPr>
          <w:rFonts w:ascii="Arial" w:cs="Arial" w:eastAsia="Arial" w:hAnsi="Arial"/>
          <w:sz w:val="16"/>
          <w:szCs w:val="16"/>
          <w:color w:val="auto"/>
        </w:rPr>
      </w:pPr>
    </w:p>
    <w:p>
      <w:pPr>
        <w:ind w:left="623" w:right="20" w:hanging="329"/>
        <w:spacing w:after="0" w:line="268" w:lineRule="auto"/>
        <w:rPr>
          <w:rFonts w:ascii="Arial" w:cs="Arial" w:eastAsia="Arial" w:hAnsi="Arial"/>
          <w:sz w:val="16"/>
          <w:szCs w:val="16"/>
          <w:color w:val="auto"/>
        </w:rPr>
      </w:pPr>
      <w:r>
        <w:rPr>
          <w:rFonts w:ascii="Arial" w:cs="Arial" w:eastAsia="Arial" w:hAnsi="Arial"/>
          <w:sz w:val="16"/>
          <w:szCs w:val="16"/>
          <w:color w:val="auto"/>
        </w:rPr>
        <w:t>11.3.This Agreement may be assigned by BioLine. Employee may not assign or delegate his/her duties under this Agreement without the prior written consent of BioLine. This agreement shall be binding upon the heirs, successors and permitted assignees of Employee. The provisions of this Agreement shall survive the termination of the Employment Period and the assignment of this Agreement by BioLine to any successor or other assignee.</w:t>
      </w:r>
    </w:p>
    <w:p>
      <w:pPr>
        <w:spacing w:after="0" w:line="200" w:lineRule="exact"/>
        <w:rPr>
          <w:sz w:val="20"/>
          <w:szCs w:val="20"/>
          <w:color w:val="auto"/>
        </w:rPr>
      </w:pPr>
    </w:p>
    <w:p>
      <w:pPr>
        <w:spacing w:after="0" w:line="206" w:lineRule="exact"/>
        <w:rPr>
          <w:sz w:val="20"/>
          <w:szCs w:val="20"/>
          <w:color w:val="auto"/>
        </w:rPr>
      </w:pPr>
    </w:p>
    <w:p>
      <w:pPr>
        <w:ind w:left="143"/>
        <w:spacing w:after="0"/>
        <w:rPr>
          <w:sz w:val="20"/>
          <w:szCs w:val="20"/>
          <w:color w:val="auto"/>
        </w:rPr>
      </w:pPr>
      <w:r>
        <w:rPr>
          <w:rFonts w:ascii="Arial" w:cs="Arial" w:eastAsia="Arial" w:hAnsi="Arial"/>
          <w:sz w:val="16"/>
          <w:szCs w:val="16"/>
          <w:color w:val="auto"/>
        </w:rPr>
        <w:t>IN WITNESS WHEREOF, the parties have executed this Agreement as of the date first set forth above.</w:t>
      </w:r>
    </w:p>
    <w:p>
      <w:pPr>
        <w:spacing w:after="0" w:line="230"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color w:val="auto"/>
              </w:rPr>
              <w:t>/s/ Morris Laster</w:t>
            </w: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Philip Serlin</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4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374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BioLineRx Ltd.</w:t>
            </w:r>
          </w:p>
        </w:tc>
        <w:tc>
          <w:tcPr>
            <w:tcW w:w="480" w:type="dxa"/>
            <w:vAlign w:val="bottom"/>
          </w:tcPr>
          <w:p>
            <w:pPr>
              <w:spacing w:after="0"/>
              <w:rPr>
                <w:sz w:val="15"/>
                <w:szCs w:val="15"/>
                <w:color w:val="auto"/>
              </w:rPr>
            </w:pPr>
          </w:p>
        </w:tc>
        <w:tc>
          <w:tcPr>
            <w:tcW w:w="1640" w:type="dxa"/>
            <w:vAlign w:val="bottom"/>
            <w:gridSpan w:val="5"/>
          </w:tcPr>
          <w:p>
            <w:pPr>
              <w:spacing w:after="0" w:line="182" w:lineRule="exact"/>
              <w:rPr>
                <w:sz w:val="20"/>
                <w:szCs w:val="20"/>
                <w:color w:val="auto"/>
              </w:rPr>
            </w:pPr>
            <w:r>
              <w:rPr>
                <w:rFonts w:ascii="Arial" w:cs="Arial" w:eastAsia="Arial" w:hAnsi="Arial"/>
                <w:sz w:val="16"/>
                <w:szCs w:val="16"/>
                <w:b w:val="1"/>
                <w:bCs w:val="1"/>
                <w:color w:val="auto"/>
              </w:rPr>
              <w:t>Employee</w:t>
            </w: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171"/>
        </w:trPr>
        <w:tc>
          <w:tcPr>
            <w:tcW w:w="3760" w:type="dxa"/>
            <w:vAlign w:val="bottom"/>
            <w:gridSpan w:val="4"/>
          </w:tcPr>
          <w:p>
            <w:pPr>
              <w:spacing w:after="0" w:line="171" w:lineRule="exact"/>
              <w:rPr>
                <w:sz w:val="20"/>
                <w:szCs w:val="20"/>
                <w:color w:val="auto"/>
              </w:rPr>
            </w:pPr>
            <w:r>
              <w:rPr>
                <w:rFonts w:ascii="Arial" w:cs="Arial" w:eastAsia="Arial" w:hAnsi="Arial"/>
                <w:sz w:val="16"/>
                <w:szCs w:val="16"/>
                <w:color w:val="auto"/>
              </w:rPr>
              <w:t>By:MORRIS LASTER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0"/>
        </w:trPr>
        <w:tc>
          <w:tcPr>
            <w:tcW w:w="24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75"/>
        </w:trPr>
        <w:tc>
          <w:tcPr>
            <w:tcW w:w="3760" w:type="dxa"/>
            <w:vAlign w:val="bottom"/>
            <w:gridSpan w:val="4"/>
          </w:tcPr>
          <w:p>
            <w:pPr>
              <w:spacing w:after="0" w:line="175" w:lineRule="exact"/>
              <w:rPr>
                <w:sz w:val="20"/>
                <w:szCs w:val="20"/>
                <w:color w:val="auto"/>
              </w:rPr>
            </w:pPr>
            <w:r>
              <w:rPr>
                <w:rFonts w:ascii="Arial" w:cs="Arial" w:eastAsia="Arial" w:hAnsi="Arial"/>
                <w:sz w:val="16"/>
                <w:szCs w:val="16"/>
                <w:color w:val="auto"/>
              </w:rPr>
              <w:t>Title: CEO</w:t>
            </w:r>
          </w:p>
        </w:tc>
        <w:tc>
          <w:tcPr>
            <w:tcW w:w="2120" w:type="dxa"/>
            <w:vAlign w:val="bottom"/>
            <w:gridSpan w:val="6"/>
          </w:tcPr>
          <w:p>
            <w:pPr>
              <w:ind w:left="480"/>
              <w:spacing w:after="0" w:line="175" w:lineRule="exact"/>
              <w:rPr>
                <w:sz w:val="20"/>
                <w:szCs w:val="20"/>
                <w:color w:val="auto"/>
              </w:rPr>
            </w:pPr>
            <w:r>
              <w:rPr>
                <w:rFonts w:ascii="Arial" w:cs="Arial" w:eastAsia="Arial" w:hAnsi="Arial"/>
                <w:sz w:val="16"/>
                <w:szCs w:val="16"/>
                <w:color w:val="auto"/>
              </w:rPr>
              <w:t>Name:PHILIP SERLIN</w:t>
            </w: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43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ind w:left="100"/>
              <w:spacing w:after="0"/>
              <w:rPr>
                <w:sz w:val="20"/>
                <w:szCs w:val="20"/>
                <w:color w:val="auto"/>
              </w:rPr>
            </w:pPr>
            <w:r>
              <w:rPr>
                <w:rFonts w:ascii="Arial" w:cs="Arial" w:eastAsia="Arial" w:hAnsi="Arial"/>
                <w:sz w:val="16"/>
                <w:szCs w:val="16"/>
                <w:color w:val="auto"/>
              </w:rPr>
              <w:t>BioLine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ind w:left="320"/>
              <w:spacing w:after="0"/>
              <w:rPr>
                <w:sz w:val="20"/>
                <w:szCs w:val="20"/>
                <w:color w:val="auto"/>
              </w:rPr>
            </w:pPr>
            <w:r>
              <w:rPr>
                <w:rFonts w:ascii="Arial" w:cs="Arial" w:eastAsia="Arial" w:hAnsi="Arial"/>
                <w:sz w:val="16"/>
                <w:szCs w:val="16"/>
                <w:color w:val="auto"/>
              </w:rPr>
              <w:t>Employee</w:t>
            </w:r>
          </w:p>
        </w:tc>
        <w:tc>
          <w:tcPr>
            <w:tcW w:w="80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4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40" w:type="dxa"/>
            <w:vAlign w:val="bottom"/>
            <w:gridSpan w:val="5"/>
          </w:tcPr>
          <w:p>
            <w:pPr>
              <w:jc w:val="right"/>
              <w:ind w:right="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4"/>
        </w:trPr>
        <w:tc>
          <w:tcPr>
            <w:tcW w:w="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r>
    </w:tbl>
    <w:p>
      <w:pPr>
        <w:sectPr>
          <w:pgSz w:w="11900" w:h="16838" w:orient="portrait"/>
          <w:cols w:equalWidth="0" w:num="1">
            <w:col w:w="11443"/>
          </w:cols>
          <w:pgMar w:left="237" w:top="1440" w:right="21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76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5"/>
              </w:rPr>
              <w:t>Exhibit A</w:t>
            </w:r>
          </w:p>
        </w:tc>
        <w:tc>
          <w:tcPr>
            <w:tcW w:w="106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414"/>
        </w:trPr>
        <w:tc>
          <w:tcPr>
            <w:tcW w:w="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2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2"/>
              </w:rPr>
              <w:t>Particulars of Employment</w:t>
            </w:r>
          </w:p>
        </w:tc>
        <w:tc>
          <w:tcPr>
            <w:tcW w:w="4240" w:type="dxa"/>
            <w:vAlign w:val="bottom"/>
          </w:tcPr>
          <w:p>
            <w:pPr>
              <w:spacing w:after="0"/>
              <w:rPr>
                <w:sz w:val="24"/>
                <w:szCs w:val="24"/>
                <w:color w:val="auto"/>
              </w:rPr>
            </w:pPr>
          </w:p>
        </w:tc>
      </w:tr>
      <w:tr>
        <w:trPr>
          <w:trHeight w:val="414"/>
        </w:trPr>
        <w:tc>
          <w:tcPr>
            <w:tcW w:w="820" w:type="dxa"/>
            <w:vAlign w:val="bottom"/>
          </w:tcPr>
          <w:p>
            <w:pPr>
              <w:ind w:left="280"/>
              <w:spacing w:after="0"/>
              <w:rPr>
                <w:sz w:val="20"/>
                <w:szCs w:val="20"/>
                <w:color w:val="auto"/>
              </w:rPr>
            </w:pPr>
            <w:r>
              <w:rPr>
                <w:rFonts w:ascii="Arial" w:cs="Arial" w:eastAsia="Arial" w:hAnsi="Arial"/>
                <w:sz w:val="16"/>
                <w:szCs w:val="16"/>
                <w:color w:val="auto"/>
              </w:rPr>
              <w:t>1.</w:t>
            </w:r>
          </w:p>
        </w:tc>
        <w:tc>
          <w:tcPr>
            <w:tcW w:w="3560" w:type="dxa"/>
            <w:vAlign w:val="bottom"/>
          </w:tcPr>
          <w:p>
            <w:pPr>
              <w:ind w:left="320"/>
              <w:spacing w:after="0"/>
              <w:rPr>
                <w:sz w:val="20"/>
                <w:szCs w:val="20"/>
                <w:color w:val="auto"/>
              </w:rPr>
            </w:pPr>
            <w:r>
              <w:rPr>
                <w:rFonts w:ascii="Arial" w:cs="Arial" w:eastAsia="Arial" w:hAnsi="Arial"/>
                <w:sz w:val="16"/>
                <w:szCs w:val="16"/>
                <w:color w:val="auto"/>
              </w:rPr>
              <w:t>Name of Employee:</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Philip Serlin</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2.</w:t>
            </w:r>
          </w:p>
        </w:tc>
        <w:tc>
          <w:tcPr>
            <w:tcW w:w="3560" w:type="dxa"/>
            <w:vAlign w:val="bottom"/>
          </w:tcPr>
          <w:p>
            <w:pPr>
              <w:ind w:left="320"/>
              <w:spacing w:after="0"/>
              <w:rPr>
                <w:sz w:val="20"/>
                <w:szCs w:val="20"/>
                <w:color w:val="auto"/>
              </w:rPr>
            </w:pPr>
            <w:r>
              <w:rPr>
                <w:rFonts w:ascii="Arial" w:cs="Arial" w:eastAsia="Arial" w:hAnsi="Arial"/>
                <w:sz w:val="16"/>
                <w:szCs w:val="16"/>
                <w:color w:val="auto"/>
              </w:rPr>
              <w:t>ID No. of Employee:</w:t>
            </w:r>
          </w:p>
        </w:tc>
        <w:tc>
          <w:tcPr>
            <w:tcW w:w="1320" w:type="dxa"/>
            <w:vAlign w:val="bottom"/>
          </w:tcPr>
          <w:p>
            <w:pPr>
              <w:ind w:left="200"/>
              <w:spacing w:after="0"/>
              <w:rPr>
                <w:sz w:val="20"/>
                <w:szCs w:val="20"/>
                <w:color w:val="auto"/>
              </w:rPr>
            </w:pPr>
            <w:r>
              <w:rPr>
                <w:rFonts w:ascii="Arial" w:cs="Arial" w:eastAsia="Arial" w:hAnsi="Arial"/>
                <w:sz w:val="16"/>
                <w:szCs w:val="16"/>
                <w:color w:val="auto"/>
              </w:rPr>
              <w:t>310550157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3.</w:t>
            </w:r>
          </w:p>
        </w:tc>
        <w:tc>
          <w:tcPr>
            <w:tcW w:w="3560" w:type="dxa"/>
            <w:vAlign w:val="bottom"/>
          </w:tcPr>
          <w:p>
            <w:pPr>
              <w:ind w:left="320"/>
              <w:spacing w:after="0"/>
              <w:rPr>
                <w:sz w:val="20"/>
                <w:szCs w:val="20"/>
                <w:color w:val="auto"/>
              </w:rPr>
            </w:pPr>
            <w:r>
              <w:rPr>
                <w:rFonts w:ascii="Arial" w:cs="Arial" w:eastAsia="Arial" w:hAnsi="Arial"/>
                <w:sz w:val="16"/>
                <w:szCs w:val="16"/>
                <w:color w:val="auto"/>
              </w:rPr>
              <w:t>Address of Employee:</w:t>
            </w:r>
          </w:p>
        </w:tc>
        <w:tc>
          <w:tcPr>
            <w:tcW w:w="2820" w:type="dxa"/>
            <w:vAlign w:val="bottom"/>
            <w:gridSpan w:val="4"/>
          </w:tcPr>
          <w:p>
            <w:pPr>
              <w:ind w:left="200"/>
              <w:spacing w:after="0"/>
              <w:rPr>
                <w:sz w:val="20"/>
                <w:szCs w:val="20"/>
                <w:color w:val="auto"/>
              </w:rPr>
            </w:pPr>
            <w:r>
              <w:rPr>
                <w:rFonts w:ascii="Arial" w:cs="Arial" w:eastAsia="Arial" w:hAnsi="Arial"/>
                <w:sz w:val="16"/>
                <w:szCs w:val="16"/>
                <w:color w:val="auto"/>
              </w:rPr>
              <w:t>11 Hachazav Street, Bet Shemesh</w:t>
            </w: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4.</w:t>
            </w:r>
          </w:p>
        </w:tc>
        <w:tc>
          <w:tcPr>
            <w:tcW w:w="3560" w:type="dxa"/>
            <w:vAlign w:val="bottom"/>
          </w:tcPr>
          <w:p>
            <w:pPr>
              <w:ind w:left="320"/>
              <w:spacing w:after="0"/>
              <w:rPr>
                <w:sz w:val="20"/>
                <w:szCs w:val="20"/>
                <w:color w:val="auto"/>
              </w:rPr>
            </w:pPr>
            <w:r>
              <w:rPr>
                <w:rFonts w:ascii="Arial" w:cs="Arial" w:eastAsia="Arial" w:hAnsi="Arial"/>
                <w:sz w:val="16"/>
                <w:szCs w:val="16"/>
                <w:color w:val="auto"/>
              </w:rPr>
              <w:t>Position in BioLine:</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w w:val="97"/>
              </w:rPr>
              <w:t>Chief Financial Officer</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5.</w:t>
            </w:r>
          </w:p>
        </w:tc>
        <w:tc>
          <w:tcPr>
            <w:tcW w:w="3560" w:type="dxa"/>
            <w:vAlign w:val="bottom"/>
          </w:tcPr>
          <w:p>
            <w:pPr>
              <w:ind w:left="320"/>
              <w:spacing w:after="0"/>
              <w:rPr>
                <w:sz w:val="20"/>
                <w:szCs w:val="20"/>
                <w:color w:val="auto"/>
              </w:rPr>
            </w:pPr>
            <w:r>
              <w:rPr>
                <w:rFonts w:ascii="Arial" w:cs="Arial" w:eastAsia="Arial" w:hAnsi="Arial"/>
                <w:sz w:val="16"/>
                <w:szCs w:val="16"/>
                <w:color w:val="auto"/>
              </w:rPr>
              <w:t>Commencement Date:</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May 24, 2009</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6.</w:t>
            </w:r>
          </w:p>
        </w:tc>
        <w:tc>
          <w:tcPr>
            <w:tcW w:w="3560" w:type="dxa"/>
            <w:vAlign w:val="bottom"/>
          </w:tcPr>
          <w:p>
            <w:pPr>
              <w:ind w:left="320"/>
              <w:spacing w:after="0"/>
              <w:rPr>
                <w:sz w:val="20"/>
                <w:szCs w:val="20"/>
                <w:color w:val="auto"/>
              </w:rPr>
            </w:pPr>
            <w:r>
              <w:rPr>
                <w:rFonts w:ascii="Arial" w:cs="Arial" w:eastAsia="Arial" w:hAnsi="Arial"/>
                <w:sz w:val="16"/>
                <w:szCs w:val="16"/>
                <w:color w:val="auto"/>
              </w:rPr>
              <w:t>Notice Period:</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60 days</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7.</w:t>
            </w:r>
          </w:p>
        </w:tc>
        <w:tc>
          <w:tcPr>
            <w:tcW w:w="3560" w:type="dxa"/>
            <w:vAlign w:val="bottom"/>
          </w:tcPr>
          <w:p>
            <w:pPr>
              <w:ind w:left="320"/>
              <w:spacing w:after="0"/>
              <w:rPr>
                <w:sz w:val="20"/>
                <w:szCs w:val="20"/>
                <w:color w:val="auto"/>
              </w:rPr>
            </w:pPr>
            <w:r>
              <w:rPr>
                <w:rFonts w:ascii="Arial" w:cs="Arial" w:eastAsia="Arial" w:hAnsi="Arial"/>
                <w:sz w:val="16"/>
                <w:szCs w:val="16"/>
                <w:color w:val="auto"/>
              </w:rPr>
              <w:t>Base Salary:</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NIS 31,500</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8.</w:t>
            </w:r>
          </w:p>
        </w:tc>
        <w:tc>
          <w:tcPr>
            <w:tcW w:w="3560" w:type="dxa"/>
            <w:vAlign w:val="bottom"/>
          </w:tcPr>
          <w:p>
            <w:pPr>
              <w:ind w:left="320"/>
              <w:spacing w:after="0"/>
              <w:rPr>
                <w:sz w:val="20"/>
                <w:szCs w:val="20"/>
                <w:color w:val="auto"/>
              </w:rPr>
            </w:pPr>
            <w:r>
              <w:rPr>
                <w:rFonts w:ascii="Arial" w:cs="Arial" w:eastAsia="Arial" w:hAnsi="Arial"/>
                <w:sz w:val="16"/>
                <w:szCs w:val="16"/>
                <w:color w:val="auto"/>
              </w:rPr>
              <w:t>Overtime Payment:</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NIS 10,500</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9.</w:t>
            </w:r>
          </w:p>
        </w:tc>
        <w:tc>
          <w:tcPr>
            <w:tcW w:w="3560" w:type="dxa"/>
            <w:vAlign w:val="bottom"/>
          </w:tcPr>
          <w:p>
            <w:pPr>
              <w:ind w:left="320"/>
              <w:spacing w:after="0"/>
              <w:rPr>
                <w:sz w:val="20"/>
                <w:szCs w:val="20"/>
                <w:color w:val="auto"/>
              </w:rPr>
            </w:pPr>
            <w:r>
              <w:rPr>
                <w:rFonts w:ascii="Arial" w:cs="Arial" w:eastAsia="Arial" w:hAnsi="Arial"/>
                <w:sz w:val="16"/>
                <w:szCs w:val="16"/>
                <w:color w:val="auto"/>
              </w:rPr>
              <w:t>Car Maintenance Expenses</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NIS 4,097</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10.</w:t>
            </w:r>
          </w:p>
        </w:tc>
        <w:tc>
          <w:tcPr>
            <w:tcW w:w="3560" w:type="dxa"/>
            <w:vAlign w:val="bottom"/>
          </w:tcPr>
          <w:p>
            <w:pPr>
              <w:ind w:left="320"/>
              <w:spacing w:after="0"/>
              <w:rPr>
                <w:sz w:val="20"/>
                <w:szCs w:val="20"/>
                <w:color w:val="auto"/>
              </w:rPr>
            </w:pPr>
            <w:r>
              <w:rPr>
                <w:rFonts w:ascii="Arial" w:cs="Arial" w:eastAsia="Arial" w:hAnsi="Arial"/>
                <w:sz w:val="16"/>
                <w:szCs w:val="16"/>
                <w:color w:val="auto"/>
              </w:rPr>
              <w:t>Vacation Days Per Year:</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21 days</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90"/>
        </w:trPr>
        <w:tc>
          <w:tcPr>
            <w:tcW w:w="820" w:type="dxa"/>
            <w:vAlign w:val="bottom"/>
          </w:tcPr>
          <w:p>
            <w:pPr>
              <w:ind w:left="280"/>
              <w:spacing w:after="0"/>
              <w:rPr>
                <w:sz w:val="20"/>
                <w:szCs w:val="20"/>
                <w:color w:val="auto"/>
              </w:rPr>
            </w:pPr>
            <w:r>
              <w:rPr>
                <w:rFonts w:ascii="Arial" w:cs="Arial" w:eastAsia="Arial" w:hAnsi="Arial"/>
                <w:sz w:val="16"/>
                <w:szCs w:val="16"/>
                <w:color w:val="auto"/>
              </w:rPr>
              <w:t>11.</w:t>
            </w:r>
          </w:p>
        </w:tc>
        <w:tc>
          <w:tcPr>
            <w:tcW w:w="3560" w:type="dxa"/>
            <w:vAlign w:val="bottom"/>
          </w:tcPr>
          <w:p>
            <w:pPr>
              <w:ind w:left="320"/>
              <w:spacing w:after="0"/>
              <w:rPr>
                <w:sz w:val="20"/>
                <w:szCs w:val="20"/>
                <w:color w:val="auto"/>
              </w:rPr>
            </w:pPr>
            <w:r>
              <w:rPr>
                <w:rFonts w:ascii="Arial" w:cs="Arial" w:eastAsia="Arial" w:hAnsi="Arial"/>
                <w:sz w:val="16"/>
                <w:szCs w:val="16"/>
                <w:color w:val="auto"/>
              </w:rPr>
              <w:t>Options</w:t>
            </w:r>
          </w:p>
        </w:tc>
        <w:tc>
          <w:tcPr>
            <w:tcW w:w="1760" w:type="dxa"/>
            <w:vAlign w:val="bottom"/>
            <w:gridSpan w:val="3"/>
          </w:tcPr>
          <w:p>
            <w:pPr>
              <w:ind w:left="200"/>
              <w:spacing w:after="0"/>
              <w:rPr>
                <w:sz w:val="20"/>
                <w:szCs w:val="20"/>
                <w:color w:val="auto"/>
              </w:rPr>
            </w:pPr>
            <w:r>
              <w:rPr>
                <w:rFonts w:ascii="Arial" w:cs="Arial" w:eastAsia="Arial" w:hAnsi="Arial"/>
                <w:sz w:val="16"/>
                <w:szCs w:val="16"/>
                <w:color w:val="auto"/>
              </w:rPr>
              <w:t>130,000 Options</w:t>
            </w: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19"/>
        </w:trPr>
        <w:tc>
          <w:tcPr>
            <w:tcW w:w="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07"/>
        </w:trPr>
        <w:tc>
          <w:tcPr>
            <w:tcW w:w="8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32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BioLine</w:t>
            </w: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Employee</w:t>
            </w:r>
          </w:p>
        </w:tc>
        <w:tc>
          <w:tcPr>
            <w:tcW w:w="4240" w:type="dxa"/>
            <w:vAlign w:val="bottom"/>
          </w:tcPr>
          <w:p>
            <w:pPr>
              <w:spacing w:after="0"/>
              <w:rPr>
                <w:sz w:val="17"/>
                <w:szCs w:val="17"/>
                <w:color w:val="auto"/>
              </w:rPr>
            </w:pPr>
          </w:p>
        </w:tc>
      </w:tr>
      <w:tr>
        <w:trPr>
          <w:trHeight w:val="341"/>
        </w:trPr>
        <w:tc>
          <w:tcPr>
            <w:tcW w:w="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00" w:type="dxa"/>
            <w:vAlign w:val="bottom"/>
            <w:gridSpan w:val="2"/>
          </w:tcPr>
          <w:p>
            <w:pPr>
              <w:jc w:val="center"/>
              <w:ind w:left="1099"/>
              <w:spacing w:after="0"/>
              <w:rPr>
                <w:sz w:val="20"/>
                <w:szCs w:val="20"/>
                <w:color w:val="auto"/>
              </w:rPr>
            </w:pPr>
            <w:r>
              <w:rPr>
                <w:rFonts w:ascii="Arial" w:cs="Arial" w:eastAsia="Arial" w:hAnsi="Arial"/>
                <w:sz w:val="16"/>
                <w:szCs w:val="16"/>
                <w:color w:val="auto"/>
                <w:w w:val="89"/>
              </w:rPr>
              <w:t>7</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54"/>
        </w:trPr>
        <w:tc>
          <w:tcPr>
            <w:tcW w:w="82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440" w:right="21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29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Exhibit B</w:t>
      </w: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Proprietary Information, Confidentiality and Non-Competition Agreement</w:t>
      </w:r>
    </w:p>
    <w:p>
      <w:pPr>
        <w:spacing w:after="0" w:line="230" w:lineRule="exact"/>
        <w:rPr>
          <w:sz w:val="20"/>
          <w:szCs w:val="20"/>
          <w:color w:val="auto"/>
        </w:rPr>
      </w:pPr>
    </w:p>
    <w:p>
      <w:pPr>
        <w:ind w:left="283" w:hanging="283"/>
        <w:spacing w:after="0"/>
        <w:tabs>
          <w:tab w:leader="none" w:pos="283"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w:t>
      </w:r>
    </w:p>
    <w:p>
      <w:pPr>
        <w:spacing w:after="0" w:line="229" w:lineRule="exact"/>
        <w:rPr>
          <w:rFonts w:ascii="Arial" w:cs="Arial" w:eastAsia="Arial" w:hAnsi="Arial"/>
          <w:sz w:val="16"/>
          <w:szCs w:val="16"/>
          <w:color w:val="auto"/>
        </w:rPr>
      </w:pPr>
    </w:p>
    <w:p>
      <w:pPr>
        <w:ind w:left="583" w:right="20" w:hanging="292"/>
        <w:spacing w:after="0" w:line="271" w:lineRule="auto"/>
        <w:rPr>
          <w:rFonts w:ascii="Arial" w:cs="Arial" w:eastAsia="Arial" w:hAnsi="Arial"/>
          <w:sz w:val="16"/>
          <w:szCs w:val="16"/>
          <w:color w:val="auto"/>
        </w:rPr>
      </w:pPr>
      <w:r>
        <w:rPr>
          <w:rFonts w:ascii="Arial" w:cs="Arial" w:eastAsia="Arial" w:hAnsi="Arial"/>
          <w:sz w:val="16"/>
          <w:szCs w:val="16"/>
          <w:color w:val="auto"/>
        </w:rPr>
        <w:t>1.1. All capitalized terms herein shall have the meanings ascribed to them in the Employment Agreement to which this Exhibit B is attached (the “</w:t>
      </w:r>
      <w:r>
        <w:rPr>
          <w:rFonts w:ascii="Arial" w:cs="Arial" w:eastAsia="Arial" w:hAnsi="Arial"/>
          <w:sz w:val="16"/>
          <w:szCs w:val="16"/>
          <w:b w:val="1"/>
          <w:bCs w:val="1"/>
          <w:color w:val="auto"/>
        </w:rPr>
        <w:t>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For purposes of any undertaking of the Employee toward BioLine, the term BioLine shall include all subsidiaries and affiliates of BioLine including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and Limited Partners</w:t>
      </w:r>
    </w:p>
    <w:p>
      <w:pPr>
        <w:spacing w:after="0" w:line="180" w:lineRule="exact"/>
        <w:rPr>
          <w:rFonts w:ascii="Arial" w:cs="Arial" w:eastAsia="Arial" w:hAnsi="Arial"/>
          <w:sz w:val="16"/>
          <w:szCs w:val="16"/>
          <w:color w:val="auto"/>
        </w:rPr>
      </w:pPr>
    </w:p>
    <w:p>
      <w:pPr>
        <w:ind w:left="583" w:right="20" w:hanging="292"/>
        <w:spacing w:after="0" w:line="271" w:lineRule="auto"/>
        <w:rPr>
          <w:rFonts w:ascii="Arial" w:cs="Arial" w:eastAsia="Arial" w:hAnsi="Arial"/>
          <w:sz w:val="16"/>
          <w:szCs w:val="16"/>
          <w:color w:val="auto"/>
        </w:rPr>
      </w:pPr>
      <w:r>
        <w:rPr>
          <w:rFonts w:ascii="Arial" w:cs="Arial" w:eastAsia="Arial" w:hAnsi="Arial"/>
          <w:sz w:val="16"/>
          <w:szCs w:val="16"/>
          <w:color w:val="auto"/>
        </w:rPr>
        <w:t>1.2. The Employee’s obligations and representations and BioLine’s rights under this Exhibit B (this “</w:t>
      </w:r>
      <w:r>
        <w:rPr>
          <w:rFonts w:ascii="Arial" w:cs="Arial" w:eastAsia="Arial" w:hAnsi="Arial"/>
          <w:sz w:val="16"/>
          <w:szCs w:val="16"/>
          <w:b w:val="1"/>
          <w:bCs w:val="1"/>
          <w:color w:val="auto"/>
        </w:rPr>
        <w:t>Agreement</w:t>
      </w:r>
      <w:r>
        <w:rPr>
          <w:rFonts w:ascii="Arial" w:cs="Arial" w:eastAsia="Arial" w:hAnsi="Arial"/>
          <w:sz w:val="16"/>
          <w:szCs w:val="16"/>
          <w:color w:val="auto"/>
        </w:rPr>
        <w:t>”) shall apply as of the Commencement Date of the employment relationship between BioLine and the Employee, and as of the first time in which Employee became engaged with BioLine, regardless of the date of execution of the Employment Agreement.</w:t>
      </w:r>
    </w:p>
    <w:p>
      <w:pPr>
        <w:spacing w:after="0" w:line="184"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1.3. Employees undertakings hereunder shall remain in full force and effect after termination of this Agreement or the Employment Agreement, or any renewal thereof.</w:t>
      </w:r>
    </w:p>
    <w:p>
      <w:pPr>
        <w:spacing w:after="0" w:line="265" w:lineRule="exact"/>
        <w:rPr>
          <w:rFonts w:ascii="Arial" w:cs="Arial" w:eastAsia="Arial" w:hAnsi="Arial"/>
          <w:sz w:val="16"/>
          <w:szCs w:val="16"/>
          <w:color w:val="auto"/>
        </w:rPr>
      </w:pPr>
    </w:p>
    <w:p>
      <w:pPr>
        <w:jc w:val="both"/>
        <w:ind w:left="283" w:hanging="283"/>
        <w:spacing w:after="0" w:line="275" w:lineRule="auto"/>
        <w:tabs>
          <w:tab w:leader="none" w:pos="28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Employee acknowledges that he/she has received and/or may receive information of a confidential and proprietary nature regarding the activities and business of BioLine, its parent companies, subsidiaries and/or affiliates, all whether in oral, written, graphic, or machine-readable form, or in any other form, including, but not limited to, (i) patents and patent applications and related information, (ii) trade secrets and industrial secrets, and (iii) drugs, compounds, molecules, building blocks, chemical libraries, reaction protocols for chemical libraries, chemical structures, chemical design and model relationship data, chemical databases, assays, samples, media and other biological materials, procedures and formulations for producing any such materials, products, processes, ideas, know-how, trade secrets, drawings, inventions, improvements, formulas, equations, methods, developmental or experimental work, research or clinical data, discoveries, developments, designs, techniques, instruments, devices, computer software and hardware related to the current, future and/or proposed products and services, and including, without limitation, information regarding research, development, new service offerings or products, marketing and selling, business plans, forecasts, business methods, budgets, finances, licensing, collaboration and development arrangements, prices and costs, buying habits and practices, contact and mailing lists and databases, vendors, customers and clients, and potential business opportunities, and personnel (collectively,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Confidential Information may also include information furnished to BioLine by third parties, which, for purposes of this Agreement, shall all be deemed Confidential Information of BioLine. Notwithstanding the aforesaid, information that is in the public domain, through no act or omission of the Employee shall not be deemed Confidential Information. The Confidential Information and all right, title and interest therein will remain at all times the exclusive property of BioLine (or any third party entrusting its own Confidential Information to BioLine).</w:t>
      </w:r>
    </w:p>
    <w:p>
      <w:pPr>
        <w:spacing w:after="0" w:line="182" w:lineRule="exact"/>
        <w:rPr>
          <w:rFonts w:ascii="Arial" w:cs="Arial" w:eastAsia="Arial" w:hAnsi="Arial"/>
          <w:sz w:val="15"/>
          <w:szCs w:val="15"/>
          <w:color w:val="auto"/>
        </w:rPr>
      </w:pPr>
    </w:p>
    <w:p>
      <w:pPr>
        <w:jc w:val="both"/>
        <w:ind w:left="283" w:right="20" w:hanging="283"/>
        <w:spacing w:after="0" w:line="268" w:lineRule="auto"/>
        <w:tabs>
          <w:tab w:leader="none" w:pos="2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At all times during the Employment Period and thereafter, Employee will hold all Confidential Information in strictest confidence and will not disclose, use, or make any copies thereof. Employee hereby assigns to BioLine any rights that the Employee may have or acquire in such Confidential Information and recognize that all Confidential Information shall be the sole property of BioLine and its assigns or licensors,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250825</wp:posOffset>
            </wp:positionV>
            <wp:extent cx="178625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86"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440" w:right="21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302" w:lineRule="exact"/>
        <w:rPr>
          <w:sz w:val="20"/>
          <w:szCs w:val="20"/>
          <w:color w:val="auto"/>
        </w:rPr>
      </w:pPr>
    </w:p>
    <w:p>
      <w:pPr>
        <w:jc w:val="both"/>
        <w:ind w:left="283" w:hanging="283"/>
        <w:spacing w:after="0" w:line="263" w:lineRule="auto"/>
        <w:tabs>
          <w:tab w:leader="none" w:pos="2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Employee represents that he/she has assigned to BioLine all inventions, original works of authorship, developments, improvements, and trade secrets which were conceived, developed, made or reduced to practice by Employee prior to the date of the this Agreement or the Commencement Date, whichever is earlier (collectively referred to as “</w:t>
      </w:r>
      <w:r>
        <w:rPr>
          <w:rFonts w:ascii="Arial" w:cs="Arial" w:eastAsia="Arial" w:hAnsi="Arial"/>
          <w:sz w:val="16"/>
          <w:szCs w:val="16"/>
          <w:b w:val="1"/>
          <w:bCs w:val="1"/>
          <w:color w:val="auto"/>
        </w:rPr>
        <w:t>Prior Inventions</w:t>
      </w:r>
      <w:r>
        <w:rPr>
          <w:rFonts w:ascii="Arial" w:cs="Arial" w:eastAsia="Arial" w:hAnsi="Arial"/>
          <w:sz w:val="16"/>
          <w:szCs w:val="16"/>
          <w:color w:val="auto"/>
        </w:rPr>
        <w:t>”), in which Employee has or purports to have any ownership interest in or a license to use, and which relate to BioLine’s current or proposed business, products or research and development.</w:t>
      </w:r>
    </w:p>
    <w:p>
      <w:pPr>
        <w:spacing w:after="0" w:line="191" w:lineRule="exact"/>
        <w:rPr>
          <w:rFonts w:ascii="Arial" w:cs="Arial" w:eastAsia="Arial" w:hAnsi="Arial"/>
          <w:sz w:val="16"/>
          <w:szCs w:val="16"/>
          <w:color w:val="auto"/>
        </w:rPr>
      </w:pPr>
    </w:p>
    <w:p>
      <w:pPr>
        <w:jc w:val="both"/>
        <w:ind w:left="283" w:hanging="283"/>
        <w:spacing w:after="0" w:line="260" w:lineRule="auto"/>
        <w:tabs>
          <w:tab w:leader="none" w:pos="2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Employee will promptly disclose and describe to BioLine all inventions, improvements, designs, concepts, techniques, methods, processes, know how, and trade secrets, whether or not patentable, copyrightable or protectible as trade secrets that are made, developed, conceived or first reduced to practice or created by Employee, whether alone or jointly with others, during the provision of Consulting Services (i) which relate to BioLine’s business or actual or demonstrably anticipated research or development, (ii) which are developed in whole or in part on BioLine’s time or with the use of any of BioLine’s Confidential Information or other information, equipment, supplies, facilities or trade secret information, or (iii) which result directly or indirectly from any work performed by Employee for BioLine (the “</w:t>
      </w:r>
      <w:r>
        <w:rPr>
          <w:rFonts w:ascii="Arial" w:cs="Arial" w:eastAsia="Arial" w:hAnsi="Arial"/>
          <w:sz w:val="16"/>
          <w:szCs w:val="16"/>
          <w:b w:val="1"/>
          <w:bCs w:val="1"/>
          <w:color w:val="auto"/>
        </w:rPr>
        <w:t>Inventions</w:t>
      </w:r>
      <w:r>
        <w:rPr>
          <w:rFonts w:ascii="Arial" w:cs="Arial" w:eastAsia="Arial" w:hAnsi="Arial"/>
          <w:sz w:val="16"/>
          <w:szCs w:val="16"/>
          <w:color w:val="auto"/>
        </w:rPr>
        <w:t>”, and each an “</w:t>
      </w:r>
      <w:r>
        <w:rPr>
          <w:rFonts w:ascii="Arial" w:cs="Arial" w:eastAsia="Arial" w:hAnsi="Arial"/>
          <w:sz w:val="16"/>
          <w:szCs w:val="16"/>
          <w:b w:val="1"/>
          <w:bCs w:val="1"/>
          <w:color w:val="auto"/>
        </w:rPr>
        <w:t>Invention</w:t>
      </w:r>
      <w:r>
        <w:rPr>
          <w:rFonts w:ascii="Arial" w:cs="Arial" w:eastAsia="Arial" w:hAnsi="Arial"/>
          <w:sz w:val="16"/>
          <w:szCs w:val="16"/>
          <w:color w:val="auto"/>
        </w:rPr>
        <w:t>”).</w:t>
      </w:r>
    </w:p>
    <w:p>
      <w:pPr>
        <w:spacing w:after="0" w:line="192" w:lineRule="exact"/>
        <w:rPr>
          <w:rFonts w:ascii="Arial" w:cs="Arial" w:eastAsia="Arial" w:hAnsi="Arial"/>
          <w:sz w:val="16"/>
          <w:szCs w:val="16"/>
          <w:color w:val="auto"/>
        </w:rPr>
      </w:pPr>
    </w:p>
    <w:p>
      <w:pPr>
        <w:jc w:val="both"/>
        <w:ind w:left="283" w:hanging="283"/>
        <w:spacing w:after="0" w:line="260" w:lineRule="auto"/>
        <w:tabs>
          <w:tab w:leader="none" w:pos="2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Employee hereby assigns and agrees to assign in the future (when any such Inventions or Proprietary Rights (defined below) are first reduced to practice or first fixed in a tangible medium, as applicable) to BioLine or its designee(s) all of Employee’s right, title and interest in and to any and all Inventions (and all Proprietary Rights with respect thereto) whether or not patentable or registrable under copyright or similar statutes. Employee further specifically assigns to BioLine all original works of authorship, including any related moral rights, which are made by the Employee (solely or jointly with others) during the Employment Period which are protectable by copyright pursuant to applicable copyright law. Employee also agrees to assign all of his/her right, title and interest in and to any particular Invention to any third party, including without limitation government agency, as directed by BioLine.</w:t>
      </w:r>
    </w:p>
    <w:p>
      <w:pPr>
        <w:spacing w:after="0" w:line="188" w:lineRule="exact"/>
        <w:rPr>
          <w:rFonts w:ascii="Arial" w:cs="Arial" w:eastAsia="Arial" w:hAnsi="Arial"/>
          <w:sz w:val="16"/>
          <w:szCs w:val="16"/>
          <w:color w:val="auto"/>
        </w:rPr>
      </w:pPr>
    </w:p>
    <w:p>
      <w:pPr>
        <w:jc w:val="both"/>
        <w:ind w:left="283"/>
        <w:spacing w:after="0" w:line="265" w:lineRule="auto"/>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Proprietary Rights</w:t>
      </w:r>
      <w:r>
        <w:rPr>
          <w:rFonts w:ascii="Arial" w:cs="Arial" w:eastAsia="Arial" w:hAnsi="Arial"/>
          <w:sz w:val="16"/>
          <w:szCs w:val="16"/>
          <w:color w:val="auto"/>
        </w:rPr>
        <w:t>” shall mean: (i) patents, whether in the form of utility patents or design patents and all pending applications for such patents; (ii) trademarks, trade names, service marks, designs, logos, trade dress, and trade styles, whether or not registered, and all pending applications for registration of the same; (iii) copyrights or copyrightable material, including moral rights, including but not limited to books, articles and publications, whether or not registered, and all pending applications for registration of the same; and (iv) all other intellectual property rights throughout the world.</w:t>
      </w:r>
    </w:p>
    <w:p>
      <w:pPr>
        <w:spacing w:after="0" w:line="189" w:lineRule="exact"/>
        <w:rPr>
          <w:rFonts w:ascii="Arial" w:cs="Arial" w:eastAsia="Arial" w:hAnsi="Arial"/>
          <w:sz w:val="16"/>
          <w:szCs w:val="16"/>
          <w:color w:val="auto"/>
        </w:rPr>
      </w:pPr>
    </w:p>
    <w:p>
      <w:pPr>
        <w:jc w:val="both"/>
        <w:ind w:left="283" w:hanging="283"/>
        <w:spacing w:after="0" w:line="304" w:lineRule="auto"/>
        <w:tabs>
          <w:tab w:leader="none" w:pos="28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Employee will assist BioLine in every proper way to obtain, and from time to time enforce, any Proprietary Rights relating to any Inventions in any and all countries. To that end Employee will execute, verify and deliver such documents and perform such other acts (including appearances as a witness) as BioLine may reasonably request for use in applying for, obtaining, perfecting, evidencing, sustaining and enforcing such Proprietary Rights and the assignment thereof. In addition, Employee will execute, verify and deliver assignments of such Proprietary Rights to BioLine or its designee. Employee’s obligation to assist BioLine with respect to Proprietary Rights relating to any such Inventions in any and all countries shall continue indefinitely beyond termination of the Employment Period for any reason (the “</w:t>
      </w:r>
      <w:r>
        <w:rPr>
          <w:rFonts w:ascii="Arial" w:cs="Arial" w:eastAsia="Arial" w:hAnsi="Arial"/>
          <w:sz w:val="14"/>
          <w:szCs w:val="14"/>
          <w:b w:val="1"/>
          <w:bCs w:val="1"/>
          <w:color w:val="auto"/>
        </w:rPr>
        <w:t>Termination Date</w:t>
      </w:r>
      <w:r>
        <w:rPr>
          <w:rFonts w:ascii="Arial" w:cs="Arial" w:eastAsia="Arial" w:hAnsi="Arial"/>
          <w:sz w:val="14"/>
          <w:szCs w:val="14"/>
          <w:color w:val="auto"/>
        </w:rPr>
        <w:t>”), but BioLine shall compensate Employee at a reasonable rate after the Termination Date for the time actually spent by Employee at BioLine’s request on such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236220</wp:posOffset>
            </wp:positionV>
            <wp:extent cx="178625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64"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440" w:right="23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302" w:lineRule="exact"/>
        <w:rPr>
          <w:sz w:val="20"/>
          <w:szCs w:val="20"/>
          <w:color w:val="auto"/>
        </w:rPr>
      </w:pPr>
    </w:p>
    <w:p>
      <w:pPr>
        <w:jc w:val="both"/>
        <w:ind w:left="283" w:right="20" w:hanging="283"/>
        <w:spacing w:after="0" w:line="260" w:lineRule="auto"/>
        <w:tabs>
          <w:tab w:leader="none" w:pos="2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event that BioLine is unable for any reason, after reasonable effort, to secure Employee’s signature on any document needed in connection with the actions specified in the preceding paragraph, Employee hereby irrevocably designates and appoints BioLine and its duly authorized officers and agents as Employee’s agent and attorney in fact, which appointment is coupled with an interest, to act for and in Employee’s behalf to execute, verify and file any such documents and to do all other lawfully permitted acts to further the purposes of the preceding paragraph with the same legal force and effect as if executed by the Employee. Employee hereby waives and holds BioLine harmless from any and all claims, of any nature whatsoever, which Employee now or may hereafter have for infringement of any Proprietary Rights assigned hereunder to BioLine.</w:t>
      </w:r>
    </w:p>
    <w:p>
      <w:pPr>
        <w:spacing w:after="0" w:line="192" w:lineRule="exact"/>
        <w:rPr>
          <w:rFonts w:ascii="Arial" w:cs="Arial" w:eastAsia="Arial" w:hAnsi="Arial"/>
          <w:sz w:val="16"/>
          <w:szCs w:val="16"/>
          <w:color w:val="auto"/>
        </w:rPr>
      </w:pPr>
    </w:p>
    <w:p>
      <w:pPr>
        <w:jc w:val="both"/>
        <w:ind w:left="283" w:hanging="283"/>
        <w:spacing w:after="0" w:line="268" w:lineRule="auto"/>
        <w:tabs>
          <w:tab w:leader="none" w:pos="2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Employee agrees to keep and maintain adequate and current records (in the form of notes, sketches, drawings and in any other form that may be required by BioLine) of all Confidential Information developed by the Employee and all Inventions made by the Employee during the Employment Period to BioLine, which records shall be available to and remain the sole property of BioLine at all times.</w:t>
      </w:r>
    </w:p>
    <w:p>
      <w:pPr>
        <w:spacing w:after="0" w:line="187" w:lineRule="exact"/>
        <w:rPr>
          <w:rFonts w:ascii="Arial" w:cs="Arial" w:eastAsia="Arial" w:hAnsi="Arial"/>
          <w:sz w:val="16"/>
          <w:szCs w:val="16"/>
          <w:color w:val="auto"/>
        </w:rPr>
      </w:pPr>
    </w:p>
    <w:p>
      <w:pPr>
        <w:jc w:val="both"/>
        <w:ind w:left="283" w:right="20" w:hanging="283"/>
        <w:spacing w:after="0" w:line="263" w:lineRule="auto"/>
        <w:tabs>
          <w:tab w:leader="none" w:pos="2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During the Employment Period, Employee will not improperly use or disclose any confidential information or trade secrets, if any, of any former employer or any other person to whom Employee has an obligation of confidentiality, and Employee will not bring onto the premises of BioLine any unpublished documents or any property belonging to any former employer or any other person to whom Employee has an obligation of confidentiality unless consented to in writing by that former employer or person.</w:t>
      </w:r>
    </w:p>
    <w:p>
      <w:pPr>
        <w:spacing w:after="0" w:line="191" w:lineRule="exact"/>
        <w:rPr>
          <w:rFonts w:ascii="Arial" w:cs="Arial" w:eastAsia="Arial" w:hAnsi="Arial"/>
          <w:sz w:val="16"/>
          <w:szCs w:val="16"/>
          <w:color w:val="auto"/>
        </w:rPr>
      </w:pPr>
    </w:p>
    <w:p>
      <w:pPr>
        <w:jc w:val="both"/>
        <w:ind w:left="283" w:right="20" w:hanging="283"/>
        <w:spacing w:after="0" w:line="268" w:lineRule="auto"/>
        <w:tabs>
          <w:tab w:leader="none" w:pos="2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Upon the earlier of (i) a written request by BioLine; or (ii) the expiration or termination of the employment, Employee shall promptly return to BioLine all Confidential Information, together with any and all copies or excerpts thereof and any and all other information directly or indirectly derived therefrom. Return or destruction of the Confidential Information as required hereunder shall not affect Employee’s remaining obligations pursuant to this Agreement.</w:t>
      </w:r>
    </w:p>
    <w:p>
      <w:pPr>
        <w:spacing w:after="0" w:line="183" w:lineRule="exact"/>
        <w:rPr>
          <w:rFonts w:ascii="Arial" w:cs="Arial" w:eastAsia="Arial" w:hAnsi="Arial"/>
          <w:sz w:val="16"/>
          <w:szCs w:val="16"/>
          <w:color w:val="auto"/>
        </w:rPr>
      </w:pPr>
    </w:p>
    <w:p>
      <w:pPr>
        <w:ind w:left="283" w:hanging="283"/>
        <w:spacing w:after="0"/>
        <w:tabs>
          <w:tab w:leader="none" w:pos="283"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Non Competition; Non Solicitation</w:t>
      </w:r>
      <w:r>
        <w:rPr>
          <w:rFonts w:ascii="Arial" w:cs="Arial" w:eastAsia="Arial" w:hAnsi="Arial"/>
          <w:sz w:val="16"/>
          <w:szCs w:val="16"/>
          <w:color w:val="auto"/>
        </w:rPr>
        <w:t>.</w:t>
      </w:r>
    </w:p>
    <w:p>
      <w:pPr>
        <w:spacing w:after="0" w:line="233" w:lineRule="exact"/>
        <w:rPr>
          <w:rFonts w:ascii="Arial" w:cs="Arial" w:eastAsia="Arial" w:hAnsi="Arial"/>
          <w:sz w:val="16"/>
          <w:szCs w:val="16"/>
          <w:color w:val="auto"/>
        </w:rPr>
      </w:pPr>
    </w:p>
    <w:p>
      <w:pPr>
        <w:ind w:left="623" w:hanging="329"/>
        <w:spacing w:after="0" w:line="275" w:lineRule="auto"/>
        <w:rPr>
          <w:rFonts w:ascii="Arial" w:cs="Arial" w:eastAsia="Arial" w:hAnsi="Arial"/>
          <w:sz w:val="16"/>
          <w:szCs w:val="16"/>
          <w:color w:val="auto"/>
        </w:rPr>
      </w:pPr>
      <w:r>
        <w:rPr>
          <w:rFonts w:ascii="Arial" w:cs="Arial" w:eastAsia="Arial" w:hAnsi="Arial"/>
          <w:sz w:val="16"/>
          <w:szCs w:val="16"/>
          <w:color w:val="auto"/>
        </w:rPr>
        <w:t>12.1.</w:t>
      </w:r>
      <w:r>
        <w:rPr>
          <w:rFonts w:ascii="Arial" w:cs="Arial" w:eastAsia="Arial" w:hAnsi="Arial"/>
          <w:sz w:val="15"/>
          <w:szCs w:val="15"/>
          <w:color w:val="auto"/>
        </w:rPr>
        <w:t>In consideration of Employee’s terms of employment, which include special compensation for Employee’s undertakings under this Section 12, and in order to enable BioLine to effectively protect its Proprietary Information, Employee undertakes that during the Employment Period and for a period of twelve (12) months from the Termination Date, Employee will not directly or indirectly: (i) carry on or hold an interest in any company, venture, entity or other business (other than a minority interest in a publicly traded company) which directly competes with the products or services of BioLine, (a “</w:t>
      </w:r>
      <w:r>
        <w:rPr>
          <w:rFonts w:ascii="Arial" w:cs="Arial" w:eastAsia="Arial" w:hAnsi="Arial"/>
          <w:sz w:val="15"/>
          <w:szCs w:val="15"/>
          <w:b w:val="1"/>
          <w:bCs w:val="1"/>
          <w:color w:val="auto"/>
        </w:rPr>
        <w:t>Competing Business</w:t>
      </w:r>
      <w:r>
        <w:rPr>
          <w:rFonts w:ascii="Arial" w:cs="Arial" w:eastAsia="Arial" w:hAnsi="Arial"/>
          <w:sz w:val="15"/>
          <w:szCs w:val="15"/>
          <w:color w:val="auto"/>
        </w:rPr>
        <w:t>”) (including, without limitation, as a shareholder); (ii) act as a consultant or employee or officer or in any managerial capacity in a Competing Business, or supply in direct competition with BioLine services to any person who, to Employee’s knowledge, was provided with services by BioLine any time during the twelve (12) months immediately prior to the Termination Date; (iii) solicit, canvass or approach or endeavor to solicit, canvass or approach any person who, to Employee’s knowledge, was provided with services by BioLine at any time during the twelve (12) months immediately prior to the Termination Date, for the purpose of offering services or products which directly compete with the services or products supplied by BioLine at the Termination Date; or (iv) employ, solicit or entice away or endeavor to solicit or entice away from BioLine any person employed by BioLine any time during the twelve (12) months immediately prior the Termination Date with a view to inducing that person to leave such employment and to act for another employer in the same or a similar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250825</wp:posOffset>
            </wp:positionV>
            <wp:extent cx="178625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87"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440" w:right="21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302" w:lineRule="exact"/>
        <w:rPr>
          <w:sz w:val="20"/>
          <w:szCs w:val="20"/>
          <w:color w:val="auto"/>
        </w:rPr>
      </w:pPr>
    </w:p>
    <w:p>
      <w:pPr>
        <w:jc w:val="both"/>
        <w:ind w:left="623" w:hanging="328"/>
        <w:spacing w:after="0" w:line="259" w:lineRule="auto"/>
        <w:tabs>
          <w:tab w:leader="none" w:pos="602" w:val="left"/>
        </w:tabs>
        <w:rPr>
          <w:sz w:val="20"/>
          <w:szCs w:val="20"/>
          <w:color w:val="auto"/>
        </w:rPr>
      </w:pPr>
      <w:r>
        <w:rPr>
          <w:rFonts w:ascii="Arial" w:cs="Arial" w:eastAsia="Arial" w:hAnsi="Arial"/>
          <w:sz w:val="16"/>
          <w:szCs w:val="16"/>
          <w:color w:val="auto"/>
        </w:rPr>
        <w:t>12.2.</w:t>
        <w:tab/>
        <w:t>Insofar as the protective covenants set forth in this Agreement are concerned, Employee specifically acknowledges, stipulates and agrees as follows: (i) the protective covenants are reasonable and necessary to protect the goodwill, property and Proprietary Information of BioLine, and the operations and business of BioLine; and (ii) the time duration of the protective covenants is reasonable and necessary to protect the goodwill and the operations and business of BioLine, and does not impose a greater restrain than is necessary to protect the goodwill or other business interests of BioLine. Nevertheless, if any of the restrictions set forth in this Agreement is found by a court having jurisdiction to be unreasonable or overly-broad as to geographic area, scope or time or to be otherwise unenforceable, the parties intend for the restrictions set forth in this Agreement to be reformed, modified and redefined by such court so as to be reasonable and enforceable and, as so modified by such court, to be fully enforced.</w:t>
      </w:r>
    </w:p>
    <w:p>
      <w:pPr>
        <w:spacing w:after="0" w:line="193" w:lineRule="exact"/>
        <w:rPr>
          <w:sz w:val="20"/>
          <w:szCs w:val="20"/>
          <w:color w:val="auto"/>
        </w:rPr>
      </w:pPr>
    </w:p>
    <w:p>
      <w:pPr>
        <w:jc w:val="both"/>
        <w:ind w:left="283" w:hanging="283"/>
        <w:spacing w:after="0" w:line="268"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Employee represents that Employee’s performance of all the terms of the Employment Agreement and this Agreement does not and will not breach any agreement to keep in confidence information acquired by Employee in confidence or in trust prior to Employee’s relationship with BioLine. Employee has not entered into, and agrees that he/she will not enter into, any agreement either written or oral in conflict herewith.</w:t>
      </w:r>
    </w:p>
    <w:p>
      <w:pPr>
        <w:spacing w:after="0" w:line="187"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Employee hereby consents that in the event that the Employee leaves the employ of BioLine. Employee shall notify any new employer of Employee’s rights and obligations under this Agreement.</w:t>
      </w:r>
    </w:p>
    <w:p>
      <w:pPr>
        <w:spacing w:after="0" w:line="174"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Employee acknowledges that any violation or threatened violation of this Agreement may cause irreparable injury to BioLine, entitling BioLine to seek injunctive relief in addition to all other legal remedies.</w:t>
      </w:r>
    </w:p>
    <w:p>
      <w:pPr>
        <w:spacing w:after="0" w:line="174" w:lineRule="exact"/>
        <w:rPr>
          <w:rFonts w:ascii="Arial" w:cs="Arial" w:eastAsia="Arial" w:hAnsi="Arial"/>
          <w:sz w:val="16"/>
          <w:szCs w:val="16"/>
          <w:color w:val="auto"/>
        </w:rPr>
      </w:pPr>
    </w:p>
    <w:p>
      <w:pPr>
        <w:jc w:val="both"/>
        <w:ind w:left="283" w:hanging="283"/>
        <w:spacing w:after="0" w:line="294" w:lineRule="auto"/>
        <w:tabs>
          <w:tab w:leader="none" w:pos="283" w:val="left"/>
        </w:tabs>
        <w:numPr>
          <w:ilvl w:val="0"/>
          <w:numId w:val="131"/>
        </w:numPr>
        <w:rPr>
          <w:rFonts w:ascii="Arial" w:cs="Arial" w:eastAsia="Arial" w:hAnsi="Arial"/>
          <w:sz w:val="15"/>
          <w:szCs w:val="15"/>
          <w:color w:val="auto"/>
        </w:rPr>
      </w:pPr>
      <w:r>
        <w:rPr>
          <w:rFonts w:ascii="Arial" w:cs="Arial" w:eastAsia="Arial" w:hAnsi="Arial"/>
          <w:sz w:val="15"/>
          <w:szCs w:val="15"/>
          <w:color w:val="auto"/>
        </w:rPr>
        <w:t>Employee recognizes and agrees that: (i) this Agreement is necessary and essential to protect the business of BioLine and to realize and derive all the benefits, rights and expectations of conducting BioLine’s business; (ii) the area and duration of the protective covenants contained herein are in all things reasonable; and (iii) good and valuable consideration exists under the Employment Agreement, for Employee’s agreement to be bound by the provisions of this Agreement.</w:t>
      </w:r>
    </w:p>
    <w:p>
      <w:pPr>
        <w:spacing w:after="0" w:line="169" w:lineRule="exact"/>
        <w:rPr>
          <w:rFonts w:ascii="Arial" w:cs="Arial" w:eastAsia="Arial" w:hAnsi="Arial"/>
          <w:sz w:val="15"/>
          <w:szCs w:val="15"/>
          <w:color w:val="auto"/>
        </w:rPr>
      </w:pPr>
    </w:p>
    <w:p>
      <w:pPr>
        <w:ind w:left="283" w:hanging="283"/>
        <w:spacing w:after="0"/>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General terms of the Employment Agreement (Section 11) shall apply to this Agreement,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229"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EMPLOYEE ACKNOWLEDGES THAT HE/SHE HAS READ THIS AGREEMENT CAREFULLY, UNDERSTANDS ITS TERMS, AND HAS BEEN GIVEN THE OPPORTUNITY TO DISCUSS IT WITH INDEPENDENT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242570</wp:posOffset>
            </wp:positionV>
            <wp:extent cx="178625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374"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440" w:right="2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1921510</wp:posOffset>
            </wp:positionH>
            <wp:positionV relativeFrom="page">
              <wp:posOffset>227965</wp:posOffset>
            </wp:positionV>
            <wp:extent cx="3726815" cy="8737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3726815" cy="873760"/>
                    </a:xfrm>
                    <a:prstGeom prst="rect">
                      <a:avLst/>
                    </a:prstGeom>
                    <a:noFill/>
                  </pic:spPr>
                </pic:pic>
              </a:graphicData>
            </a:graphic>
          </wp:anchor>
        </w:drawing>
      </w:r>
    </w:p>
    <w:p>
      <w:pPr>
        <w:spacing w:after="0" w:line="29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TRANSLATION FROM HEBREW</w:t>
      </w: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Exhibit C</w:t>
      </w: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General Approval Regarding Payments by Employers to a Pension Fund and Insurance</w:t>
      </w:r>
    </w:p>
    <w:p>
      <w:pPr>
        <w:spacing w:after="0" w:line="2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Fund in lieu of Severance Pay under the Severance Pay Law 5723-1963</w:t>
      </w:r>
    </w:p>
    <w:p>
      <w:pPr>
        <w:spacing w:after="0" w:line="214" w:lineRule="exact"/>
        <w:rPr>
          <w:sz w:val="20"/>
          <w:szCs w:val="20"/>
          <w:color w:val="auto"/>
        </w:rPr>
      </w:pPr>
    </w:p>
    <w:p>
      <w:pPr>
        <w:jc w:val="both"/>
        <w:ind w:left="3"/>
        <w:spacing w:after="0" w:line="305" w:lineRule="auto"/>
        <w:rPr>
          <w:sz w:val="20"/>
          <w:szCs w:val="20"/>
          <w:color w:val="auto"/>
        </w:rPr>
      </w:pPr>
      <w:r>
        <w:rPr>
          <w:rFonts w:ascii="Arial" w:cs="Arial" w:eastAsia="Arial" w:hAnsi="Arial"/>
          <w:sz w:val="14"/>
          <w:szCs w:val="14"/>
          <w:color w:val="auto"/>
        </w:rPr>
        <w:t>By virtue of my power under Section 14 of the Severance Pay Law, 5723-1963 (hereinafter: the “</w:t>
      </w:r>
      <w:r>
        <w:rPr>
          <w:rFonts w:ascii="Arial" w:cs="Arial" w:eastAsia="Arial" w:hAnsi="Arial"/>
          <w:sz w:val="14"/>
          <w:szCs w:val="14"/>
          <w:b w:val="1"/>
          <w:bCs w:val="1"/>
          <w:color w:val="auto"/>
        </w:rPr>
        <w:t>Law</w:t>
      </w:r>
      <w:r>
        <w:rPr>
          <w:rFonts w:ascii="Arial" w:cs="Arial" w:eastAsia="Arial" w:hAnsi="Arial"/>
          <w:sz w:val="14"/>
          <w:szCs w:val="14"/>
          <w:color w:val="auto"/>
        </w:rPr>
        <w:t>”),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w:t>
      </w:r>
      <w:r>
        <w:rPr>
          <w:rFonts w:ascii="Arial" w:cs="Arial" w:eastAsia="Arial" w:hAnsi="Arial"/>
          <w:sz w:val="14"/>
          <w:szCs w:val="14"/>
          <w:b w:val="1"/>
          <w:bCs w:val="1"/>
          <w:color w:val="auto"/>
        </w:rPr>
        <w:t>Pension Fund</w:t>
      </w:r>
      <w:r>
        <w:rPr>
          <w:rFonts w:ascii="Arial" w:cs="Arial" w:eastAsia="Arial" w:hAnsi="Arial"/>
          <w:sz w:val="14"/>
          <w:szCs w:val="14"/>
          <w:color w:val="auto"/>
        </w:rPr>
        <w:t>”) or to managers’ insurance which includes the possibility to receive annuity payments under an insurance fund as aforesaid, (hereinafter: the “</w:t>
      </w:r>
      <w:r>
        <w:rPr>
          <w:rFonts w:ascii="Arial" w:cs="Arial" w:eastAsia="Arial" w:hAnsi="Arial"/>
          <w:sz w:val="14"/>
          <w:szCs w:val="14"/>
          <w:b w:val="1"/>
          <w:bCs w:val="1"/>
          <w:color w:val="auto"/>
        </w:rPr>
        <w:t>Insurance Fund</w:t>
      </w:r>
      <w:r>
        <w:rPr>
          <w:rFonts w:ascii="Arial" w:cs="Arial" w:eastAsia="Arial" w:hAnsi="Arial"/>
          <w:sz w:val="14"/>
          <w:szCs w:val="14"/>
          <w:color w:val="auto"/>
        </w:rPr>
        <w:t>”), including payments made by the employer by a combination of payments to a Pension Fund and an Insurance Fund (hereinafter: “</w:t>
      </w:r>
      <w:r>
        <w:rPr>
          <w:rFonts w:ascii="Arial" w:cs="Arial" w:eastAsia="Arial" w:hAnsi="Arial"/>
          <w:sz w:val="14"/>
          <w:szCs w:val="14"/>
          <w:b w:val="1"/>
          <w:bCs w:val="1"/>
          <w:color w:val="auto"/>
        </w:rPr>
        <w:t>Employer’s Payments</w:t>
      </w:r>
      <w:r>
        <w:rPr>
          <w:rFonts w:ascii="Arial" w:cs="Arial" w:eastAsia="Arial" w:hAnsi="Arial"/>
          <w:sz w:val="14"/>
          <w:szCs w:val="14"/>
          <w:color w:val="auto"/>
        </w:rPr>
        <w:t>”), shall be made in lieu of severance pay due to said employee with respect to the salary from which said payments were made and for the period they were paid (hereinafter: the “</w:t>
      </w:r>
      <w:r>
        <w:rPr>
          <w:rFonts w:ascii="Arial" w:cs="Arial" w:eastAsia="Arial" w:hAnsi="Arial"/>
          <w:sz w:val="14"/>
          <w:szCs w:val="14"/>
          <w:b w:val="1"/>
          <w:bCs w:val="1"/>
          <w:color w:val="auto"/>
        </w:rPr>
        <w:t>Exempt Salary</w:t>
      </w:r>
      <w:r>
        <w:rPr>
          <w:rFonts w:ascii="Arial" w:cs="Arial" w:eastAsia="Arial" w:hAnsi="Arial"/>
          <w:sz w:val="14"/>
          <w:szCs w:val="14"/>
          <w:color w:val="auto"/>
        </w:rPr>
        <w:t>”), provided that all the following conditions are fulfilled:</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color w:val="auto"/>
        </w:rPr>
        <w:t>(1)  The Employer’s Payments –</w:t>
      </w:r>
    </w:p>
    <w:p>
      <w:pPr>
        <w:spacing w:after="0" w:line="200" w:lineRule="exact"/>
        <w:rPr>
          <w:sz w:val="20"/>
          <w:szCs w:val="20"/>
          <w:color w:val="auto"/>
        </w:rPr>
      </w:pPr>
    </w:p>
    <w:p>
      <w:pPr>
        <w:jc w:val="both"/>
        <w:ind w:left="3" w:right="20" w:hanging="3"/>
        <w:spacing w:after="0" w:line="328" w:lineRule="auto"/>
        <w:tabs>
          <w:tab w:leader="none" w:pos="331" w:val="left"/>
        </w:tabs>
        <w:numPr>
          <w:ilvl w:val="0"/>
          <w:numId w:val="132"/>
        </w:numPr>
        <w:rPr>
          <w:rFonts w:ascii="Arial" w:cs="Arial" w:eastAsia="Arial" w:hAnsi="Arial"/>
          <w:sz w:val="15"/>
          <w:szCs w:val="15"/>
          <w:color w:val="auto"/>
        </w:rPr>
      </w:pPr>
      <w:r>
        <w:rPr>
          <w:rFonts w:ascii="Arial" w:cs="Arial" w:eastAsia="Arial" w:hAnsi="Arial"/>
          <w:sz w:val="15"/>
          <w:szCs w:val="15"/>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 2⅓% of the Exempt Salary. In the event that the employer has not paid the above mentioned 2⅓% in addition to said 12%, his payments shall come in lieu of only 72% of the employee’s severance pay;</w:t>
      </w:r>
    </w:p>
    <w:p>
      <w:pPr>
        <w:spacing w:after="0" w:line="126" w:lineRule="exact"/>
        <w:rPr>
          <w:rFonts w:ascii="Arial" w:cs="Arial" w:eastAsia="Arial" w:hAnsi="Arial"/>
          <w:sz w:val="15"/>
          <w:szCs w:val="15"/>
          <w:color w:val="auto"/>
        </w:rPr>
      </w:pPr>
    </w:p>
    <w:p>
      <w:pPr>
        <w:ind w:left="303" w:hanging="303"/>
        <w:spacing w:after="0"/>
        <w:tabs>
          <w:tab w:leader="none" w:pos="30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the Insurance Fund are not less than one of the following:</w:t>
      </w:r>
    </w:p>
    <w:p>
      <w:pPr>
        <w:spacing w:after="0" w:line="200" w:lineRule="exact"/>
        <w:rPr>
          <w:sz w:val="20"/>
          <w:szCs w:val="20"/>
          <w:color w:val="auto"/>
        </w:rPr>
      </w:pPr>
    </w:p>
    <w:p>
      <w:pPr>
        <w:jc w:val="both"/>
        <w:ind w:left="3" w:right="20" w:hanging="3"/>
        <w:spacing w:after="0" w:line="315" w:lineRule="auto"/>
        <w:tabs>
          <w:tab w:leader="none" w:pos="32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2½% of the Exempt Salary (hereinafter: “Disability Insurance Payment”);</w:t>
      </w:r>
    </w:p>
    <w:p>
      <w:pPr>
        <w:spacing w:after="0" w:line="154" w:lineRule="exact"/>
        <w:rPr>
          <w:rFonts w:ascii="Arial" w:cs="Arial" w:eastAsia="Arial" w:hAnsi="Arial"/>
          <w:sz w:val="15"/>
          <w:szCs w:val="15"/>
          <w:color w:val="auto"/>
        </w:rPr>
      </w:pPr>
    </w:p>
    <w:p>
      <w:pPr>
        <w:jc w:val="both"/>
        <w:ind w:left="3" w:right="20" w:hanging="3"/>
        <w:spacing w:after="0" w:line="263" w:lineRule="auto"/>
        <w:tabs>
          <w:tab w:leader="none" w:pos="33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2⅓% of the Exempt Salary, the Employer’s Payments shall come in lieu of 100% of the employee’s severance pay.</w:t>
      </w:r>
    </w:p>
    <w:p>
      <w:pPr>
        <w:spacing w:after="0" w:line="192" w:lineRule="exact"/>
        <w:rPr>
          <w:sz w:val="20"/>
          <w:szCs w:val="20"/>
          <w:color w:val="auto"/>
        </w:rPr>
      </w:pPr>
    </w:p>
    <w:p>
      <w:pPr>
        <w:ind w:left="3" w:right="20" w:hanging="3"/>
        <w:spacing w:after="0" w:line="283" w:lineRule="auto"/>
        <w:tabs>
          <w:tab w:leader="none" w:pos="37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 later than three months from the commencement of the Employer’s Payment, a written agreement was executed between the employer and the employee, which includes:</w:t>
      </w:r>
    </w:p>
    <w:p>
      <w:pPr>
        <w:spacing w:after="0" w:line="175" w:lineRule="exact"/>
        <w:rPr>
          <w:sz w:val="20"/>
          <w:szCs w:val="20"/>
          <w:color w:val="auto"/>
        </w:rPr>
      </w:pPr>
    </w:p>
    <w:p>
      <w:pPr>
        <w:ind w:left="3" w:right="20" w:hanging="3"/>
        <w:spacing w:after="0" w:line="283" w:lineRule="auto"/>
        <w:tabs>
          <w:tab w:leader="none" w:pos="32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74" w:lineRule="exact"/>
        <w:rPr>
          <w:rFonts w:ascii="Arial" w:cs="Arial" w:eastAsia="Arial" w:hAnsi="Arial"/>
          <w:sz w:val="16"/>
          <w:szCs w:val="16"/>
          <w:color w:val="auto"/>
        </w:rPr>
      </w:pPr>
    </w:p>
    <w:p>
      <w:pPr>
        <w:jc w:val="both"/>
        <w:ind w:left="3" w:right="20" w:hanging="3"/>
        <w:spacing w:after="0" w:line="294" w:lineRule="auto"/>
        <w:tabs>
          <w:tab w:leader="none" w:pos="32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70" w:lineRule="exact"/>
        <w:rPr>
          <w:sz w:val="20"/>
          <w:szCs w:val="20"/>
          <w:color w:val="auto"/>
        </w:rPr>
      </w:pPr>
    </w:p>
    <w:p>
      <w:pPr>
        <w:ind w:left="3" w:right="20" w:hanging="3"/>
        <w:spacing w:after="0" w:line="283" w:lineRule="auto"/>
        <w:tabs>
          <w:tab w:leader="none" w:pos="34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This approval shall not derogate from the employee’s right to severance pay pursuant to any law, collective agreement, extension order or employment agreement with respect to compensation in excess of the Exempt Salary.</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6"/>
          <w:szCs w:val="16"/>
          <w:color w:val="auto"/>
        </w:rPr>
        <w:t>15th Sivan 5758 (June 9th,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277495</wp:posOffset>
            </wp:positionV>
            <wp:extent cx="178625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86255" cy="1524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783"/>
        <w:spacing w:after="0"/>
        <w:tabs>
          <w:tab w:leader="none" w:pos="6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440" w:right="219" w:bottom="1440" w:gutter="0" w:footer="0" w:header="0"/>
        </w:sectPr>
      </w:pPr>
    </w:p>
    <w:bookmarkStart w:id="185" w:name="page186"/>
    <w:bookmarkEnd w:id="185"/>
    <w:p>
      <w:pPr>
        <w:ind w:left="7000"/>
        <w:spacing w:after="0"/>
        <w:rPr>
          <w:sz w:val="20"/>
          <w:szCs w:val="20"/>
          <w:color w:val="auto"/>
        </w:rPr>
      </w:pPr>
      <w:r>
        <w:rPr>
          <w:rFonts w:ascii="Arial" w:cs="Arial" w:eastAsia="Arial" w:hAnsi="Arial"/>
          <w:sz w:val="16"/>
          <w:szCs w:val="16"/>
          <w:color w:val="auto"/>
        </w:rPr>
        <w:t>Modi’in Technology Park</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2 HaMa’ayan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-30480</wp:posOffset>
            </wp:positionV>
            <wp:extent cx="2992120" cy="3244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92120" cy="32448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6"/>
          <w:szCs w:val="16"/>
          <w:color w:val="auto"/>
        </w:rPr>
        <w:t>Modi’in 7177871, Israel</w:t>
      </w:r>
    </w:p>
    <w:p>
      <w:pPr>
        <w:spacing w:after="0" w:line="190"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972-8-642-9100</w:t>
      </w:r>
    </w:p>
    <w:p>
      <w:pPr>
        <w:spacing w:after="0" w:line="27" w:lineRule="exact"/>
        <w:rPr>
          <w:sz w:val="20"/>
          <w:szCs w:val="20"/>
          <w:color w:val="auto"/>
        </w:rPr>
      </w:pPr>
    </w:p>
    <w:p>
      <w:pPr>
        <w:ind w:left="7000"/>
        <w:spacing w:after="0"/>
        <w:tabs>
          <w:tab w:leader="none" w:pos="7580" w:val="left"/>
        </w:tabs>
        <w:rPr>
          <w:sz w:val="20"/>
          <w:szCs w:val="20"/>
          <w:color w:val="auto"/>
        </w:rPr>
      </w:pPr>
      <w:r>
        <w:rPr>
          <w:rFonts w:ascii="Arial" w:cs="Arial" w:eastAsia="Arial" w:hAnsi="Arial"/>
          <w:sz w:val="16"/>
          <w:szCs w:val="16"/>
          <w:b w:val="1"/>
          <w:bCs w:val="1"/>
          <w:color w:val="auto"/>
        </w:rPr>
        <w:t>Fax:</w:t>
      </w:r>
      <w:r>
        <w:rPr>
          <w:sz w:val="20"/>
          <w:szCs w:val="20"/>
          <w:color w:val="auto"/>
        </w:rPr>
        <w:tab/>
      </w:r>
      <w:r>
        <w:rPr>
          <w:rFonts w:ascii="Arial" w:cs="Arial" w:eastAsia="Arial" w:hAnsi="Arial"/>
          <w:sz w:val="16"/>
          <w:szCs w:val="16"/>
          <w:color w:val="auto"/>
        </w:rPr>
        <w:t>972-8-642-9101</w:t>
      </w:r>
    </w:p>
    <w:p>
      <w:pPr>
        <w:spacing w:after="0" w:line="11"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6"/>
          <w:szCs w:val="16"/>
          <w:b w:val="1"/>
          <w:bCs w:val="1"/>
          <w:color w:val="auto"/>
        </w:rPr>
        <w:t>web:</w:t>
      </w:r>
      <w:r>
        <w:rPr>
          <w:sz w:val="20"/>
          <w:szCs w:val="20"/>
          <w:color w:val="auto"/>
        </w:rPr>
        <w:tab/>
      </w:r>
      <w:r>
        <w:rPr>
          <w:rFonts w:ascii="Arial" w:cs="Arial" w:eastAsia="Arial" w:hAnsi="Arial"/>
          <w:sz w:val="16"/>
          <w:szCs w:val="16"/>
          <w:color w:val="auto"/>
        </w:rPr>
        <w:t>www.BioLineRx.com</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October 10, 2016</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To: Philip Serlin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 </w:t>
      </w:r>
      <w:r>
        <w:rPr>
          <w:rFonts w:ascii="Arial" w:cs="Arial" w:eastAsia="Arial" w:hAnsi="Arial"/>
          <w:sz w:val="16"/>
          <w:szCs w:val="16"/>
          <w:b w:val="1"/>
          <w:bCs w:val="1"/>
          <w:u w:val="single" w:color="auto"/>
          <w:color w:val="auto"/>
        </w:rPr>
        <w:t>Change of Employment Terms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Dear Phil,</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This is to confirm that the Board of Directors has approved the following changes in your Employment Agreement dated May 24, 2009 (the “</w:t>
      </w:r>
      <w:r>
        <w:rPr>
          <w:rFonts w:ascii="Arial" w:cs="Arial" w:eastAsia="Arial" w:hAnsi="Arial"/>
          <w:sz w:val="14"/>
          <w:szCs w:val="14"/>
          <w:b w:val="1"/>
          <w:bCs w:val="1"/>
          <w:color w:val="auto"/>
        </w:rPr>
        <w:t>Agreement</w:t>
      </w:r>
      <w:r>
        <w:rPr>
          <w:rFonts w:ascii="Arial" w:cs="Arial" w:eastAsia="Arial" w:hAnsi="Arial"/>
          <w:sz w:val="14"/>
          <w:szCs w:val="14"/>
          <w:color w:val="auto"/>
        </w:rPr>
        <w:t>”), beginning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October 10, 2016:</w:t>
      </w:r>
    </w:p>
    <w:p>
      <w:pPr>
        <w:spacing w:after="0" w:line="243" w:lineRule="exact"/>
        <w:rPr>
          <w:sz w:val="20"/>
          <w:szCs w:val="20"/>
          <w:color w:val="auto"/>
        </w:rPr>
      </w:pPr>
    </w:p>
    <w:p>
      <w:pPr>
        <w:ind w:left="360" w:hanging="302"/>
        <w:spacing w:after="0"/>
        <w:tabs>
          <w:tab w:leader="none" w:pos="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you have been appointed as Chief Executive Officer of the Company; and</w:t>
      </w:r>
    </w:p>
    <w:p>
      <w:pPr>
        <w:spacing w:after="0" w:line="22" w:lineRule="exact"/>
        <w:rPr>
          <w:rFonts w:ascii="Arial" w:cs="Arial" w:eastAsia="Arial" w:hAnsi="Arial"/>
          <w:sz w:val="16"/>
          <w:szCs w:val="16"/>
          <w:color w:val="auto"/>
        </w:rPr>
      </w:pPr>
    </w:p>
    <w:p>
      <w:pPr>
        <w:ind w:left="360" w:hanging="302"/>
        <w:spacing w:after="0"/>
        <w:tabs>
          <w:tab w:leader="none" w:pos="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your total Salary as defined in your Employment Agreement will be increased to NIS 72,000 per month.</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All other terms of your Agreement will remain the same.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Please indicate your confirmation of the foregoing by signing below where indicated and returning a copy to BioLine.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We appreciate your continued contributions to the Company.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Mali Zeevi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BioLineRx Ltd.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Confirmed: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Philip Serlin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231140</wp:posOffset>
            </wp:positionV>
            <wp:extent cx="725995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316230</wp:posOffset>
            </wp:positionV>
            <wp:extent cx="7259955" cy="311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0840"/>
          </w:cols>
          <w:pgMar w:left="520" w:top="565" w:right="5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197485</wp:posOffset>
            </wp:positionV>
            <wp:extent cx="725995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4.42</w:t>
      </w:r>
    </w:p>
    <w:p>
      <w:pPr>
        <w:spacing w:after="0" w:line="254" w:lineRule="exact"/>
        <w:rPr>
          <w:sz w:val="20"/>
          <w:szCs w:val="20"/>
          <w:color w:val="auto"/>
        </w:rPr>
      </w:pPr>
    </w:p>
    <w:p>
      <w:pPr>
        <w:ind w:left="3" w:right="520" w:hanging="3"/>
        <w:spacing w:after="0" w:line="288" w:lineRule="auto"/>
        <w:tabs>
          <w:tab w:leader="none" w:pos="232"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material that has been omitted and will be filed separately with the Securities and Exchange Commission pursuant to a request for confidential treatment under Rule 24b-2 of the Securities and Exchange Act of 1934, as amended.</w:t>
      </w:r>
    </w:p>
    <w:p>
      <w:pPr>
        <w:spacing w:after="0" w:line="317"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Combination Study Agreement</w:t>
      </w:r>
    </w:p>
    <w:p>
      <w:pPr>
        <w:spacing w:after="0" w:line="326" w:lineRule="exact"/>
        <w:rPr>
          <w:sz w:val="20"/>
          <w:szCs w:val="20"/>
          <w:color w:val="auto"/>
        </w:rPr>
      </w:pPr>
    </w:p>
    <w:p>
      <w:pPr>
        <w:ind w:left="3" w:right="220" w:firstLine="584"/>
        <w:spacing w:after="0" w:line="265" w:lineRule="auto"/>
        <w:rPr>
          <w:sz w:val="20"/>
          <w:szCs w:val="20"/>
          <w:color w:val="auto"/>
        </w:rPr>
      </w:pPr>
      <w:r>
        <w:rPr>
          <w:rFonts w:ascii="Arial" w:cs="Arial" w:eastAsia="Arial" w:hAnsi="Arial"/>
          <w:sz w:val="16"/>
          <w:szCs w:val="16"/>
          <w:b w:val="1"/>
          <w:bCs w:val="1"/>
          <w:color w:val="auto"/>
        </w:rPr>
        <w:t xml:space="preserve">This Combination Study Agreement </w:t>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effective as of September 6, 2016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Genentech, Inc., a Delaware corporation, having a principal place of business at 1 DNA Way, South San Francisco, California 94080 (“</w:t>
      </w:r>
      <w:r>
        <w:rPr>
          <w:rFonts w:ascii="Arial" w:cs="Arial" w:eastAsia="Arial" w:hAnsi="Arial"/>
          <w:sz w:val="16"/>
          <w:szCs w:val="16"/>
          <w:b w:val="1"/>
          <w:bCs w:val="1"/>
          <w:color w:val="auto"/>
        </w:rPr>
        <w:t>Genentech</w:t>
      </w:r>
      <w:r>
        <w:rPr>
          <w:rFonts w:ascii="Arial" w:cs="Arial" w:eastAsia="Arial" w:hAnsi="Arial"/>
          <w:sz w:val="16"/>
          <w:szCs w:val="16"/>
          <w:color w:val="auto"/>
        </w:rPr>
        <w:t>”) and BioLineRx Ltd., an Israeli company, having a principal place of business at Modi’in Technology Park, 2 HaMa’ayan Street, Modi’in 7177871, Israel (“</w:t>
      </w:r>
      <w:r>
        <w:rPr>
          <w:rFonts w:ascii="Arial" w:cs="Arial" w:eastAsia="Arial" w:hAnsi="Arial"/>
          <w:sz w:val="16"/>
          <w:szCs w:val="16"/>
          <w:b w:val="1"/>
          <w:bCs w:val="1"/>
          <w:color w:val="auto"/>
        </w:rPr>
        <w:t>BioLineRx</w:t>
      </w:r>
      <w:r>
        <w:rPr>
          <w:rFonts w:ascii="Arial" w:cs="Arial" w:eastAsia="Arial" w:hAnsi="Arial"/>
          <w:sz w:val="16"/>
          <w:szCs w:val="16"/>
          <w:color w:val="auto"/>
        </w:rPr>
        <w:t>”). Genentech and BioLineRx are each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6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Recitals</w:t>
      </w:r>
    </w:p>
    <w:p>
      <w:pPr>
        <w:spacing w:after="0" w:line="210" w:lineRule="exact"/>
        <w:rPr>
          <w:sz w:val="20"/>
          <w:szCs w:val="20"/>
          <w:color w:val="auto"/>
        </w:rPr>
      </w:pPr>
    </w:p>
    <w:p>
      <w:pPr>
        <w:ind w:left="1383" w:hanging="798"/>
        <w:spacing w:after="0"/>
        <w:tabs>
          <w:tab w:leader="none" w:pos="1383"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Genentech is developing the Genentech Compound (defined below) for the treatment of certain tumor types;</w:t>
      </w:r>
    </w:p>
    <w:p>
      <w:pPr>
        <w:spacing w:after="0" w:line="205" w:lineRule="exact"/>
        <w:rPr>
          <w:rFonts w:ascii="Arial" w:cs="Arial" w:eastAsia="Arial" w:hAnsi="Arial"/>
          <w:sz w:val="16"/>
          <w:szCs w:val="16"/>
          <w:b w:val="1"/>
          <w:bCs w:val="1"/>
          <w:color w:val="auto"/>
        </w:rPr>
      </w:pPr>
    </w:p>
    <w:p>
      <w:pPr>
        <w:ind w:left="1423" w:hanging="838"/>
        <w:spacing w:after="0"/>
        <w:tabs>
          <w:tab w:leader="none" w:pos="1423"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BioLineRx is developing the BioLineRx Compound (defined below) for the treatment of certain tumor types.</w:t>
      </w:r>
    </w:p>
    <w:p>
      <w:pPr>
        <w:spacing w:after="0" w:line="205" w:lineRule="exact"/>
        <w:rPr>
          <w:rFonts w:ascii="Arial" w:cs="Arial" w:eastAsia="Arial" w:hAnsi="Arial"/>
          <w:sz w:val="16"/>
          <w:szCs w:val="16"/>
          <w:b w:val="1"/>
          <w:bCs w:val="1"/>
          <w:color w:val="auto"/>
        </w:rPr>
      </w:pPr>
    </w:p>
    <w:p>
      <w:pPr>
        <w:ind w:left="3" w:right="120" w:firstLine="582"/>
        <w:spacing w:after="0" w:line="283" w:lineRule="auto"/>
        <w:tabs>
          <w:tab w:leader="none" w:pos="1394"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Genentech wishes to conduct clinical study(ies) in patients in up to 6 different indications (e.g., Gastric, Non-Small Cell Lung, and Pancreatic Cancer) in which the Genentech Compound and the BioLineRx Compound will be dosed in combination.</w:t>
      </w:r>
    </w:p>
    <w:p>
      <w:pPr>
        <w:spacing w:after="0" w:line="150" w:lineRule="exact"/>
        <w:rPr>
          <w:rFonts w:ascii="Arial" w:cs="Arial" w:eastAsia="Arial" w:hAnsi="Arial"/>
          <w:sz w:val="16"/>
          <w:szCs w:val="16"/>
          <w:b w:val="1"/>
          <w:bCs w:val="1"/>
          <w:color w:val="auto"/>
        </w:rPr>
      </w:pPr>
    </w:p>
    <w:p>
      <w:pPr>
        <w:ind w:left="3" w:right="900" w:firstLine="582"/>
        <w:spacing w:after="0" w:line="318" w:lineRule="auto"/>
        <w:tabs>
          <w:tab w:leader="none" w:pos="1394" w:val="left"/>
        </w:tabs>
        <w:numPr>
          <w:ilvl w:val="0"/>
          <w:numId w:val="139"/>
        </w:numPr>
        <w:rPr>
          <w:rFonts w:ascii="Arial" w:cs="Arial" w:eastAsia="Arial" w:hAnsi="Arial"/>
          <w:sz w:val="15"/>
          <w:szCs w:val="15"/>
          <w:b w:val="1"/>
          <w:bCs w:val="1"/>
          <w:color w:val="auto"/>
        </w:rPr>
      </w:pPr>
      <w:r>
        <w:rPr>
          <w:rFonts w:ascii="Arial" w:cs="Arial" w:eastAsia="Arial" w:hAnsi="Arial"/>
          <w:sz w:val="15"/>
          <w:szCs w:val="15"/>
          <w:color w:val="auto"/>
        </w:rPr>
        <w:t>BioLineRx wishes to conduct clinical study(ies) in Hematology Oncology patients (e.g., indications such as Acute Myeloid Leukemia and/or Myelodysplastic Syndrome (defined below)) in which the Genentech Compound and the BioLineRx Compound will be dosed in combination.</w:t>
      </w:r>
    </w:p>
    <w:p>
      <w:pPr>
        <w:spacing w:after="0" w:line="127" w:lineRule="exact"/>
        <w:rPr>
          <w:rFonts w:ascii="Arial" w:cs="Arial" w:eastAsia="Arial" w:hAnsi="Arial"/>
          <w:sz w:val="15"/>
          <w:szCs w:val="15"/>
          <w:b w:val="1"/>
          <w:bCs w:val="1"/>
          <w:color w:val="auto"/>
        </w:rPr>
      </w:pPr>
    </w:p>
    <w:p>
      <w:pPr>
        <w:ind w:left="3" w:right="160" w:firstLine="582"/>
        <w:spacing w:after="0" w:line="283" w:lineRule="auto"/>
        <w:tabs>
          <w:tab w:leader="none" w:pos="1425" w:val="left"/>
        </w:tabs>
        <w:numPr>
          <w:ilvl w:val="0"/>
          <w:numId w:val="139"/>
        </w:numPr>
        <w:rPr>
          <w:rFonts w:ascii="Arial" w:cs="Arial" w:eastAsia="Arial" w:hAnsi="Arial"/>
          <w:sz w:val="16"/>
          <w:szCs w:val="16"/>
          <w:b w:val="1"/>
          <w:bCs w:val="1"/>
          <w:color w:val="auto"/>
        </w:rPr>
      </w:pPr>
      <w:r>
        <w:rPr>
          <w:rFonts w:ascii="Arial" w:cs="Arial" w:eastAsia="Arial" w:hAnsi="Arial"/>
          <w:sz w:val="16"/>
          <w:szCs w:val="16"/>
          <w:color w:val="auto"/>
        </w:rPr>
        <w:t>Genentech and BioLineRx, consistent with the terms of this Agreement, desire to collaborate as more fully described herein, including by providing the Genentech Compound and the BioLineRx Compound to each other for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25995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598" w:right="2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color w:val="auto"/>
        </w:rPr>
        <w:t>CONFIDENTIAL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for good and valuable consideration, the receipt and sufficiency of which is hereby acknowledged, Genentech and BioLineRx agree as follows: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Capitalized terms used in this Agreement shall have the meanings set forth below, unless otherwise specifically indicated.</w:t>
      </w:r>
    </w:p>
    <w:p>
      <w:pPr>
        <w:spacing w:after="0" w:line="202" w:lineRule="exact"/>
        <w:rPr>
          <w:sz w:val="20"/>
          <w:szCs w:val="20"/>
          <w:color w:val="auto"/>
        </w:rPr>
      </w:pPr>
    </w:p>
    <w:p>
      <w:pPr>
        <w:ind w:right="180" w:firstLine="584"/>
        <w:spacing w:after="0" w:line="288" w:lineRule="auto"/>
        <w:rPr>
          <w:sz w:val="20"/>
          <w:szCs w:val="20"/>
          <w:color w:val="auto"/>
        </w:rPr>
      </w:pPr>
      <w:r>
        <w:rPr>
          <w:rFonts w:ascii="Arial" w:cs="Arial" w:eastAsia="Arial" w:hAnsi="Arial"/>
          <w:sz w:val="16"/>
          <w:szCs w:val="16"/>
          <w:b w:val="1"/>
          <w:bCs w:val="1"/>
          <w:color w:val="auto"/>
        </w:rPr>
        <w:t xml:space="preserve">1.1 “Accounting Standards” </w:t>
      </w:r>
      <w:r>
        <w:rPr>
          <w:rFonts w:ascii="Arial" w:cs="Arial" w:eastAsia="Arial" w:hAnsi="Arial"/>
          <w:sz w:val="16"/>
          <w:szCs w:val="16"/>
          <w:color w:val="auto"/>
        </w:rPr>
        <w:t>means the maintenance of records and books of accounts in accordance with IFRS as currently used at the applicable time by,</w:t>
      </w:r>
      <w:r>
        <w:rPr>
          <w:rFonts w:ascii="Arial" w:cs="Arial" w:eastAsia="Arial" w:hAnsi="Arial"/>
          <w:sz w:val="16"/>
          <w:szCs w:val="16"/>
          <w:b w:val="1"/>
          <w:bCs w:val="1"/>
          <w:color w:val="auto"/>
        </w:rPr>
        <w:t xml:space="preserve"> </w:t>
      </w:r>
      <w:r>
        <w:rPr>
          <w:rFonts w:ascii="Arial" w:cs="Arial" w:eastAsia="Arial" w:hAnsi="Arial"/>
          <w:sz w:val="16"/>
          <w:szCs w:val="16"/>
          <w:color w:val="auto"/>
        </w:rPr>
        <w:t>and as consistently applied by, the applicable Party or its Affiliate or Sublicensee.</w:t>
      </w:r>
    </w:p>
    <w:p>
      <w:pPr>
        <w:spacing w:after="0" w:line="143"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 xml:space="preserve">“Affiliate” </w:t>
      </w:r>
      <w:r>
        <w:rPr>
          <w:rFonts w:ascii="Arial" w:cs="Arial" w:eastAsia="Arial" w:hAnsi="Arial"/>
          <w:sz w:val="14"/>
          <w:szCs w:val="14"/>
          <w:color w:val="auto"/>
        </w:rPr>
        <w:t>of a Party means any corporation or other business entity that, directly or indirectly, through one or more intermediaries, controls, is controlled</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by, or is under common control with, such Party. For purposes of this definition, the term “control” (including, the correlative meanings, “controlled by” and “under common control with”) means (a) the direct or indirect ownership of more than fifty percent (50%) of the stock having the right to vote for directors thereof (or general partnership interests) or (b) the ability to otherwise control the decisions of the board of directors or equivalent governing body thereof. Notwithstanding the foregoing, for purposes of this Agreement, Chugai Pharmaceutical Co., Ltd (for purposes of this definition, “</w:t>
      </w:r>
      <w:r>
        <w:rPr>
          <w:rFonts w:ascii="Arial" w:cs="Arial" w:eastAsia="Arial" w:hAnsi="Arial"/>
          <w:sz w:val="16"/>
          <w:szCs w:val="16"/>
          <w:b w:val="1"/>
          <w:bCs w:val="1"/>
          <w:color w:val="auto"/>
        </w:rPr>
        <w:t>Chugai</w:t>
      </w:r>
      <w:r>
        <w:rPr>
          <w:rFonts w:ascii="Arial" w:cs="Arial" w:eastAsia="Arial" w:hAnsi="Arial"/>
          <w:sz w:val="16"/>
          <w:szCs w:val="16"/>
          <w:color w:val="auto"/>
        </w:rPr>
        <w:t>”) and Foundation Medicine, Inc. (for purposes of this definition, “</w:t>
      </w:r>
      <w:r>
        <w:rPr>
          <w:rFonts w:ascii="Arial" w:cs="Arial" w:eastAsia="Arial" w:hAnsi="Arial"/>
          <w:sz w:val="16"/>
          <w:szCs w:val="16"/>
          <w:b w:val="1"/>
          <w:bCs w:val="1"/>
          <w:color w:val="auto"/>
        </w:rPr>
        <w:t>FMI</w:t>
      </w:r>
      <w:r>
        <w:rPr>
          <w:rFonts w:ascii="Arial" w:cs="Arial" w:eastAsia="Arial" w:hAnsi="Arial"/>
          <w:sz w:val="16"/>
          <w:szCs w:val="16"/>
          <w:color w:val="auto"/>
        </w:rPr>
        <w:t>”), and all business entities controlled by Chugai or FMI, shall not be considered Genentech’s Affiliates, unless and until Genentech elects to include one or more of such business entities as its Affiliate, by providing written notice to BioLineRx of such election.</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1.3</w:t>
            </w:r>
          </w:p>
        </w:tc>
        <w:tc>
          <w:tcPr>
            <w:tcW w:w="9940" w:type="dxa"/>
            <w:vAlign w:val="bottom"/>
          </w:tcPr>
          <w:p>
            <w:pPr>
              <w:ind w:left="300"/>
              <w:spacing w:after="0"/>
              <w:rPr>
                <w:sz w:val="20"/>
                <w:szCs w:val="20"/>
                <w:color w:val="auto"/>
              </w:rPr>
            </w:pPr>
            <w:r>
              <w:rPr>
                <w:rFonts w:ascii="Arial" w:cs="Arial" w:eastAsia="Arial" w:hAnsi="Arial"/>
                <w:sz w:val="16"/>
                <w:szCs w:val="16"/>
                <w:b w:val="1"/>
                <w:bCs w:val="1"/>
                <w:color w:val="auto"/>
              </w:rPr>
              <w:t xml:space="preserve">“Ancillary Agreements” </w:t>
            </w:r>
            <w:r>
              <w:rPr>
                <w:rFonts w:ascii="Arial" w:cs="Arial" w:eastAsia="Arial" w:hAnsi="Arial"/>
                <w:sz w:val="16"/>
                <w:szCs w:val="16"/>
                <w:color w:val="auto"/>
              </w:rPr>
              <w:t>means the Joint Rights Agreement, the Quality Agreement and the Pharmacovigilance Agreement.</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1.4</w:t>
            </w:r>
          </w:p>
        </w:tc>
        <w:tc>
          <w:tcPr>
            <w:tcW w:w="9940" w:type="dxa"/>
            <w:vAlign w:val="bottom"/>
          </w:tcPr>
          <w:p>
            <w:pPr>
              <w:ind w:left="300"/>
              <w:spacing w:after="0"/>
              <w:rPr>
                <w:sz w:val="20"/>
                <w:szCs w:val="20"/>
                <w:color w:val="auto"/>
              </w:rPr>
            </w:pPr>
            <w:r>
              <w:rPr>
                <w:rFonts w:ascii="Arial" w:cs="Arial" w:eastAsia="Arial" w:hAnsi="Arial"/>
                <w:sz w:val="16"/>
                <w:szCs w:val="16"/>
                <w:b w:val="1"/>
                <w:bCs w:val="1"/>
                <w:color w:val="auto"/>
                <w:w w:val="92"/>
              </w:rPr>
              <w:t xml:space="preserve">“Applicable Law” </w:t>
            </w:r>
            <w:r>
              <w:rPr>
                <w:rFonts w:ascii="Arial" w:cs="Arial" w:eastAsia="Arial" w:hAnsi="Arial"/>
                <w:sz w:val="16"/>
                <w:szCs w:val="16"/>
                <w:color w:val="auto"/>
                <w:w w:val="92"/>
              </w:rPr>
              <w:t>means all (a) federal, state, provincial, local, international, multi-national, national and regional statutes, laws, rules, regulations,</w:t>
            </w:r>
          </w:p>
        </w:tc>
      </w:tr>
    </w:tbl>
    <w:p>
      <w:pPr>
        <w:ind w:right="40"/>
        <w:spacing w:after="0" w:line="275" w:lineRule="auto"/>
        <w:rPr>
          <w:sz w:val="20"/>
          <w:szCs w:val="20"/>
          <w:color w:val="auto"/>
        </w:rPr>
      </w:pPr>
      <w:r>
        <w:rPr>
          <w:rFonts w:ascii="Arial" w:cs="Arial" w:eastAsia="Arial" w:hAnsi="Arial"/>
          <w:sz w:val="15"/>
          <w:szCs w:val="15"/>
          <w:color w:val="auto"/>
        </w:rPr>
        <w:t>directives, ordinances, applicable to a particular activity under this Agreement (including the performance of clinical trials and medical treatment) that may be in effect from time to time (including GCP, GDP, GLP, GMP and others promulgated by Regulatory Authorities); (b) applicable data protection and patient privacy laws and requirements (including those specified in the EU Data Protection Directive and the regulations issued under HIPAA); (c) export control and economic sanctions regulations that prohibit the shipment of United States-origin products and technology to certain restricted countries, entities and individuals; (d) anti-bribery and anti-corruption laws pertaining to interactions with government agents, officials and representatives (including the United States Foreign Corrupt Practices Act); (e) laws and regulations governing payments to healthcare providers; (f) laws and requirements governing ineligibility to participate in federal, state or other healthcare programs (including debarment under 21 USC § 335a, disqualification under 21 CFR §312.70 or § 812.119, sanctions by a Federal Health Care Program (as defined in 42 USC § 1320a-7b(f)), including the federal Medicare or a state Medicaid program); and (g) successor or replacement statutes, laws, rules, regulations, directives, and ordinances relating to the foregoing.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0380" w:type="dxa"/>
            <w:vAlign w:val="bottom"/>
          </w:tcPr>
          <w:p>
            <w:pPr>
              <w:ind w:left="9180"/>
              <w:spacing w:after="0"/>
              <w:rPr>
                <w:sz w:val="20"/>
                <w:szCs w:val="20"/>
                <w:color w:val="auto"/>
              </w:rPr>
            </w:pPr>
            <w:r>
              <w:rPr>
                <w:rFonts w:ascii="Arial" w:cs="Arial" w:eastAsia="Arial" w:hAnsi="Arial"/>
                <w:sz w:val="16"/>
                <w:szCs w:val="16"/>
                <w:color w:val="auto"/>
              </w:rPr>
              <w:t>CONFIDENTIAL</w:t>
            </w:r>
          </w:p>
        </w:tc>
      </w:tr>
      <w:tr>
        <w:trPr>
          <w:trHeight w:val="390"/>
        </w:trPr>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1.5</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rPr>
              <w:t xml:space="preserve">“BioLineRx Compound” </w:t>
            </w:r>
            <w:r>
              <w:rPr>
                <w:rFonts w:ascii="Arial" w:cs="Arial" w:eastAsia="Arial" w:hAnsi="Arial"/>
                <w:sz w:val="16"/>
                <w:szCs w:val="16"/>
                <w:color w:val="auto"/>
              </w:rPr>
              <w:t>means BL-8040, a C-X-C chemokine receptor type 4 antagonist, and any formulations thereof.</w:t>
            </w:r>
          </w:p>
        </w:tc>
      </w:tr>
      <w:tr>
        <w:trPr>
          <w:trHeight w:val="378"/>
        </w:trPr>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1.6</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w w:val="95"/>
              </w:rPr>
              <w:t xml:space="preserve">“BioLineRx Facilities and Records” </w:t>
            </w:r>
            <w:r>
              <w:rPr>
                <w:rFonts w:ascii="Arial" w:cs="Arial" w:eastAsia="Arial" w:hAnsi="Arial"/>
                <w:sz w:val="16"/>
                <w:szCs w:val="16"/>
                <w:color w:val="auto"/>
                <w:w w:val="95"/>
              </w:rPr>
              <w:t>means, collectively, (a) the facilities at which any of the stages of the Manufacture and Supply of the BioLineRx</w:t>
            </w:r>
          </w:p>
        </w:tc>
      </w:tr>
      <w:tr>
        <w:trPr>
          <w:trHeight w:val="195"/>
        </w:trPr>
        <w:tc>
          <w:tcPr>
            <w:tcW w:w="11440" w:type="dxa"/>
            <w:vAlign w:val="bottom"/>
            <w:gridSpan w:val="2"/>
          </w:tcPr>
          <w:p>
            <w:pPr>
              <w:spacing w:after="0"/>
              <w:rPr>
                <w:sz w:val="20"/>
                <w:szCs w:val="20"/>
                <w:color w:val="auto"/>
              </w:rPr>
            </w:pPr>
            <w:r>
              <w:rPr>
                <w:rFonts w:ascii="Arial" w:cs="Arial" w:eastAsia="Arial" w:hAnsi="Arial"/>
                <w:sz w:val="16"/>
                <w:szCs w:val="16"/>
                <w:color w:val="auto"/>
                <w:w w:val="96"/>
              </w:rPr>
              <w:t>Compound to be used in a Study are performed and (b) records and other documentation relating to such Manufacture and Supply, including batch records, deviations,</w:t>
            </w:r>
          </w:p>
        </w:tc>
      </w:tr>
      <w:tr>
        <w:trPr>
          <w:trHeight w:val="207"/>
        </w:trPr>
        <w:tc>
          <w:tcPr>
            <w:tcW w:w="11440" w:type="dxa"/>
            <w:vAlign w:val="bottom"/>
            <w:gridSpan w:val="2"/>
          </w:tcPr>
          <w:p>
            <w:pPr>
              <w:spacing w:after="0"/>
              <w:rPr>
                <w:sz w:val="20"/>
                <w:szCs w:val="20"/>
                <w:color w:val="auto"/>
              </w:rPr>
            </w:pPr>
            <w:r>
              <w:rPr>
                <w:rFonts w:ascii="Arial" w:cs="Arial" w:eastAsia="Arial" w:hAnsi="Arial"/>
                <w:sz w:val="16"/>
                <w:szCs w:val="16"/>
                <w:color w:val="auto"/>
              </w:rPr>
              <w:t>investigations and change control documents.</w:t>
            </w:r>
          </w:p>
        </w:tc>
      </w:tr>
      <w:tr>
        <w:trPr>
          <w:trHeight w:val="390"/>
        </w:trPr>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1.7</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rPr>
              <w:t xml:space="preserve">“BioLineRx Heme-Study(ies)” </w:t>
            </w:r>
            <w:r>
              <w:rPr>
                <w:rFonts w:ascii="Arial" w:cs="Arial" w:eastAsia="Arial" w:hAnsi="Arial"/>
                <w:sz w:val="16"/>
                <w:szCs w:val="16"/>
                <w:color w:val="auto"/>
              </w:rPr>
              <w:t>means a Study conducted pursuant to a BioLineRx Heme Study Protocol(s).</w:t>
            </w:r>
          </w:p>
        </w:tc>
      </w:tr>
      <w:tr>
        <w:trPr>
          <w:trHeight w:val="390"/>
        </w:trPr>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1.8</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w w:val="94"/>
              </w:rPr>
              <w:t xml:space="preserve">“BioLineRx Heme-Study Protocol(s)” </w:t>
            </w:r>
            <w:r>
              <w:rPr>
                <w:rFonts w:ascii="Arial" w:cs="Arial" w:eastAsia="Arial" w:hAnsi="Arial"/>
                <w:sz w:val="16"/>
                <w:szCs w:val="16"/>
                <w:color w:val="auto"/>
                <w:w w:val="94"/>
              </w:rPr>
              <w:t>means the protocol(s) mutually agreed by the Parties, a summary of which is attached in Exhibit D, Part II, and</w:t>
            </w:r>
          </w:p>
        </w:tc>
      </w:tr>
    </w:tbl>
    <w:p>
      <w:pPr>
        <w:ind w:right="100"/>
        <w:spacing w:after="0" w:line="268" w:lineRule="auto"/>
        <w:rPr>
          <w:sz w:val="20"/>
          <w:szCs w:val="20"/>
          <w:color w:val="auto"/>
        </w:rPr>
      </w:pPr>
      <w:r>
        <w:rPr>
          <w:rFonts w:ascii="Arial" w:cs="Arial" w:eastAsia="Arial" w:hAnsi="Arial"/>
          <w:sz w:val="16"/>
          <w:szCs w:val="16"/>
          <w:color w:val="auto"/>
        </w:rPr>
        <w:t>any additional protocol(s) mutually agreed by the Parties involving Hematology Oncology patients (e.g., indications such as Acute Myeloid Leukemia and/or Myelodysplastic Syndrome).</w:t>
      </w:r>
    </w:p>
    <w:p>
      <w:pPr>
        <w:spacing w:after="0" w:line="158" w:lineRule="exact"/>
        <w:rPr>
          <w:sz w:val="20"/>
          <w:szCs w:val="20"/>
          <w:color w:val="auto"/>
        </w:rPr>
      </w:pPr>
    </w:p>
    <w:p>
      <w:pPr>
        <w:ind w:right="540" w:firstLine="584"/>
        <w:spacing w:after="0" w:line="288" w:lineRule="auto"/>
        <w:rPr>
          <w:sz w:val="20"/>
          <w:szCs w:val="20"/>
          <w:color w:val="auto"/>
        </w:rPr>
      </w:pPr>
      <w:r>
        <w:rPr>
          <w:rFonts w:ascii="Arial" w:cs="Arial" w:eastAsia="Arial" w:hAnsi="Arial"/>
          <w:sz w:val="16"/>
          <w:szCs w:val="16"/>
          <w:b w:val="1"/>
          <w:bCs w:val="1"/>
          <w:color w:val="auto"/>
        </w:rPr>
        <w:t xml:space="preserve">1.9 “Business Day” </w:t>
      </w:r>
      <w:r>
        <w:rPr>
          <w:rFonts w:ascii="Arial" w:cs="Arial" w:eastAsia="Arial" w:hAnsi="Arial"/>
          <w:sz w:val="16"/>
          <w:szCs w:val="16"/>
          <w:color w:val="auto"/>
        </w:rPr>
        <w:t>means a day, other than a Friday (in the case of BioLineRx), Saturday, Sunday or a day on which commercial banks located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country where the applicable obligations are to be performed are authorized or required by law or regulation to close.</w:t>
      </w:r>
    </w:p>
    <w:p>
      <w:pPr>
        <w:spacing w:after="0" w:line="143" w:lineRule="exact"/>
        <w:rPr>
          <w:sz w:val="20"/>
          <w:szCs w:val="20"/>
          <w:color w:val="auto"/>
        </w:rPr>
      </w:pPr>
    </w:p>
    <w:p>
      <w:pPr>
        <w:ind w:right="340" w:firstLine="584"/>
        <w:spacing w:after="0" w:line="288" w:lineRule="auto"/>
        <w:rPr>
          <w:sz w:val="20"/>
          <w:szCs w:val="20"/>
          <w:color w:val="auto"/>
        </w:rPr>
      </w:pPr>
      <w:r>
        <w:rPr>
          <w:rFonts w:ascii="Arial" w:cs="Arial" w:eastAsia="Arial" w:hAnsi="Arial"/>
          <w:sz w:val="16"/>
          <w:szCs w:val="16"/>
          <w:b w:val="1"/>
          <w:bCs w:val="1"/>
          <w:color w:val="auto"/>
        </w:rPr>
        <w:t xml:space="preserve">1.10 “Case Report Form” </w:t>
      </w:r>
      <w:r>
        <w:rPr>
          <w:rFonts w:ascii="Arial" w:cs="Arial" w:eastAsia="Arial" w:hAnsi="Arial"/>
          <w:sz w:val="16"/>
          <w:szCs w:val="16"/>
          <w:color w:val="auto"/>
        </w:rPr>
        <w:t>means the form (whether paper or electronic) for collecting certain data about each Subject, including the data collected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and reported on such form.</w:t>
      </w:r>
    </w:p>
    <w:p>
      <w:pPr>
        <w:spacing w:after="0" w:line="143"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6"/>
          <w:szCs w:val="16"/>
          <w:b w:val="1"/>
          <w:bCs w:val="1"/>
          <w:color w:val="auto"/>
        </w:rPr>
        <w:t>1.11</w:t>
      </w:r>
      <w:r>
        <w:rPr>
          <w:sz w:val="20"/>
          <w:szCs w:val="20"/>
          <w:color w:val="auto"/>
        </w:rPr>
        <w:tab/>
      </w:r>
      <w:r>
        <w:rPr>
          <w:rFonts w:ascii="Arial" w:cs="Arial" w:eastAsia="Arial" w:hAnsi="Arial"/>
          <w:sz w:val="14"/>
          <w:szCs w:val="14"/>
          <w:b w:val="1"/>
          <w:bCs w:val="1"/>
          <w:color w:val="auto"/>
        </w:rPr>
        <w:t xml:space="preserve">“CFR” </w:t>
      </w:r>
      <w:r>
        <w:rPr>
          <w:rFonts w:ascii="Arial" w:cs="Arial" w:eastAsia="Arial" w:hAnsi="Arial"/>
          <w:sz w:val="14"/>
          <w:szCs w:val="14"/>
          <w:color w:val="auto"/>
        </w:rPr>
        <w:t>means the United States Code of Federal Regulations.</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1.12</w:t>
      </w:r>
      <w:r>
        <w:rPr>
          <w:sz w:val="20"/>
          <w:szCs w:val="20"/>
          <w:color w:val="auto"/>
        </w:rPr>
        <w:tab/>
      </w:r>
      <w:r>
        <w:rPr>
          <w:rFonts w:ascii="Arial" w:cs="Arial" w:eastAsia="Arial" w:hAnsi="Arial"/>
          <w:sz w:val="15"/>
          <w:szCs w:val="15"/>
          <w:b w:val="1"/>
          <w:bCs w:val="1"/>
          <w:color w:val="auto"/>
        </w:rPr>
        <w:t xml:space="preserve">“Collaboration IND” </w:t>
      </w:r>
      <w:r>
        <w:rPr>
          <w:rFonts w:ascii="Arial" w:cs="Arial" w:eastAsia="Arial" w:hAnsi="Arial"/>
          <w:sz w:val="15"/>
          <w:szCs w:val="15"/>
          <w:color w:val="auto"/>
        </w:rPr>
        <w:t>means, individually or collectively (as applicable), any or all INDs that include a Protocol, as further described in Section 2.3.</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1.13</w:t>
      </w:r>
      <w:r>
        <w:rPr>
          <w:sz w:val="20"/>
          <w:szCs w:val="20"/>
          <w:color w:val="auto"/>
        </w:rPr>
        <w:tab/>
      </w:r>
      <w:r>
        <w:rPr>
          <w:rFonts w:ascii="Arial" w:cs="Arial" w:eastAsia="Arial" w:hAnsi="Arial"/>
          <w:sz w:val="15"/>
          <w:szCs w:val="15"/>
          <w:b w:val="1"/>
          <w:bCs w:val="1"/>
          <w:color w:val="auto"/>
        </w:rPr>
        <w:t xml:space="preserve">“Collaboration Invention” </w:t>
      </w:r>
      <w:r>
        <w:rPr>
          <w:rFonts w:ascii="Arial" w:cs="Arial" w:eastAsia="Arial" w:hAnsi="Arial"/>
          <w:sz w:val="15"/>
          <w:szCs w:val="15"/>
          <w:color w:val="auto"/>
        </w:rPr>
        <w:t>is defined in Section 6.1(a)(ii).</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4"/>
          <w:szCs w:val="14"/>
          <w:b w:val="1"/>
          <w:bCs w:val="1"/>
          <w:color w:val="auto"/>
        </w:rPr>
        <w:t xml:space="preserve">“Combination” </w:t>
      </w:r>
      <w:r>
        <w:rPr>
          <w:rFonts w:ascii="Arial" w:cs="Arial" w:eastAsia="Arial" w:hAnsi="Arial"/>
          <w:sz w:val="14"/>
          <w:szCs w:val="14"/>
          <w:color w:val="auto"/>
        </w:rPr>
        <w:t>means the Genentech Compound and the BioLineRx Compound used in combination, but not co-formulated.</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1.15</w:t>
      </w:r>
      <w:r>
        <w:rPr>
          <w:sz w:val="20"/>
          <w:szCs w:val="20"/>
          <w:color w:val="auto"/>
        </w:rPr>
        <w:tab/>
      </w:r>
      <w:r>
        <w:rPr>
          <w:rFonts w:ascii="Arial" w:cs="Arial" w:eastAsia="Arial" w:hAnsi="Arial"/>
          <w:sz w:val="14"/>
          <w:szCs w:val="14"/>
          <w:b w:val="1"/>
          <w:bCs w:val="1"/>
          <w:color w:val="auto"/>
        </w:rPr>
        <w:t xml:space="preserve">“Compound” </w:t>
      </w:r>
      <w:r>
        <w:rPr>
          <w:rFonts w:ascii="Arial" w:cs="Arial" w:eastAsia="Arial" w:hAnsi="Arial"/>
          <w:sz w:val="14"/>
          <w:szCs w:val="14"/>
          <w:color w:val="auto"/>
        </w:rPr>
        <w:t>means the Genentech Compound and/or the BioLineRx Compound, as applicable.</w:t>
      </w:r>
    </w:p>
    <w:p>
      <w:pPr>
        <w:spacing w:after="0" w:line="206" w:lineRule="exact"/>
        <w:rPr>
          <w:sz w:val="20"/>
          <w:szCs w:val="20"/>
          <w:color w:val="auto"/>
        </w:rPr>
      </w:pPr>
    </w:p>
    <w:p>
      <w:pPr>
        <w:ind w:right="140" w:firstLine="584"/>
        <w:spacing w:after="0" w:line="297" w:lineRule="auto"/>
        <w:rPr>
          <w:sz w:val="20"/>
          <w:szCs w:val="20"/>
          <w:color w:val="auto"/>
        </w:rPr>
      </w:pPr>
      <w:r>
        <w:rPr>
          <w:rFonts w:ascii="Arial" w:cs="Arial" w:eastAsia="Arial" w:hAnsi="Arial"/>
          <w:sz w:val="15"/>
          <w:szCs w:val="15"/>
          <w:b w:val="1"/>
          <w:bCs w:val="1"/>
          <w:color w:val="auto"/>
        </w:rPr>
        <w:t xml:space="preserve">1.16 “Compound Supply Plan” </w:t>
      </w:r>
      <w:r>
        <w:rPr>
          <w:rFonts w:ascii="Arial" w:cs="Arial" w:eastAsia="Arial" w:hAnsi="Arial"/>
          <w:sz w:val="15"/>
          <w:szCs w:val="15"/>
          <w:color w:val="auto"/>
        </w:rPr>
        <w:t>means a mutually agreed, written plan for supplying the Non-Sponsor Compound for a given Study. The Compound Supply</w:t>
      </w:r>
      <w:r>
        <w:rPr>
          <w:rFonts w:ascii="Arial" w:cs="Arial" w:eastAsia="Arial" w:hAnsi="Arial"/>
          <w:sz w:val="15"/>
          <w:szCs w:val="15"/>
          <w:b w:val="1"/>
          <w:bCs w:val="1"/>
          <w:color w:val="auto"/>
        </w:rPr>
        <w:t xml:space="preserve"> </w:t>
      </w:r>
      <w:r>
        <w:rPr>
          <w:rFonts w:ascii="Arial" w:cs="Arial" w:eastAsia="Arial" w:hAnsi="Arial"/>
          <w:sz w:val="15"/>
          <w:szCs w:val="15"/>
          <w:color w:val="auto"/>
        </w:rPr>
        <w:t>Plan is attached in Exhibit B. The Compound Supply Plan for supplying the Genentech Compound (for use in the BioLineRx Heme-Study(ies)) is in Exhibit B, Part I, and the Compound Supply Plan for supplying the BioLineRx Compound (for use in the Genentech Solid Tumors-Study(ies)) is in Exhibit B, Part II.</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371" w:right="219" w:bottom="1440" w:gutter="0" w:footer="0" w:header="0"/>
        </w:sectPr>
      </w:pPr>
    </w:p>
    <w:bookmarkStart w:id="189" w:name="page190"/>
    <w:bookmarkEnd w:id="189"/>
    <w:p>
      <w:pPr>
        <w:ind w:left="10240"/>
        <w:spacing w:after="0"/>
        <w:rPr>
          <w:sz w:val="20"/>
          <w:szCs w:val="20"/>
          <w:color w:val="auto"/>
        </w:rPr>
      </w:pPr>
      <w:r>
        <w:rPr>
          <w:rFonts w:ascii="Arial" w:cs="Arial" w:eastAsia="Arial" w:hAnsi="Arial"/>
          <w:sz w:val="16"/>
          <w:szCs w:val="16"/>
          <w:color w:val="auto"/>
        </w:rPr>
        <w:t>CONFIDENTIAL</w:t>
      </w:r>
    </w:p>
    <w:p>
      <w:pPr>
        <w:spacing w:after="0" w:line="177" w:lineRule="exact"/>
        <w:rPr>
          <w:sz w:val="20"/>
          <w:szCs w:val="20"/>
          <w:color w:val="auto"/>
        </w:rPr>
      </w:pPr>
    </w:p>
    <w:p>
      <w:pPr>
        <w:ind w:right="80" w:firstLine="584"/>
        <w:spacing w:after="0" w:line="302" w:lineRule="auto"/>
        <w:rPr>
          <w:sz w:val="20"/>
          <w:szCs w:val="20"/>
          <w:color w:val="auto"/>
        </w:rPr>
      </w:pPr>
      <w:r>
        <w:rPr>
          <w:rFonts w:ascii="Arial" w:cs="Arial" w:eastAsia="Arial" w:hAnsi="Arial"/>
          <w:sz w:val="14"/>
          <w:szCs w:val="14"/>
          <w:b w:val="1"/>
          <w:bCs w:val="1"/>
          <w:color w:val="auto"/>
        </w:rPr>
        <w:t xml:space="preserve">1.17 “Confidential Information” </w:t>
      </w:r>
      <w:r>
        <w:rPr>
          <w:rFonts w:ascii="Arial" w:cs="Arial" w:eastAsia="Arial" w:hAnsi="Arial"/>
          <w:sz w:val="14"/>
          <w:szCs w:val="14"/>
          <w:color w:val="auto"/>
        </w:rPr>
        <w:t>means nonpublic information (including Know-How) of a Party that is disclosed in connection with this Agreement (whether</w:t>
      </w:r>
      <w:r>
        <w:rPr>
          <w:rFonts w:ascii="Arial" w:cs="Arial" w:eastAsia="Arial" w:hAnsi="Arial"/>
          <w:sz w:val="14"/>
          <w:szCs w:val="14"/>
          <w:b w:val="1"/>
          <w:bCs w:val="1"/>
          <w:color w:val="auto"/>
        </w:rPr>
        <w:t xml:space="preserve"> </w:t>
      </w:r>
      <w:r>
        <w:rPr>
          <w:rFonts w:ascii="Arial" w:cs="Arial" w:eastAsia="Arial" w:hAnsi="Arial"/>
          <w:sz w:val="14"/>
          <w:szCs w:val="14"/>
          <w:color w:val="auto"/>
        </w:rPr>
        <w:t>orally, electronically, visually or in writing) by or on behalf of such Party to the other Party or its designee. Except as otherwise expressly provided in the Agreement, Study Data, Sample Data, Collaboration Inventions and other intellectual property shall be the Confidential Information of the Party(ies) that own such Study Data, Sample Data, Collaboration Inventions and other intellectual property. Data and other information (</w:t>
      </w:r>
      <w:r>
        <w:rPr>
          <w:rFonts w:ascii="Arial" w:cs="Arial" w:eastAsia="Arial" w:hAnsi="Arial"/>
          <w:sz w:val="14"/>
          <w:szCs w:val="14"/>
          <w:i w:val="1"/>
          <w:iCs w:val="1"/>
          <w:color w:val="auto"/>
        </w:rPr>
        <w:t>including</w:t>
      </w:r>
      <w:r>
        <w:rPr>
          <w:rFonts w:ascii="Arial" w:cs="Arial" w:eastAsia="Arial" w:hAnsi="Arial"/>
          <w:sz w:val="14"/>
          <w:szCs w:val="14"/>
          <w:color w:val="auto"/>
        </w:rPr>
        <w:t xml:space="preserve"> Study Data, Sample Data and Collaboration Inventions) specifically and solely related to the Genentech Compound or to the BioLineRx Compound shall be the Confidential Information solely of Genentech or solely of BioLineRx, respectively, and such information includes investigators’ brochures (and portions thereof), biomarker data, pharmacokinetic and pharmacodynamic data and product storage, handling, expiry, administration and in-use handling information. The terms and conditions of this Agreement and the Protocol shall be Confidential Information jointly owned by the Parties.</w:t>
      </w:r>
    </w:p>
    <w:p>
      <w:pPr>
        <w:spacing w:after="0" w:line="140" w:lineRule="exact"/>
        <w:rPr>
          <w:sz w:val="20"/>
          <w:szCs w:val="20"/>
          <w:color w:val="auto"/>
        </w:rPr>
      </w:pPr>
    </w:p>
    <w:p>
      <w:pPr>
        <w:ind w:right="540" w:firstLine="584"/>
        <w:spacing w:after="0" w:line="288" w:lineRule="auto"/>
        <w:rPr>
          <w:sz w:val="20"/>
          <w:szCs w:val="20"/>
          <w:color w:val="auto"/>
        </w:rPr>
      </w:pPr>
      <w:r>
        <w:rPr>
          <w:rFonts w:ascii="Arial" w:cs="Arial" w:eastAsia="Arial" w:hAnsi="Arial"/>
          <w:sz w:val="16"/>
          <w:szCs w:val="16"/>
          <w:b w:val="1"/>
          <w:bCs w:val="1"/>
          <w:color w:val="auto"/>
        </w:rPr>
        <w:t>1.18 “CRO</w:t>
      </w:r>
      <w:r>
        <w:rPr>
          <w:rFonts w:ascii="Arial" w:cs="Arial" w:eastAsia="Arial" w:hAnsi="Arial"/>
          <w:sz w:val="16"/>
          <w:szCs w:val="16"/>
          <w:color w:val="auto"/>
        </w:rPr>
        <w:t>” means a service provider (e.g., a person, company or organization) that assumes one or more obligations of the Sponsor,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Title 21 of the CFR, or the equivalent assumption of obligations in a jurisdiction other than the United States.</w:t>
      </w:r>
    </w:p>
    <w:p>
      <w:pPr>
        <w:spacing w:after="0" w:line="143" w:lineRule="exact"/>
        <w:rPr>
          <w:sz w:val="20"/>
          <w:szCs w:val="20"/>
          <w:color w:val="auto"/>
        </w:rPr>
      </w:pPr>
    </w:p>
    <w:p>
      <w:pPr>
        <w:ind w:right="280" w:firstLine="584"/>
        <w:spacing w:after="0" w:line="288" w:lineRule="auto"/>
        <w:rPr>
          <w:sz w:val="20"/>
          <w:szCs w:val="20"/>
          <w:color w:val="auto"/>
        </w:rPr>
      </w:pPr>
      <w:r>
        <w:rPr>
          <w:rFonts w:ascii="Arial" w:cs="Arial" w:eastAsia="Arial" w:hAnsi="Arial"/>
          <w:sz w:val="16"/>
          <w:szCs w:val="16"/>
          <w:b w:val="1"/>
          <w:bCs w:val="1"/>
          <w:color w:val="auto"/>
        </w:rPr>
        <w:t xml:space="preserve">1.19 “Database Lock” </w:t>
      </w:r>
      <w:r>
        <w:rPr>
          <w:rFonts w:ascii="Arial" w:cs="Arial" w:eastAsia="Arial" w:hAnsi="Arial"/>
          <w:sz w:val="16"/>
          <w:szCs w:val="16"/>
          <w:color w:val="auto"/>
        </w:rPr>
        <w:t>means the locking of a Study database maintained by Sponsor that includes the data from the Case Report Forms, whereby no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are allowed thereafter.</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1.20</w:t>
      </w:r>
      <w:r>
        <w:rPr>
          <w:sz w:val="20"/>
          <w:szCs w:val="20"/>
          <w:color w:val="auto"/>
        </w:rPr>
        <w:tab/>
      </w:r>
      <w:r>
        <w:rPr>
          <w:rFonts w:ascii="Arial" w:cs="Arial" w:eastAsia="Arial" w:hAnsi="Arial"/>
          <w:sz w:val="14"/>
          <w:szCs w:val="14"/>
          <w:b w:val="1"/>
          <w:bCs w:val="1"/>
          <w:color w:val="auto"/>
        </w:rPr>
        <w:t xml:space="preserve">“Data Review Committee” </w:t>
      </w:r>
      <w:r>
        <w:rPr>
          <w:rFonts w:ascii="Arial" w:cs="Arial" w:eastAsia="Arial" w:hAnsi="Arial"/>
          <w:sz w:val="14"/>
          <w:szCs w:val="14"/>
          <w:color w:val="auto"/>
        </w:rPr>
        <w:t>or</w:t>
      </w:r>
      <w:r>
        <w:rPr>
          <w:rFonts w:ascii="Arial" w:cs="Arial" w:eastAsia="Arial" w:hAnsi="Arial"/>
          <w:sz w:val="14"/>
          <w:szCs w:val="14"/>
          <w:b w:val="1"/>
          <w:bCs w:val="1"/>
          <w:color w:val="auto"/>
        </w:rPr>
        <w:t xml:space="preserve"> “DRC” </w:t>
      </w:r>
      <w:r>
        <w:rPr>
          <w:rFonts w:ascii="Arial" w:cs="Arial" w:eastAsia="Arial" w:hAnsi="Arial"/>
          <w:sz w:val="14"/>
          <w:szCs w:val="14"/>
          <w:color w:val="auto"/>
        </w:rPr>
        <w:t>is defined in Section 3.2(a).</w:t>
      </w:r>
    </w:p>
    <w:p>
      <w:pPr>
        <w:spacing w:after="0" w:line="206" w:lineRule="exact"/>
        <w:rPr>
          <w:sz w:val="20"/>
          <w:szCs w:val="20"/>
          <w:color w:val="auto"/>
        </w:rPr>
      </w:pPr>
    </w:p>
    <w:p>
      <w:pPr>
        <w:ind w:right="860" w:firstLine="584"/>
        <w:spacing w:after="0" w:line="288" w:lineRule="auto"/>
        <w:rPr>
          <w:sz w:val="20"/>
          <w:szCs w:val="20"/>
          <w:color w:val="auto"/>
        </w:rPr>
      </w:pPr>
      <w:r>
        <w:rPr>
          <w:rFonts w:ascii="Arial" w:cs="Arial" w:eastAsia="Arial" w:hAnsi="Arial"/>
          <w:sz w:val="16"/>
          <w:szCs w:val="16"/>
          <w:b w:val="1"/>
          <w:bCs w:val="1"/>
          <w:color w:val="auto"/>
        </w:rPr>
        <w:t xml:space="preserve">1.21 “EMA” </w:t>
      </w:r>
      <w:r>
        <w:rPr>
          <w:rFonts w:ascii="Arial" w:cs="Arial" w:eastAsia="Arial" w:hAnsi="Arial"/>
          <w:sz w:val="16"/>
          <w:szCs w:val="16"/>
          <w:color w:val="auto"/>
        </w:rPr>
        <w:t>means, collectively, the European Medicines Agency and the European Commission (with respect to its functions related to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authorizations for medicinal products), or any successor entity thereto performing similar functions.</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4"/>
          <w:szCs w:val="14"/>
          <w:b w:val="1"/>
          <w:bCs w:val="1"/>
          <w:color w:val="auto"/>
        </w:rPr>
        <w:t xml:space="preserve">“FDA” </w:t>
      </w:r>
      <w:r>
        <w:rPr>
          <w:rFonts w:ascii="Arial" w:cs="Arial" w:eastAsia="Arial" w:hAnsi="Arial"/>
          <w:sz w:val="14"/>
          <w:szCs w:val="14"/>
          <w:color w:val="auto"/>
        </w:rPr>
        <w:t>means the United States Food and Drug Administration, or any successor entity thereto performing similar functions.</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4"/>
          <w:szCs w:val="14"/>
          <w:b w:val="1"/>
          <w:bCs w:val="1"/>
          <w:color w:val="auto"/>
        </w:rPr>
        <w:t xml:space="preserve">“Final Study Report” </w:t>
      </w:r>
      <w:r>
        <w:rPr>
          <w:rFonts w:ascii="Arial" w:cs="Arial" w:eastAsia="Arial" w:hAnsi="Arial"/>
          <w:sz w:val="14"/>
          <w:szCs w:val="14"/>
          <w:color w:val="auto"/>
        </w:rPr>
        <w:t>is defined in Section 2.9(c).</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4"/>
          <w:szCs w:val="14"/>
          <w:b w:val="1"/>
          <w:bCs w:val="1"/>
          <w:color w:val="auto"/>
        </w:rPr>
        <w:t xml:space="preserve">“First Site Ready” </w:t>
      </w:r>
      <w:r>
        <w:rPr>
          <w:rFonts w:ascii="Arial" w:cs="Arial" w:eastAsia="Arial" w:hAnsi="Arial"/>
          <w:sz w:val="14"/>
          <w:szCs w:val="14"/>
          <w:color w:val="auto"/>
        </w:rPr>
        <w:t>means the date when the first Participating Site has all deliverables and approvals in place to support enrollment of Subjects in a given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Study.</w:t>
      </w:r>
    </w:p>
    <w:p>
      <w:pPr>
        <w:spacing w:after="0" w:line="190" w:lineRule="exact"/>
        <w:rPr>
          <w:sz w:val="20"/>
          <w:szCs w:val="20"/>
          <w:color w:val="auto"/>
        </w:rPr>
      </w:pPr>
    </w:p>
    <w:p>
      <w:pPr>
        <w:ind w:right="80" w:firstLine="584"/>
        <w:spacing w:after="0" w:line="262" w:lineRule="auto"/>
        <w:rPr>
          <w:sz w:val="20"/>
          <w:szCs w:val="20"/>
          <w:color w:val="auto"/>
        </w:rPr>
      </w:pPr>
      <w:r>
        <w:rPr>
          <w:rFonts w:ascii="Arial" w:cs="Arial" w:eastAsia="Arial" w:hAnsi="Arial"/>
          <w:sz w:val="16"/>
          <w:szCs w:val="16"/>
          <w:b w:val="1"/>
          <w:bCs w:val="1"/>
          <w:color w:val="auto"/>
        </w:rPr>
        <w:t xml:space="preserve">1.25 “Fully Burdened Manufacturing Cost” </w:t>
      </w:r>
      <w:r>
        <w:rPr>
          <w:rFonts w:ascii="Arial" w:cs="Arial" w:eastAsia="Arial" w:hAnsi="Arial"/>
          <w:sz w:val="16"/>
          <w:szCs w:val="16"/>
          <w:color w:val="auto"/>
        </w:rPr>
        <w:t>means A. the fully absorbed cost of the Manufacturing Party incurred or accrued with respect to each stage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process performed by such Manufacturing Party (or its Affiliate), calculated in accordance with the Accounting Standards employed by the applicable Party on a consistent basis, including the costs of materials, yield and waste levels, direct labor, QA costs (including QC testing, in process testing, stability testing, annual product review, reference standards and certificates of analysis, quality release), equipment maintenance costs, depreciation costs (but excluding the upfront capital expenditures therein), services performed by third party vendors, and costs for utilities;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285" w:right="219" w:bottom="1440" w:gutter="0" w:footer="0" w:header="0"/>
        </w:sectPr>
      </w:pPr>
    </w:p>
    <w:bookmarkStart w:id="190" w:name="page191"/>
    <w:bookmarkEnd w:id="190"/>
    <w:p>
      <w:pPr>
        <w:ind w:left="10240"/>
        <w:spacing w:after="0"/>
        <w:rPr>
          <w:sz w:val="20"/>
          <w:szCs w:val="20"/>
          <w:color w:val="auto"/>
        </w:rPr>
      </w:pPr>
      <w:r>
        <w:rPr>
          <w:rFonts w:ascii="Arial" w:cs="Arial" w:eastAsia="Arial" w:hAnsi="Arial"/>
          <w:sz w:val="16"/>
          <w:szCs w:val="16"/>
          <w:color w:val="auto"/>
        </w:rPr>
        <w:t>CONFIDENTIAL</w:t>
      </w:r>
    </w:p>
    <w:p>
      <w:pPr>
        <w:spacing w:after="0" w:line="206" w:lineRule="exact"/>
        <w:rPr>
          <w:sz w:val="20"/>
          <w:szCs w:val="20"/>
          <w:color w:val="auto"/>
        </w:rPr>
      </w:pPr>
    </w:p>
    <w:p>
      <w:pPr>
        <w:ind w:right="180" w:firstLine="1169"/>
        <w:spacing w:after="0" w:line="263" w:lineRule="auto"/>
        <w:rPr>
          <w:sz w:val="20"/>
          <w:szCs w:val="20"/>
          <w:color w:val="auto"/>
        </w:rPr>
      </w:pPr>
      <w:r>
        <w:rPr>
          <w:rFonts w:ascii="Arial" w:cs="Arial" w:eastAsia="Arial" w:hAnsi="Arial"/>
          <w:sz w:val="16"/>
          <w:szCs w:val="16"/>
          <w:color w:val="auto"/>
        </w:rPr>
        <w:t>B. costs incurred by the Manufacturing Party or for its account which are attributable to such Manufacturing Party’s central operations (including engineering, supply chain, regulatory, quality, and Manufacturing sciences, supervisory or support services and functions, occupancy costs, and its payroll, information systems, human relations or purchasing functions, Technology Transfer costs, and regulatory expenses, and which are reasonably allocated to company departments based on space occupied or headcount or other activity-based method.</w:t>
      </w:r>
    </w:p>
    <w:p>
      <w:pPr>
        <w:spacing w:after="0" w:line="164" w:lineRule="exact"/>
        <w:rPr>
          <w:sz w:val="20"/>
          <w:szCs w:val="20"/>
          <w:color w:val="auto"/>
        </w:rPr>
      </w:pPr>
    </w:p>
    <w:p>
      <w:pPr>
        <w:ind w:right="60" w:firstLine="584"/>
        <w:spacing w:after="0" w:line="284" w:lineRule="auto"/>
        <w:rPr>
          <w:sz w:val="20"/>
          <w:szCs w:val="20"/>
          <w:color w:val="auto"/>
        </w:rPr>
      </w:pPr>
      <w:r>
        <w:rPr>
          <w:rFonts w:ascii="Arial" w:cs="Arial" w:eastAsia="Arial" w:hAnsi="Arial"/>
          <w:sz w:val="15"/>
          <w:szCs w:val="15"/>
          <w:b w:val="1"/>
          <w:bCs w:val="1"/>
          <w:color w:val="auto"/>
        </w:rPr>
        <w:t xml:space="preserve">1.26 “GCP” </w:t>
      </w:r>
      <w:r>
        <w:rPr>
          <w:rFonts w:ascii="Arial" w:cs="Arial" w:eastAsia="Arial" w:hAnsi="Arial"/>
          <w:sz w:val="15"/>
          <w:szCs w:val="15"/>
          <w:color w:val="auto"/>
        </w:rPr>
        <w:t>means, as to the United States and the European Union, applicable good clinical practices, including the International Conference on</w:t>
      </w:r>
      <w:r>
        <w:rPr>
          <w:rFonts w:ascii="Arial" w:cs="Arial" w:eastAsia="Arial" w:hAnsi="Arial"/>
          <w:sz w:val="15"/>
          <w:szCs w:val="15"/>
          <w:b w:val="1"/>
          <w:bCs w:val="1"/>
          <w:color w:val="auto"/>
        </w:rPr>
        <w:t xml:space="preserve"> </w:t>
      </w:r>
      <w:r>
        <w:rPr>
          <w:rFonts w:ascii="Arial" w:cs="Arial" w:eastAsia="Arial" w:hAnsi="Arial"/>
          <w:sz w:val="15"/>
          <w:szCs w:val="15"/>
          <w:color w:val="auto"/>
        </w:rPr>
        <w:t>Harmonisation of Technical Requirements for Registration of Pharmaceuticals for Human Use (“</w:t>
      </w:r>
      <w:r>
        <w:rPr>
          <w:rFonts w:ascii="Arial" w:cs="Arial" w:eastAsia="Arial" w:hAnsi="Arial"/>
          <w:sz w:val="15"/>
          <w:szCs w:val="15"/>
          <w:b w:val="1"/>
          <w:bCs w:val="1"/>
          <w:color w:val="auto"/>
        </w:rPr>
        <w:t>ICH</w:t>
      </w:r>
      <w:r>
        <w:rPr>
          <w:rFonts w:ascii="Arial" w:cs="Arial" w:eastAsia="Arial" w:hAnsi="Arial"/>
          <w:sz w:val="15"/>
          <w:szCs w:val="15"/>
          <w:color w:val="auto"/>
        </w:rPr>
        <w:t>”) (for the design, conduct, performance, monitoring, auditing, recording, analyses, and reporting of clinical trials that provides assurance that the data and reported results are credible and accurate, and that the rights, integrity, and confidentiality of trial subjects are protected) in effect in the United States and the European Union, respectively, during the Term and, with respect to any other jurisdiction, clinical practices equivalent to good clinical practices including the ICH then in effect in the United States or the European Union.</w:t>
      </w:r>
    </w:p>
    <w:p>
      <w:pPr>
        <w:spacing w:after="0" w:line="148" w:lineRule="exact"/>
        <w:rPr>
          <w:sz w:val="20"/>
          <w:szCs w:val="20"/>
          <w:color w:val="auto"/>
        </w:rPr>
      </w:pPr>
    </w:p>
    <w:p>
      <w:pPr>
        <w:jc w:val="both"/>
        <w:ind w:right="440" w:firstLine="584"/>
        <w:spacing w:after="0" w:line="271" w:lineRule="auto"/>
        <w:rPr>
          <w:sz w:val="20"/>
          <w:szCs w:val="20"/>
          <w:color w:val="auto"/>
        </w:rPr>
      </w:pPr>
      <w:r>
        <w:rPr>
          <w:rFonts w:ascii="Arial" w:cs="Arial" w:eastAsia="Arial" w:hAnsi="Arial"/>
          <w:sz w:val="16"/>
          <w:szCs w:val="16"/>
          <w:b w:val="1"/>
          <w:bCs w:val="1"/>
          <w:color w:val="auto"/>
        </w:rPr>
        <w:t xml:space="preserve">1.27 “GDP” </w:t>
      </w:r>
      <w:r>
        <w:rPr>
          <w:rFonts w:ascii="Arial" w:cs="Arial" w:eastAsia="Arial" w:hAnsi="Arial"/>
          <w:sz w:val="16"/>
          <w:szCs w:val="16"/>
          <w:color w:val="auto"/>
        </w:rPr>
        <w:t>means, as to the United States and the European Union, applicable good distribution practices in effect in the United States and the European</w:t>
      </w:r>
      <w:r>
        <w:rPr>
          <w:rFonts w:ascii="Arial" w:cs="Arial" w:eastAsia="Arial" w:hAnsi="Arial"/>
          <w:sz w:val="16"/>
          <w:szCs w:val="16"/>
          <w:b w:val="1"/>
          <w:bCs w:val="1"/>
          <w:color w:val="auto"/>
        </w:rPr>
        <w:t xml:space="preserve"> </w:t>
      </w:r>
      <w:r>
        <w:rPr>
          <w:rFonts w:ascii="Arial" w:cs="Arial" w:eastAsia="Arial" w:hAnsi="Arial"/>
          <w:sz w:val="16"/>
          <w:szCs w:val="16"/>
          <w:color w:val="auto"/>
        </w:rPr>
        <w:t>Union, respectively, during the Term and, with respect to any other jurisdiction, distribution practices equivalent to good distribution practices then in effect in the United States or the European Union.</w:t>
      </w:r>
    </w:p>
    <w:p>
      <w:pPr>
        <w:spacing w:after="0" w:line="156" w:lineRule="exact"/>
        <w:rPr>
          <w:sz w:val="20"/>
          <w:szCs w:val="20"/>
          <w:color w:val="auto"/>
        </w:rPr>
      </w:pPr>
    </w:p>
    <w:p>
      <w:pPr>
        <w:ind w:right="320" w:firstLine="584"/>
        <w:spacing w:after="0" w:line="288" w:lineRule="auto"/>
        <w:rPr>
          <w:sz w:val="20"/>
          <w:szCs w:val="20"/>
          <w:color w:val="auto"/>
        </w:rPr>
      </w:pPr>
      <w:r>
        <w:rPr>
          <w:rFonts w:ascii="Arial" w:cs="Arial" w:eastAsia="Arial" w:hAnsi="Arial"/>
          <w:sz w:val="16"/>
          <w:szCs w:val="16"/>
          <w:b w:val="1"/>
          <w:bCs w:val="1"/>
          <w:color w:val="auto"/>
        </w:rPr>
        <w:t xml:space="preserve">1.28 “Genentech Compound” </w:t>
      </w:r>
      <w:r>
        <w:rPr>
          <w:rFonts w:ascii="Arial" w:cs="Arial" w:eastAsia="Arial" w:hAnsi="Arial"/>
          <w:sz w:val="16"/>
          <w:szCs w:val="16"/>
          <w:color w:val="auto"/>
        </w:rPr>
        <w:t>means atezolizumab, an anti-PD-L1 (programmed death-ligand 1) monoclonal antibody (MPDL3280A or RG7446),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formulations thereof.</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1.29</w:t>
      </w:r>
      <w:r>
        <w:rPr>
          <w:sz w:val="20"/>
          <w:szCs w:val="20"/>
          <w:color w:val="auto"/>
        </w:rPr>
        <w:tab/>
      </w:r>
      <w:r>
        <w:rPr>
          <w:rFonts w:ascii="Arial" w:cs="Arial" w:eastAsia="Arial" w:hAnsi="Arial"/>
          <w:sz w:val="14"/>
          <w:szCs w:val="14"/>
          <w:b w:val="1"/>
          <w:bCs w:val="1"/>
          <w:color w:val="auto"/>
        </w:rPr>
        <w:t xml:space="preserve">“Genentech Solid Tumors-Study(ies)” </w:t>
      </w:r>
      <w:r>
        <w:rPr>
          <w:rFonts w:ascii="Arial" w:cs="Arial" w:eastAsia="Arial" w:hAnsi="Arial"/>
          <w:sz w:val="14"/>
          <w:szCs w:val="14"/>
          <w:color w:val="auto"/>
        </w:rPr>
        <w:t>means a Study conducted pursuant to a Genentech Solid Tumors-Study Protocol(s).</w:t>
      </w:r>
    </w:p>
    <w:p>
      <w:pPr>
        <w:spacing w:after="0" w:line="206" w:lineRule="exact"/>
        <w:rPr>
          <w:sz w:val="20"/>
          <w:szCs w:val="20"/>
          <w:color w:val="auto"/>
        </w:rPr>
      </w:pPr>
    </w:p>
    <w:p>
      <w:pPr>
        <w:jc w:val="both"/>
        <w:ind w:right="40" w:firstLine="584"/>
        <w:spacing w:after="0" w:line="271" w:lineRule="auto"/>
        <w:rPr>
          <w:sz w:val="20"/>
          <w:szCs w:val="20"/>
          <w:color w:val="auto"/>
        </w:rPr>
      </w:pPr>
      <w:r>
        <w:rPr>
          <w:rFonts w:ascii="Arial" w:cs="Arial" w:eastAsia="Arial" w:hAnsi="Arial"/>
          <w:sz w:val="16"/>
          <w:szCs w:val="16"/>
          <w:b w:val="1"/>
          <w:bCs w:val="1"/>
          <w:color w:val="auto"/>
        </w:rPr>
        <w:t xml:space="preserve">1.30 “Genentech Solid Tumors-Study Protocol(s)” </w:t>
      </w:r>
      <w:r>
        <w:rPr>
          <w:rFonts w:ascii="Arial" w:cs="Arial" w:eastAsia="Arial" w:hAnsi="Arial"/>
          <w:sz w:val="16"/>
          <w:szCs w:val="16"/>
          <w:color w:val="auto"/>
        </w:rPr>
        <w:t>means the protocol(s) mutually agreed by the Parties regarding solid tumor indications: Gastric, Non-Small</w:t>
      </w:r>
      <w:r>
        <w:rPr>
          <w:rFonts w:ascii="Arial" w:cs="Arial" w:eastAsia="Arial" w:hAnsi="Arial"/>
          <w:sz w:val="16"/>
          <w:szCs w:val="16"/>
          <w:b w:val="1"/>
          <w:bCs w:val="1"/>
          <w:color w:val="auto"/>
        </w:rPr>
        <w:t xml:space="preserve"> </w:t>
      </w:r>
      <w:r>
        <w:rPr>
          <w:rFonts w:ascii="Arial" w:cs="Arial" w:eastAsia="Arial" w:hAnsi="Arial"/>
          <w:sz w:val="16"/>
          <w:szCs w:val="16"/>
          <w:color w:val="auto"/>
        </w:rPr>
        <w:t>Cell Lung, and Pancreatic Cancer for the initial three indications, followed by three additional indications, possibly to include Colorectal and Ovarian Cancer. Exhibit D, Part I will set forth the summary of each such protocol upon such mutual agreement of the Parties.</w:t>
      </w:r>
    </w:p>
    <w:p>
      <w:pPr>
        <w:spacing w:after="0" w:line="156" w:lineRule="exact"/>
        <w:rPr>
          <w:sz w:val="20"/>
          <w:szCs w:val="20"/>
          <w:color w:val="auto"/>
        </w:rPr>
      </w:pPr>
    </w:p>
    <w:p>
      <w:pPr>
        <w:ind w:right="80" w:firstLine="584"/>
        <w:spacing w:after="0" w:line="271" w:lineRule="auto"/>
        <w:rPr>
          <w:sz w:val="20"/>
          <w:szCs w:val="20"/>
          <w:color w:val="auto"/>
        </w:rPr>
      </w:pPr>
      <w:r>
        <w:rPr>
          <w:rFonts w:ascii="Arial" w:cs="Arial" w:eastAsia="Arial" w:hAnsi="Arial"/>
          <w:sz w:val="16"/>
          <w:szCs w:val="16"/>
          <w:b w:val="1"/>
          <w:bCs w:val="1"/>
          <w:color w:val="auto"/>
        </w:rPr>
        <w:t xml:space="preserve">1.31 “GLP” </w:t>
      </w:r>
      <w:r>
        <w:rPr>
          <w:rFonts w:ascii="Arial" w:cs="Arial" w:eastAsia="Arial" w:hAnsi="Arial"/>
          <w:sz w:val="16"/>
          <w:szCs w:val="16"/>
          <w:color w:val="auto"/>
        </w:rPr>
        <w:t>means, as to the United States and the European Union, applicable good laboratory practices in effect in the United States and the European Union,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during the Term and, with respect to any other jurisdiction, laboratory practices equivalent to good laboratory practices then in effect in the United States or the European Union.</w:t>
      </w:r>
    </w:p>
    <w:p>
      <w:pPr>
        <w:spacing w:after="0" w:line="156" w:lineRule="exact"/>
        <w:rPr>
          <w:sz w:val="20"/>
          <w:szCs w:val="20"/>
          <w:color w:val="auto"/>
        </w:rPr>
      </w:pPr>
    </w:p>
    <w:p>
      <w:pPr>
        <w:ind w:right="40" w:firstLine="584"/>
        <w:spacing w:after="0" w:line="271" w:lineRule="auto"/>
        <w:rPr>
          <w:sz w:val="20"/>
          <w:szCs w:val="20"/>
          <w:color w:val="auto"/>
        </w:rPr>
      </w:pPr>
      <w:r>
        <w:rPr>
          <w:rFonts w:ascii="Arial" w:cs="Arial" w:eastAsia="Arial" w:hAnsi="Arial"/>
          <w:sz w:val="16"/>
          <w:szCs w:val="16"/>
          <w:b w:val="1"/>
          <w:bCs w:val="1"/>
          <w:color w:val="auto"/>
        </w:rPr>
        <w:t xml:space="preserve">1.32 “GMP” </w:t>
      </w:r>
      <w:r>
        <w:rPr>
          <w:rFonts w:ascii="Arial" w:cs="Arial" w:eastAsia="Arial" w:hAnsi="Arial"/>
          <w:sz w:val="16"/>
          <w:szCs w:val="16"/>
          <w:color w:val="auto"/>
        </w:rPr>
        <w:t>means, as to the United States and the European Union, applicable good manufacturing practices in effect in the United States and the European</w:t>
      </w:r>
      <w:r>
        <w:rPr>
          <w:rFonts w:ascii="Arial" w:cs="Arial" w:eastAsia="Arial" w:hAnsi="Arial"/>
          <w:sz w:val="16"/>
          <w:szCs w:val="16"/>
          <w:b w:val="1"/>
          <w:bCs w:val="1"/>
          <w:color w:val="auto"/>
        </w:rPr>
        <w:t xml:space="preserve"> </w:t>
      </w:r>
      <w:r>
        <w:rPr>
          <w:rFonts w:ascii="Arial" w:cs="Arial" w:eastAsia="Arial" w:hAnsi="Arial"/>
          <w:sz w:val="16"/>
          <w:szCs w:val="16"/>
          <w:color w:val="auto"/>
        </w:rPr>
        <w:t>Union, respectively, during the Term and, with respect to any other jurisdiction, manufacturing practices equivalent to good manufacturing practices then in effect in the United States or the European Union.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9"/>
          <w:szCs w:val="19"/>
          <w:color w:val="auto"/>
        </w:rPr>
        <w:t>CONFIDENTIAL</w:t>
      </w:r>
    </w:p>
    <w:p>
      <w:pPr>
        <w:spacing w:after="0" w:line="19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1.33</w:t>
      </w:r>
      <w:r>
        <w:rPr>
          <w:sz w:val="20"/>
          <w:szCs w:val="20"/>
          <w:color w:val="auto"/>
        </w:rPr>
        <w:tab/>
      </w:r>
      <w:r>
        <w:rPr>
          <w:rFonts w:ascii="Arial" w:cs="Arial" w:eastAsia="Arial" w:hAnsi="Arial"/>
          <w:sz w:val="15"/>
          <w:szCs w:val="15"/>
          <w:b w:val="1"/>
          <w:bCs w:val="1"/>
          <w:color w:val="auto"/>
        </w:rPr>
        <w:t xml:space="preserve">“GMP Audit” </w:t>
      </w:r>
      <w:r>
        <w:rPr>
          <w:rFonts w:ascii="Arial" w:cs="Arial" w:eastAsia="Arial" w:hAnsi="Arial"/>
          <w:sz w:val="15"/>
          <w:szCs w:val="15"/>
          <w:color w:val="auto"/>
        </w:rPr>
        <w:t>is defined in Section 4.4(a).</w:t>
      </w:r>
    </w:p>
    <w:p>
      <w:pPr>
        <w:spacing w:after="0" w:line="206" w:lineRule="exact"/>
        <w:rPr>
          <w:sz w:val="20"/>
          <w:szCs w:val="20"/>
          <w:color w:val="auto"/>
        </w:rPr>
      </w:pPr>
    </w:p>
    <w:p>
      <w:pPr>
        <w:ind w:right="160" w:firstLine="584"/>
        <w:spacing w:after="0" w:line="288" w:lineRule="auto"/>
        <w:rPr>
          <w:sz w:val="20"/>
          <w:szCs w:val="20"/>
          <w:color w:val="auto"/>
        </w:rPr>
      </w:pPr>
      <w:r>
        <w:rPr>
          <w:rFonts w:ascii="Arial" w:cs="Arial" w:eastAsia="Arial" w:hAnsi="Arial"/>
          <w:sz w:val="16"/>
          <w:szCs w:val="16"/>
          <w:b w:val="1"/>
          <w:bCs w:val="1"/>
          <w:color w:val="auto"/>
        </w:rPr>
        <w:t xml:space="preserve">1.34 “HIPAA” </w:t>
      </w:r>
      <w:r>
        <w:rPr>
          <w:rFonts w:ascii="Arial" w:cs="Arial" w:eastAsia="Arial" w:hAnsi="Arial"/>
          <w:sz w:val="16"/>
          <w:szCs w:val="16"/>
          <w:color w:val="auto"/>
        </w:rPr>
        <w:t>means, collectively, the United States Health Insurance Portability and Accountability Act of 1996 and the regulations promulgated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from time to time.</w:t>
      </w:r>
    </w:p>
    <w:p>
      <w:pPr>
        <w:spacing w:after="0" w:line="143" w:lineRule="exact"/>
        <w:rPr>
          <w:sz w:val="20"/>
          <w:szCs w:val="20"/>
          <w:color w:val="auto"/>
        </w:rPr>
      </w:pPr>
    </w:p>
    <w:p>
      <w:pPr>
        <w:ind w:right="80" w:firstLine="584"/>
        <w:spacing w:after="0" w:line="271" w:lineRule="auto"/>
        <w:rPr>
          <w:sz w:val="20"/>
          <w:szCs w:val="20"/>
          <w:color w:val="auto"/>
        </w:rPr>
      </w:pPr>
      <w:r>
        <w:rPr>
          <w:rFonts w:ascii="Arial" w:cs="Arial" w:eastAsia="Arial" w:hAnsi="Arial"/>
          <w:sz w:val="16"/>
          <w:szCs w:val="16"/>
          <w:b w:val="1"/>
          <w:bCs w:val="1"/>
          <w:color w:val="auto"/>
        </w:rPr>
        <w:t xml:space="preserve">1.35 “IND” </w:t>
      </w:r>
      <w:r>
        <w:rPr>
          <w:rFonts w:ascii="Arial" w:cs="Arial" w:eastAsia="Arial" w:hAnsi="Arial"/>
          <w:sz w:val="16"/>
          <w:szCs w:val="16"/>
          <w:color w:val="auto"/>
        </w:rPr>
        <w:t>means an investigational new drug application filed or to be filed with the FDA as described in 21 CFR Part 312, or the equivalent filing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Regulatory Authority in any jurisdiction (including an investigational medicinal product dossier filed or to be filed with the EMA or a clinical trial application filed or to be filed with Health Canada), together with any amendments, supplements or other additions or deletions thereto.</w:t>
      </w:r>
    </w:p>
    <w:p>
      <w:pPr>
        <w:spacing w:after="0" w:line="156" w:lineRule="exact"/>
        <w:rPr>
          <w:sz w:val="20"/>
          <w:szCs w:val="20"/>
          <w:color w:val="auto"/>
        </w:rPr>
      </w:pPr>
    </w:p>
    <w:p>
      <w:pPr>
        <w:ind w:right="320" w:firstLine="584"/>
        <w:spacing w:after="0" w:line="288" w:lineRule="auto"/>
        <w:rPr>
          <w:sz w:val="20"/>
          <w:szCs w:val="20"/>
          <w:color w:val="auto"/>
        </w:rPr>
      </w:pPr>
      <w:r>
        <w:rPr>
          <w:rFonts w:ascii="Arial" w:cs="Arial" w:eastAsia="Arial" w:hAnsi="Arial"/>
          <w:sz w:val="16"/>
          <w:szCs w:val="16"/>
          <w:b w:val="1"/>
          <w:bCs w:val="1"/>
          <w:color w:val="auto"/>
        </w:rPr>
        <w:t xml:space="preserve">1.36 “Initial Indication” </w:t>
      </w:r>
      <w:r>
        <w:rPr>
          <w:rFonts w:ascii="Arial" w:cs="Arial" w:eastAsia="Arial" w:hAnsi="Arial"/>
          <w:sz w:val="16"/>
          <w:szCs w:val="16"/>
          <w:color w:val="auto"/>
        </w:rPr>
        <w:t>means (i) for the BioLineRx Heme-Study Protocol(s), Acute Myeloid Leukemia and/or Myelodysplastic Syndrome and (ii)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Genentech Solid Tumors-Study Protocol(s), Gastric, Non-Small Cell Lung, and/or Pancreatic Cancer.</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1.37</w:t>
      </w:r>
      <w:r>
        <w:rPr>
          <w:sz w:val="20"/>
          <w:szCs w:val="20"/>
          <w:color w:val="auto"/>
        </w:rPr>
        <w:tab/>
      </w:r>
      <w:r>
        <w:rPr>
          <w:rFonts w:ascii="Arial" w:cs="Arial" w:eastAsia="Arial" w:hAnsi="Arial"/>
          <w:sz w:val="14"/>
          <w:szCs w:val="14"/>
          <w:b w:val="1"/>
          <w:bCs w:val="1"/>
          <w:color w:val="auto"/>
        </w:rPr>
        <w:t xml:space="preserve">“Initial Quality Audit” </w:t>
      </w:r>
      <w:r>
        <w:rPr>
          <w:rFonts w:ascii="Arial" w:cs="Arial" w:eastAsia="Arial" w:hAnsi="Arial"/>
          <w:sz w:val="14"/>
          <w:szCs w:val="14"/>
          <w:color w:val="auto"/>
        </w:rPr>
        <w:t>is defined in Section</w:t>
      </w:r>
      <w:r>
        <w:rPr>
          <w:rFonts w:ascii="Arial" w:cs="Arial" w:eastAsia="Arial" w:hAnsi="Arial"/>
          <w:sz w:val="14"/>
          <w:szCs w:val="14"/>
          <w:b w:val="1"/>
          <w:bCs w:val="1"/>
          <w:color w:val="auto"/>
        </w:rPr>
        <w:t xml:space="preserve"> Error! Reference source not found.</w:t>
      </w:r>
      <w:r>
        <w:rPr>
          <w:rFonts w:ascii="Arial" w:cs="Arial" w:eastAsia="Arial" w:hAnsi="Arial"/>
          <w:sz w:val="14"/>
          <w:szCs w:val="14"/>
          <w:color w:val="auto"/>
        </w:rPr>
        <w:t>.</w:t>
      </w:r>
    </w:p>
    <w:p>
      <w:pPr>
        <w:spacing w:after="0" w:line="206" w:lineRule="exact"/>
        <w:rPr>
          <w:sz w:val="20"/>
          <w:szCs w:val="20"/>
          <w:color w:val="auto"/>
        </w:rPr>
      </w:pPr>
    </w:p>
    <w:p>
      <w:pPr>
        <w:ind w:right="560" w:firstLine="584"/>
        <w:spacing w:after="0" w:line="288" w:lineRule="auto"/>
        <w:rPr>
          <w:sz w:val="20"/>
          <w:szCs w:val="20"/>
          <w:color w:val="auto"/>
        </w:rPr>
      </w:pPr>
      <w:r>
        <w:rPr>
          <w:rFonts w:ascii="Arial" w:cs="Arial" w:eastAsia="Arial" w:hAnsi="Arial"/>
          <w:sz w:val="16"/>
          <w:szCs w:val="16"/>
          <w:b w:val="1"/>
          <w:bCs w:val="1"/>
          <w:color w:val="auto"/>
        </w:rPr>
        <w:t xml:space="preserve">1.38 “Investigator” </w:t>
      </w:r>
      <w:r>
        <w:rPr>
          <w:rFonts w:ascii="Arial" w:cs="Arial" w:eastAsia="Arial" w:hAnsi="Arial"/>
          <w:sz w:val="16"/>
          <w:szCs w:val="16"/>
          <w:color w:val="auto"/>
        </w:rPr>
        <w:t>is defined in 21 CFR § 312.3(b) and, under this Agreement, means an individual who conducts a Study at a Participating Site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w:t>
      </w:r>
    </w:p>
    <w:p>
      <w:pPr>
        <w:spacing w:after="0" w:line="143" w:lineRule="exact"/>
        <w:rPr>
          <w:sz w:val="20"/>
          <w:szCs w:val="20"/>
          <w:color w:val="auto"/>
        </w:rPr>
      </w:pPr>
    </w:p>
    <w:p>
      <w:pPr>
        <w:ind w:right="480" w:firstLine="584"/>
        <w:spacing w:after="0" w:line="288" w:lineRule="auto"/>
        <w:rPr>
          <w:sz w:val="20"/>
          <w:szCs w:val="20"/>
          <w:color w:val="auto"/>
        </w:rPr>
      </w:pPr>
      <w:r>
        <w:rPr>
          <w:rFonts w:ascii="Arial" w:cs="Arial" w:eastAsia="Arial" w:hAnsi="Arial"/>
          <w:sz w:val="16"/>
          <w:szCs w:val="16"/>
          <w:b w:val="1"/>
          <w:bCs w:val="1"/>
          <w:color w:val="auto"/>
        </w:rPr>
        <w:t xml:space="preserve">1.39 “IRB” </w:t>
      </w:r>
      <w:r>
        <w:rPr>
          <w:rFonts w:ascii="Arial" w:cs="Arial" w:eastAsia="Arial" w:hAnsi="Arial"/>
          <w:sz w:val="16"/>
          <w:szCs w:val="16"/>
          <w:color w:val="auto"/>
        </w:rPr>
        <w:t>means an institutional review board as described in 45 CFR Part 46, or the equivalent entity (such as an independent ethics committee)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1.40</w:t>
      </w:r>
      <w:r>
        <w:rPr>
          <w:sz w:val="20"/>
          <w:szCs w:val="20"/>
          <w:color w:val="auto"/>
        </w:rPr>
        <w:tab/>
      </w:r>
      <w:r>
        <w:rPr>
          <w:rFonts w:ascii="Arial" w:cs="Arial" w:eastAsia="Arial" w:hAnsi="Arial"/>
          <w:sz w:val="15"/>
          <w:szCs w:val="15"/>
          <w:b w:val="1"/>
          <w:bCs w:val="1"/>
          <w:color w:val="auto"/>
        </w:rPr>
        <w:t xml:space="preserve">“JDC Chair” </w:t>
      </w:r>
      <w:r>
        <w:rPr>
          <w:rFonts w:ascii="Arial" w:cs="Arial" w:eastAsia="Arial" w:hAnsi="Arial"/>
          <w:sz w:val="15"/>
          <w:szCs w:val="15"/>
          <w:color w:val="auto"/>
        </w:rPr>
        <w:t>is defined in Section 3.1(b).</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1.41</w:t>
      </w:r>
      <w:r>
        <w:rPr>
          <w:sz w:val="20"/>
          <w:szCs w:val="20"/>
          <w:color w:val="auto"/>
        </w:rPr>
        <w:tab/>
      </w:r>
      <w:r>
        <w:rPr>
          <w:rFonts w:ascii="Arial" w:cs="Arial" w:eastAsia="Arial" w:hAnsi="Arial"/>
          <w:sz w:val="15"/>
          <w:szCs w:val="15"/>
          <w:b w:val="1"/>
          <w:bCs w:val="1"/>
          <w:color w:val="auto"/>
        </w:rPr>
        <w:t xml:space="preserve">“JDC Co-Leader” </w:t>
      </w:r>
      <w:r>
        <w:rPr>
          <w:rFonts w:ascii="Arial" w:cs="Arial" w:eastAsia="Arial" w:hAnsi="Arial"/>
          <w:sz w:val="15"/>
          <w:szCs w:val="15"/>
          <w:color w:val="auto"/>
        </w:rPr>
        <w:t>is defined in Section 3.1(a).</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1.42</w:t>
      </w:r>
      <w:r>
        <w:rPr>
          <w:sz w:val="20"/>
          <w:szCs w:val="20"/>
          <w:color w:val="auto"/>
        </w:rPr>
        <w:tab/>
      </w:r>
      <w:r>
        <w:rPr>
          <w:rFonts w:ascii="Arial" w:cs="Arial" w:eastAsia="Arial" w:hAnsi="Arial"/>
          <w:sz w:val="14"/>
          <w:szCs w:val="14"/>
          <w:b w:val="1"/>
          <w:bCs w:val="1"/>
          <w:color w:val="auto"/>
        </w:rPr>
        <w:t xml:space="preserve">“Joint Development Committee” </w:t>
      </w:r>
      <w:r>
        <w:rPr>
          <w:rFonts w:ascii="Arial" w:cs="Arial" w:eastAsia="Arial" w:hAnsi="Arial"/>
          <w:sz w:val="14"/>
          <w:szCs w:val="14"/>
          <w:color w:val="auto"/>
        </w:rPr>
        <w:t>or</w:t>
      </w:r>
      <w:r>
        <w:rPr>
          <w:rFonts w:ascii="Arial" w:cs="Arial" w:eastAsia="Arial" w:hAnsi="Arial"/>
          <w:sz w:val="14"/>
          <w:szCs w:val="14"/>
          <w:b w:val="1"/>
          <w:bCs w:val="1"/>
          <w:color w:val="auto"/>
        </w:rPr>
        <w:t xml:space="preserve"> “JDC” </w:t>
      </w:r>
      <w:r>
        <w:rPr>
          <w:rFonts w:ascii="Arial" w:cs="Arial" w:eastAsia="Arial" w:hAnsi="Arial"/>
          <w:sz w:val="14"/>
          <w:szCs w:val="14"/>
          <w:color w:val="auto"/>
        </w:rPr>
        <w:t>is defined in Section 3.1(a).</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1.43</w:t>
      </w:r>
      <w:r>
        <w:rPr>
          <w:sz w:val="20"/>
          <w:szCs w:val="20"/>
          <w:color w:val="auto"/>
        </w:rPr>
        <w:tab/>
      </w:r>
      <w:r>
        <w:rPr>
          <w:rFonts w:ascii="Arial" w:cs="Arial" w:eastAsia="Arial" w:hAnsi="Arial"/>
          <w:sz w:val="14"/>
          <w:szCs w:val="14"/>
          <w:b w:val="1"/>
          <w:bCs w:val="1"/>
          <w:color w:val="auto"/>
        </w:rPr>
        <w:t xml:space="preserve">“Joint Patent” </w:t>
      </w:r>
      <w:r>
        <w:rPr>
          <w:rFonts w:ascii="Arial" w:cs="Arial" w:eastAsia="Arial" w:hAnsi="Arial"/>
          <w:sz w:val="14"/>
          <w:szCs w:val="14"/>
          <w:color w:val="auto"/>
        </w:rPr>
        <w:t>is defined in Section 6.4(c).</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1.44</w:t>
      </w:r>
      <w:r>
        <w:rPr>
          <w:sz w:val="20"/>
          <w:szCs w:val="20"/>
          <w:color w:val="auto"/>
        </w:rPr>
        <w:tab/>
      </w:r>
      <w:r>
        <w:rPr>
          <w:rFonts w:ascii="Arial" w:cs="Arial" w:eastAsia="Arial" w:hAnsi="Arial"/>
          <w:sz w:val="14"/>
          <w:szCs w:val="14"/>
          <w:b w:val="1"/>
          <w:bCs w:val="1"/>
          <w:color w:val="auto"/>
        </w:rPr>
        <w:t xml:space="preserve">“Joint Rights Agreement” </w:t>
      </w:r>
      <w:r>
        <w:rPr>
          <w:rFonts w:ascii="Arial" w:cs="Arial" w:eastAsia="Arial" w:hAnsi="Arial"/>
          <w:sz w:val="14"/>
          <w:szCs w:val="14"/>
          <w:color w:val="auto"/>
        </w:rPr>
        <w:t>is defined in Section 6.1(a)(v).</w:t>
      </w:r>
    </w:p>
    <w:p>
      <w:pPr>
        <w:spacing w:after="0" w:line="206" w:lineRule="exact"/>
        <w:rPr>
          <w:sz w:val="20"/>
          <w:szCs w:val="20"/>
          <w:color w:val="auto"/>
        </w:rPr>
      </w:pPr>
    </w:p>
    <w:p>
      <w:pPr>
        <w:ind w:right="460" w:firstLine="584"/>
        <w:spacing w:after="0" w:line="288" w:lineRule="auto"/>
        <w:rPr>
          <w:sz w:val="20"/>
          <w:szCs w:val="20"/>
          <w:color w:val="auto"/>
        </w:rPr>
      </w:pPr>
      <w:r>
        <w:rPr>
          <w:rFonts w:ascii="Arial" w:cs="Arial" w:eastAsia="Arial" w:hAnsi="Arial"/>
          <w:sz w:val="16"/>
          <w:szCs w:val="16"/>
          <w:b w:val="1"/>
          <w:bCs w:val="1"/>
          <w:color w:val="auto"/>
        </w:rPr>
        <w:t xml:space="preserve">1.45 “Know-How” </w:t>
      </w:r>
      <w:r>
        <w:rPr>
          <w:rFonts w:ascii="Arial" w:cs="Arial" w:eastAsia="Arial" w:hAnsi="Arial"/>
          <w:sz w:val="16"/>
          <w:szCs w:val="16"/>
          <w:color w:val="auto"/>
        </w:rPr>
        <w:t>means scientific or other technical information, including data, assays, protocols, methods, processes, techniques, models, designs and</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databases.</w:t>
      </w:r>
    </w:p>
    <w:p>
      <w:pPr>
        <w:spacing w:after="0" w:line="143" w:lineRule="exact"/>
        <w:rPr>
          <w:sz w:val="20"/>
          <w:szCs w:val="20"/>
          <w:color w:val="auto"/>
        </w:rPr>
      </w:pPr>
    </w:p>
    <w:p>
      <w:pPr>
        <w:ind w:right="380" w:firstLine="584"/>
        <w:spacing w:after="0" w:line="271" w:lineRule="auto"/>
        <w:rPr>
          <w:sz w:val="20"/>
          <w:szCs w:val="20"/>
          <w:color w:val="auto"/>
        </w:rPr>
      </w:pPr>
      <w:r>
        <w:rPr>
          <w:rFonts w:ascii="Arial" w:cs="Arial" w:eastAsia="Arial" w:hAnsi="Arial"/>
          <w:sz w:val="16"/>
          <w:szCs w:val="16"/>
          <w:b w:val="1"/>
          <w:bCs w:val="1"/>
          <w:color w:val="auto"/>
        </w:rPr>
        <w:t xml:space="preserve">1.46 “MAA” </w:t>
      </w:r>
      <w:r>
        <w:rPr>
          <w:rFonts w:ascii="Arial" w:cs="Arial" w:eastAsia="Arial" w:hAnsi="Arial"/>
          <w:sz w:val="16"/>
          <w:szCs w:val="16"/>
          <w:color w:val="auto"/>
        </w:rPr>
        <w:t>means an application for marketing authorization filed or to be filed with the relevant Regulatory Authority in any jurisdiction (including a</w:t>
      </w:r>
      <w:r>
        <w:rPr>
          <w:rFonts w:ascii="Arial" w:cs="Arial" w:eastAsia="Arial" w:hAnsi="Arial"/>
          <w:sz w:val="16"/>
          <w:szCs w:val="16"/>
          <w:b w:val="1"/>
          <w:bCs w:val="1"/>
          <w:color w:val="auto"/>
        </w:rPr>
        <w:t xml:space="preserve"> </w:t>
      </w:r>
      <w:r>
        <w:rPr>
          <w:rFonts w:ascii="Arial" w:cs="Arial" w:eastAsia="Arial" w:hAnsi="Arial"/>
          <w:sz w:val="16"/>
          <w:szCs w:val="16"/>
          <w:color w:val="auto"/>
        </w:rPr>
        <w:t>biologics license application or new drug application filed or to be filed with the FDA or a marketing authorization application filed or to be filed with the EMA or Health Canada), together with any amendments, supplements or other additions or deletions thereto.</w:t>
      </w:r>
    </w:p>
    <w:p>
      <w:pPr>
        <w:spacing w:after="0" w:line="156" w:lineRule="exact"/>
        <w:rPr>
          <w:sz w:val="20"/>
          <w:szCs w:val="20"/>
          <w:color w:val="auto"/>
        </w:rPr>
      </w:pPr>
    </w:p>
    <w:p>
      <w:pPr>
        <w:ind w:right="40" w:firstLine="584"/>
        <w:spacing w:after="0" w:line="271" w:lineRule="auto"/>
        <w:rPr>
          <w:sz w:val="20"/>
          <w:szCs w:val="20"/>
          <w:color w:val="auto"/>
        </w:rPr>
      </w:pPr>
      <w:r>
        <w:rPr>
          <w:rFonts w:ascii="Arial" w:cs="Arial" w:eastAsia="Arial" w:hAnsi="Arial"/>
          <w:sz w:val="16"/>
          <w:szCs w:val="16"/>
          <w:b w:val="1"/>
          <w:bCs w:val="1"/>
          <w:color w:val="auto"/>
        </w:rPr>
        <w:t xml:space="preserve">1.47 “Manufacture and Supply” </w:t>
      </w:r>
      <w:r>
        <w:rPr>
          <w:rFonts w:ascii="Arial" w:cs="Arial" w:eastAsia="Arial" w:hAnsi="Arial"/>
          <w:sz w:val="16"/>
          <w:szCs w:val="16"/>
          <w:color w:val="auto"/>
        </w:rPr>
        <w:t>or “</w:t>
      </w:r>
      <w:r>
        <w:rPr>
          <w:rFonts w:ascii="Arial" w:cs="Arial" w:eastAsia="Arial" w:hAnsi="Arial"/>
          <w:sz w:val="16"/>
          <w:szCs w:val="16"/>
          <w:b w:val="1"/>
          <w:bCs w:val="1"/>
          <w:color w:val="auto"/>
        </w:rPr>
        <w:t>Manufacturing and Supplying</w:t>
      </w:r>
      <w:r>
        <w:rPr>
          <w:rFonts w:ascii="Arial" w:cs="Arial" w:eastAsia="Arial" w:hAnsi="Arial"/>
          <w:sz w:val="16"/>
          <w:szCs w:val="16"/>
          <w:color w:val="auto"/>
        </w:rPr>
        <w:t>” or the like, means all stages of the manufacture and supply of a Compound,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planning, purchasing, manufacture, processing, compounding, transportation, handling, storage, filling, packaging, disposal, labeling, leafleting, testing, quality control, quality assurance, sample retention, stability testing, release, instruction, training and dispatch, as applicable.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1.48</w:t>
      </w:r>
      <w:r>
        <w:rPr>
          <w:sz w:val="20"/>
          <w:szCs w:val="20"/>
          <w:color w:val="auto"/>
        </w:rPr>
        <w:tab/>
      </w:r>
      <w:r>
        <w:rPr>
          <w:rFonts w:ascii="Arial" w:cs="Arial" w:eastAsia="Arial" w:hAnsi="Arial"/>
          <w:sz w:val="14"/>
          <w:szCs w:val="14"/>
          <w:b w:val="1"/>
          <w:bCs w:val="1"/>
          <w:color w:val="auto"/>
        </w:rPr>
        <w:t xml:space="preserve">“Non-Sponsor” </w:t>
      </w:r>
      <w:r>
        <w:rPr>
          <w:rFonts w:ascii="Arial" w:cs="Arial" w:eastAsia="Arial" w:hAnsi="Arial"/>
          <w:sz w:val="14"/>
          <w:szCs w:val="14"/>
          <w:color w:val="auto"/>
        </w:rPr>
        <w:t>means, with respect to a given Study, the Party that is not the Sponsor of such Study.</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1.49</w:t>
      </w:r>
      <w:r>
        <w:rPr>
          <w:sz w:val="20"/>
          <w:szCs w:val="20"/>
          <w:color w:val="auto"/>
        </w:rPr>
        <w:tab/>
      </w:r>
      <w:r>
        <w:rPr>
          <w:rFonts w:ascii="Arial" w:cs="Arial" w:eastAsia="Arial" w:hAnsi="Arial"/>
          <w:sz w:val="14"/>
          <w:szCs w:val="14"/>
          <w:b w:val="1"/>
          <w:bCs w:val="1"/>
          <w:color w:val="auto"/>
        </w:rPr>
        <w:t xml:space="preserve">“Participating Site” </w:t>
      </w:r>
      <w:r>
        <w:rPr>
          <w:rFonts w:ascii="Arial" w:cs="Arial" w:eastAsia="Arial" w:hAnsi="Arial"/>
          <w:sz w:val="14"/>
          <w:szCs w:val="14"/>
          <w:color w:val="auto"/>
        </w:rPr>
        <w:t>means a hospital or other institution or entity participating in a given Study.</w:t>
      </w:r>
    </w:p>
    <w:p>
      <w:pPr>
        <w:spacing w:after="0" w:line="206" w:lineRule="exact"/>
        <w:rPr>
          <w:sz w:val="20"/>
          <w:szCs w:val="20"/>
          <w:color w:val="auto"/>
        </w:rPr>
      </w:pPr>
    </w:p>
    <w:p>
      <w:pPr>
        <w:ind w:right="860" w:firstLine="584"/>
        <w:spacing w:after="0" w:line="288" w:lineRule="auto"/>
        <w:rPr>
          <w:sz w:val="20"/>
          <w:szCs w:val="20"/>
          <w:color w:val="auto"/>
        </w:rPr>
      </w:pPr>
      <w:r>
        <w:rPr>
          <w:rFonts w:ascii="Arial" w:cs="Arial" w:eastAsia="Arial" w:hAnsi="Arial"/>
          <w:sz w:val="16"/>
          <w:szCs w:val="16"/>
          <w:b w:val="1"/>
          <w:bCs w:val="1"/>
          <w:color w:val="auto"/>
        </w:rPr>
        <w:t xml:space="preserve">1.50 “Patents” </w:t>
      </w:r>
      <w:r>
        <w:rPr>
          <w:rFonts w:ascii="Arial" w:cs="Arial" w:eastAsia="Arial" w:hAnsi="Arial"/>
          <w:sz w:val="16"/>
          <w:szCs w:val="16"/>
          <w:color w:val="auto"/>
        </w:rPr>
        <w:t>means all patents and patent applications, in any country, including any reissues, reexaminations, patents of addition, extensions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supplementary protection certificates, registrations, divisions, continuations, continuations-in-part, substitutions and renewals thereof.</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1.51</w:t>
      </w:r>
      <w:r>
        <w:rPr>
          <w:sz w:val="20"/>
          <w:szCs w:val="20"/>
          <w:color w:val="auto"/>
        </w:rPr>
        <w:tab/>
      </w:r>
      <w:r>
        <w:rPr>
          <w:rFonts w:ascii="Arial" w:cs="Arial" w:eastAsia="Arial" w:hAnsi="Arial"/>
          <w:sz w:val="14"/>
          <w:szCs w:val="14"/>
          <w:b w:val="1"/>
          <w:bCs w:val="1"/>
          <w:color w:val="auto"/>
        </w:rPr>
        <w:t xml:space="preserve">“Pharmacovigilance Agreement” </w:t>
      </w:r>
      <w:r>
        <w:rPr>
          <w:rFonts w:ascii="Arial" w:cs="Arial" w:eastAsia="Arial" w:hAnsi="Arial"/>
          <w:sz w:val="14"/>
          <w:szCs w:val="14"/>
          <w:color w:val="auto"/>
        </w:rPr>
        <w:t>is defined in Section 2.8.</w:t>
      </w:r>
    </w:p>
    <w:p>
      <w:pPr>
        <w:spacing w:after="0" w:line="206" w:lineRule="exact"/>
        <w:rPr>
          <w:sz w:val="20"/>
          <w:szCs w:val="20"/>
          <w:color w:val="auto"/>
        </w:rPr>
      </w:pPr>
    </w:p>
    <w:p>
      <w:pPr>
        <w:ind w:right="520" w:firstLine="584"/>
        <w:spacing w:after="0" w:line="288" w:lineRule="auto"/>
        <w:rPr>
          <w:sz w:val="20"/>
          <w:szCs w:val="20"/>
          <w:color w:val="auto"/>
        </w:rPr>
      </w:pPr>
      <w:r>
        <w:rPr>
          <w:rFonts w:ascii="Arial" w:cs="Arial" w:eastAsia="Arial" w:hAnsi="Arial"/>
          <w:sz w:val="16"/>
          <w:szCs w:val="16"/>
          <w:b w:val="1"/>
          <w:bCs w:val="1"/>
          <w:color w:val="auto"/>
        </w:rPr>
        <w:t xml:space="preserve">1.52 “Phase 1” </w:t>
      </w:r>
      <w:r>
        <w:rPr>
          <w:rFonts w:ascii="Arial" w:cs="Arial" w:eastAsia="Arial" w:hAnsi="Arial"/>
          <w:sz w:val="16"/>
          <w:szCs w:val="16"/>
          <w:color w:val="auto"/>
        </w:rPr>
        <w:t>means the dose escalation phase of a Study to determine the maximum tolerated dose (MTD) and/or putative optimal biologic dose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1.53</w:t>
      </w:r>
      <w:r>
        <w:rPr>
          <w:sz w:val="20"/>
          <w:szCs w:val="20"/>
          <w:color w:val="auto"/>
        </w:rPr>
        <w:tab/>
      </w:r>
      <w:r>
        <w:rPr>
          <w:rFonts w:ascii="Arial" w:cs="Arial" w:eastAsia="Arial" w:hAnsi="Arial"/>
          <w:sz w:val="14"/>
          <w:szCs w:val="14"/>
          <w:b w:val="1"/>
          <w:bCs w:val="1"/>
          <w:color w:val="auto"/>
        </w:rPr>
        <w:t xml:space="preserve">“Phase 2” </w:t>
      </w:r>
      <w:r>
        <w:rPr>
          <w:rFonts w:ascii="Arial" w:cs="Arial" w:eastAsia="Arial" w:hAnsi="Arial"/>
          <w:sz w:val="14"/>
          <w:szCs w:val="14"/>
          <w:color w:val="auto"/>
        </w:rPr>
        <w:t>means the expansion phase of a Study to assess the preliminary efficacy signal in Subjects with the Initial Indication.</w:t>
      </w:r>
    </w:p>
    <w:p>
      <w:pPr>
        <w:spacing w:after="0" w:line="206" w:lineRule="exact"/>
        <w:rPr>
          <w:sz w:val="20"/>
          <w:szCs w:val="20"/>
          <w:color w:val="auto"/>
        </w:rPr>
      </w:pPr>
    </w:p>
    <w:p>
      <w:pPr>
        <w:ind w:right="360" w:firstLine="584"/>
        <w:spacing w:after="0" w:line="271" w:lineRule="auto"/>
        <w:rPr>
          <w:sz w:val="20"/>
          <w:szCs w:val="20"/>
          <w:color w:val="auto"/>
        </w:rPr>
      </w:pPr>
      <w:r>
        <w:rPr>
          <w:rFonts w:ascii="Arial" w:cs="Arial" w:eastAsia="Arial" w:hAnsi="Arial"/>
          <w:sz w:val="16"/>
          <w:szCs w:val="16"/>
          <w:b w:val="1"/>
          <w:bCs w:val="1"/>
          <w:color w:val="auto"/>
        </w:rPr>
        <w:t>1.54 “Project Participants</w:t>
      </w:r>
      <w:r>
        <w:rPr>
          <w:rFonts w:ascii="Arial" w:cs="Arial" w:eastAsia="Arial" w:hAnsi="Arial"/>
          <w:sz w:val="16"/>
          <w:szCs w:val="16"/>
          <w:color w:val="auto"/>
        </w:rPr>
        <w:t>” means Investigators, Subinvestigators, Participating Sites, CROs, drug distributors, vendors and subcontractors or agents of</w:t>
      </w:r>
      <w:r>
        <w:rPr>
          <w:rFonts w:ascii="Arial" w:cs="Arial" w:eastAsia="Arial" w:hAnsi="Arial"/>
          <w:sz w:val="16"/>
          <w:szCs w:val="16"/>
          <w:b w:val="1"/>
          <w:bCs w:val="1"/>
          <w:color w:val="auto"/>
        </w:rPr>
        <w:t xml:space="preserve"> </w:t>
      </w:r>
      <w:r>
        <w:rPr>
          <w:rFonts w:ascii="Arial" w:cs="Arial" w:eastAsia="Arial" w:hAnsi="Arial"/>
          <w:sz w:val="16"/>
          <w:szCs w:val="16"/>
          <w:color w:val="auto"/>
        </w:rPr>
        <w:t>Sponsor (or Sponsor’s Affiliates), who conduct or assist in conducting the Sponsor’s Study or provide related services. For clarity, Subjects are not within the definition of Project Participants.</w:t>
      </w:r>
    </w:p>
    <w:p>
      <w:pPr>
        <w:spacing w:after="0" w:line="15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1.55</w:t>
      </w:r>
      <w:r>
        <w:rPr>
          <w:sz w:val="20"/>
          <w:szCs w:val="20"/>
          <w:color w:val="auto"/>
        </w:rPr>
        <w:tab/>
      </w:r>
      <w:r>
        <w:rPr>
          <w:rFonts w:ascii="Arial" w:cs="Arial" w:eastAsia="Arial" w:hAnsi="Arial"/>
          <w:sz w:val="14"/>
          <w:szCs w:val="14"/>
          <w:b w:val="1"/>
          <w:bCs w:val="1"/>
          <w:color w:val="auto"/>
        </w:rPr>
        <w:t xml:space="preserve">“Prosecution and Maintenance” </w:t>
      </w:r>
      <w:r>
        <w:rPr>
          <w:rFonts w:ascii="Arial" w:cs="Arial" w:eastAsia="Arial" w:hAnsi="Arial"/>
          <w:sz w:val="14"/>
          <w:szCs w:val="14"/>
          <w:color w:val="auto"/>
        </w:rPr>
        <w:t>or “</w:t>
      </w:r>
      <w:r>
        <w:rPr>
          <w:rFonts w:ascii="Arial" w:cs="Arial" w:eastAsia="Arial" w:hAnsi="Arial"/>
          <w:sz w:val="14"/>
          <w:szCs w:val="14"/>
          <w:b w:val="1"/>
          <w:bCs w:val="1"/>
          <w:color w:val="auto"/>
        </w:rPr>
        <w:t>Prosecute and Maintain</w:t>
      </w:r>
      <w:r>
        <w:rPr>
          <w:rFonts w:ascii="Arial" w:cs="Arial" w:eastAsia="Arial" w:hAnsi="Arial"/>
          <w:sz w:val="14"/>
          <w:szCs w:val="14"/>
          <w:color w:val="auto"/>
        </w:rPr>
        <w:t>” is defined in Section 6.4(a)(ii).</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1.56</w:t>
      </w:r>
      <w:r>
        <w:rPr>
          <w:sz w:val="20"/>
          <w:szCs w:val="20"/>
          <w:color w:val="auto"/>
        </w:rPr>
        <w:tab/>
      </w:r>
      <w:r>
        <w:rPr>
          <w:rFonts w:ascii="Arial" w:cs="Arial" w:eastAsia="Arial" w:hAnsi="Arial"/>
          <w:sz w:val="14"/>
          <w:szCs w:val="14"/>
          <w:b w:val="1"/>
          <w:bCs w:val="1"/>
          <w:color w:val="auto"/>
        </w:rPr>
        <w:t xml:space="preserve">“Protocol” </w:t>
      </w:r>
      <w:r>
        <w:rPr>
          <w:rFonts w:ascii="Arial" w:cs="Arial" w:eastAsia="Arial" w:hAnsi="Arial"/>
          <w:sz w:val="14"/>
          <w:szCs w:val="14"/>
          <w:color w:val="auto"/>
        </w:rPr>
        <w:t>means, as applicable, the Genentech Solid Tumors-Study Protocol(s) or the BioLineRx Heme-Study Protocol(s).</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1.57</w:t>
      </w:r>
      <w:r>
        <w:rPr>
          <w:sz w:val="20"/>
          <w:szCs w:val="20"/>
          <w:color w:val="auto"/>
        </w:rPr>
        <w:tab/>
      </w:r>
      <w:r>
        <w:rPr>
          <w:rFonts w:ascii="Arial" w:cs="Arial" w:eastAsia="Arial" w:hAnsi="Arial"/>
          <w:sz w:val="14"/>
          <w:szCs w:val="14"/>
          <w:b w:val="1"/>
          <w:bCs w:val="1"/>
          <w:color w:val="auto"/>
        </w:rPr>
        <w:t xml:space="preserve">“Quality Agreement” </w:t>
      </w:r>
      <w:r>
        <w:rPr>
          <w:rFonts w:ascii="Arial" w:cs="Arial" w:eastAsia="Arial" w:hAnsi="Arial"/>
          <w:sz w:val="14"/>
          <w:szCs w:val="14"/>
          <w:color w:val="auto"/>
        </w:rPr>
        <w:t>is defined in Section 4.4(b).</w:t>
      </w:r>
    </w:p>
    <w:p>
      <w:pPr>
        <w:spacing w:after="0" w:line="206" w:lineRule="exact"/>
        <w:rPr>
          <w:sz w:val="20"/>
          <w:szCs w:val="20"/>
          <w:color w:val="auto"/>
        </w:rPr>
      </w:pPr>
    </w:p>
    <w:p>
      <w:pPr>
        <w:ind w:right="600" w:firstLine="584"/>
        <w:spacing w:after="0" w:line="288" w:lineRule="auto"/>
        <w:rPr>
          <w:sz w:val="20"/>
          <w:szCs w:val="20"/>
          <w:color w:val="auto"/>
        </w:rPr>
      </w:pPr>
      <w:r>
        <w:rPr>
          <w:rFonts w:ascii="Arial" w:cs="Arial" w:eastAsia="Arial" w:hAnsi="Arial"/>
          <w:sz w:val="16"/>
          <w:szCs w:val="16"/>
          <w:b w:val="1"/>
          <w:bCs w:val="1"/>
          <w:color w:val="auto"/>
        </w:rPr>
        <w:t xml:space="preserve">1.58 “Regulatory Authority” </w:t>
      </w:r>
      <w:r>
        <w:rPr>
          <w:rFonts w:ascii="Arial" w:cs="Arial" w:eastAsia="Arial" w:hAnsi="Arial"/>
          <w:sz w:val="16"/>
          <w:szCs w:val="16"/>
          <w:color w:val="auto"/>
        </w:rPr>
        <w:t>means (a) the FDA; (b) the EMA; or (c) any regulatory authority or body performing similar functions in any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anywhere in the world.</w:t>
      </w:r>
    </w:p>
    <w:p>
      <w:pPr>
        <w:spacing w:after="0" w:line="143" w:lineRule="exact"/>
        <w:rPr>
          <w:sz w:val="20"/>
          <w:szCs w:val="20"/>
          <w:color w:val="auto"/>
        </w:rPr>
      </w:pPr>
    </w:p>
    <w:p>
      <w:pPr>
        <w:ind w:right="360" w:firstLine="584"/>
        <w:spacing w:after="0" w:line="324" w:lineRule="auto"/>
        <w:rPr>
          <w:sz w:val="20"/>
          <w:szCs w:val="20"/>
          <w:color w:val="auto"/>
        </w:rPr>
      </w:pPr>
      <w:r>
        <w:rPr>
          <w:rFonts w:ascii="Arial" w:cs="Arial" w:eastAsia="Arial" w:hAnsi="Arial"/>
          <w:sz w:val="15"/>
          <w:szCs w:val="15"/>
          <w:b w:val="1"/>
          <w:bCs w:val="1"/>
          <w:color w:val="auto"/>
        </w:rPr>
        <w:t xml:space="preserve">1.59 “Regulatory Documentation” </w:t>
      </w:r>
      <w:r>
        <w:rPr>
          <w:rFonts w:ascii="Arial" w:cs="Arial" w:eastAsia="Arial" w:hAnsi="Arial"/>
          <w:sz w:val="15"/>
          <w:szCs w:val="15"/>
          <w:color w:val="auto"/>
        </w:rPr>
        <w:t>means any document submitted to a Regulatory Authority, including all INDs, MAAs, and drug master files, as well as</w:t>
      </w:r>
      <w:r>
        <w:rPr>
          <w:rFonts w:ascii="Arial" w:cs="Arial" w:eastAsia="Arial" w:hAnsi="Arial"/>
          <w:sz w:val="15"/>
          <w:szCs w:val="15"/>
          <w:b w:val="1"/>
          <w:bCs w:val="1"/>
          <w:color w:val="auto"/>
        </w:rPr>
        <w:t xml:space="preserve"> </w:t>
      </w:r>
      <w:r>
        <w:rPr>
          <w:rFonts w:ascii="Arial" w:cs="Arial" w:eastAsia="Arial" w:hAnsi="Arial"/>
          <w:sz w:val="15"/>
          <w:szCs w:val="15"/>
          <w:color w:val="auto"/>
        </w:rPr>
        <w:t>correspondence with Regulatory Authorities, periodic safety update reports, adverse event files, complaint files, inspection reports and manufacturing records.</w:t>
      </w:r>
    </w:p>
    <w:p>
      <w:pPr>
        <w:spacing w:after="0" w:line="119" w:lineRule="exact"/>
        <w:rPr>
          <w:sz w:val="20"/>
          <w:szCs w:val="20"/>
          <w:color w:val="auto"/>
        </w:rPr>
      </w:pPr>
    </w:p>
    <w:p>
      <w:pPr>
        <w:ind w:right="200" w:firstLine="584"/>
        <w:spacing w:after="0" w:line="271" w:lineRule="auto"/>
        <w:rPr>
          <w:sz w:val="20"/>
          <w:szCs w:val="20"/>
          <w:color w:val="auto"/>
        </w:rPr>
      </w:pPr>
      <w:r>
        <w:rPr>
          <w:rFonts w:ascii="Arial" w:cs="Arial" w:eastAsia="Arial" w:hAnsi="Arial"/>
          <w:sz w:val="16"/>
          <w:szCs w:val="16"/>
          <w:b w:val="1"/>
          <w:bCs w:val="1"/>
          <w:color w:val="auto"/>
        </w:rPr>
        <w:t xml:space="preserve">1.60 “Right of Cross-Reference” </w:t>
      </w:r>
      <w:r>
        <w:rPr>
          <w:rFonts w:ascii="Arial" w:cs="Arial" w:eastAsia="Arial" w:hAnsi="Arial"/>
          <w:sz w:val="16"/>
          <w:szCs w:val="16"/>
          <w:color w:val="auto"/>
        </w:rPr>
        <w:t>means a written and signed statement by a Party to the applicable Regulatory Authority that authorizes such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reference information submitted previously by such Party to such Regulatory Authority, as described in 21 CFR § 312.23(b), or the equivalent authorization in a jurisdiction other than the United States.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6"/>
          <w:szCs w:val="16"/>
          <w:color w:val="auto"/>
        </w:rPr>
        <w:t>CONFIDENTIAL</w:t>
      </w:r>
    </w:p>
    <w:p>
      <w:pPr>
        <w:spacing w:after="0" w:line="177"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1.61</w:t>
      </w:r>
      <w:r>
        <w:rPr>
          <w:sz w:val="20"/>
          <w:szCs w:val="20"/>
          <w:color w:val="auto"/>
        </w:rPr>
        <w:tab/>
      </w:r>
      <w:r>
        <w:rPr>
          <w:rFonts w:ascii="Arial" w:cs="Arial" w:eastAsia="Arial" w:hAnsi="Arial"/>
          <w:sz w:val="14"/>
          <w:szCs w:val="14"/>
          <w:b w:val="1"/>
          <w:bCs w:val="1"/>
          <w:color w:val="auto"/>
        </w:rPr>
        <w:t xml:space="preserve">“Roche Group” </w:t>
      </w:r>
      <w:r>
        <w:rPr>
          <w:rFonts w:ascii="Arial" w:cs="Arial" w:eastAsia="Arial" w:hAnsi="Arial"/>
          <w:sz w:val="14"/>
          <w:szCs w:val="14"/>
          <w:color w:val="auto"/>
        </w:rPr>
        <w:t>means Genentech and its Affiliates.</w:t>
      </w:r>
    </w:p>
    <w:p>
      <w:pPr>
        <w:spacing w:after="0" w:line="206" w:lineRule="exact"/>
        <w:rPr>
          <w:sz w:val="20"/>
          <w:szCs w:val="20"/>
          <w:color w:val="auto"/>
        </w:rPr>
      </w:pPr>
    </w:p>
    <w:p>
      <w:pPr>
        <w:ind w:right="500" w:firstLine="584"/>
        <w:spacing w:after="0" w:line="288" w:lineRule="auto"/>
        <w:rPr>
          <w:sz w:val="20"/>
          <w:szCs w:val="20"/>
          <w:color w:val="auto"/>
        </w:rPr>
      </w:pPr>
      <w:r>
        <w:rPr>
          <w:rFonts w:ascii="Arial" w:cs="Arial" w:eastAsia="Arial" w:hAnsi="Arial"/>
          <w:sz w:val="16"/>
          <w:szCs w:val="16"/>
          <w:b w:val="1"/>
          <w:bCs w:val="1"/>
          <w:color w:val="auto"/>
        </w:rPr>
        <w:t xml:space="preserve">1.62 “Sample Analyses” </w:t>
      </w:r>
      <w:r>
        <w:rPr>
          <w:rFonts w:ascii="Arial" w:cs="Arial" w:eastAsia="Arial" w:hAnsi="Arial"/>
          <w:sz w:val="16"/>
          <w:szCs w:val="16"/>
          <w:color w:val="auto"/>
        </w:rPr>
        <w:t>means the testing procedures and analyses of the Samples to be performed under this Agreement in accordance with the Sample</w:t>
      </w:r>
      <w:r>
        <w:rPr>
          <w:rFonts w:ascii="Arial" w:cs="Arial" w:eastAsia="Arial" w:hAnsi="Arial"/>
          <w:sz w:val="16"/>
          <w:szCs w:val="16"/>
          <w:b w:val="1"/>
          <w:bCs w:val="1"/>
          <w:color w:val="auto"/>
        </w:rPr>
        <w:t xml:space="preserve"> </w:t>
      </w:r>
      <w:r>
        <w:rPr>
          <w:rFonts w:ascii="Arial" w:cs="Arial" w:eastAsia="Arial" w:hAnsi="Arial"/>
          <w:sz w:val="16"/>
          <w:szCs w:val="16"/>
          <w:color w:val="auto"/>
        </w:rPr>
        <w:t>Analyses Plan.</w:t>
      </w:r>
    </w:p>
    <w:p>
      <w:pPr>
        <w:spacing w:after="0" w:line="143" w:lineRule="exact"/>
        <w:rPr>
          <w:sz w:val="20"/>
          <w:szCs w:val="20"/>
          <w:color w:val="auto"/>
        </w:rPr>
      </w:pPr>
    </w:p>
    <w:p>
      <w:pPr>
        <w:ind w:right="140" w:firstLine="584"/>
        <w:spacing w:after="0" w:line="265" w:lineRule="auto"/>
        <w:rPr>
          <w:sz w:val="20"/>
          <w:szCs w:val="20"/>
          <w:color w:val="auto"/>
        </w:rPr>
      </w:pPr>
      <w:r>
        <w:rPr>
          <w:rFonts w:ascii="Arial" w:cs="Arial" w:eastAsia="Arial" w:hAnsi="Arial"/>
          <w:sz w:val="16"/>
          <w:szCs w:val="16"/>
          <w:b w:val="1"/>
          <w:bCs w:val="1"/>
          <w:color w:val="auto"/>
        </w:rPr>
        <w:t xml:space="preserve">1.63 “Sample Analyses Plan” </w:t>
      </w:r>
      <w:r>
        <w:rPr>
          <w:rFonts w:ascii="Arial" w:cs="Arial" w:eastAsia="Arial" w:hAnsi="Arial"/>
          <w:sz w:val="16"/>
          <w:szCs w:val="16"/>
          <w:color w:val="auto"/>
        </w:rPr>
        <w:t>means a mutually agreed, written plan that outlines (a) the Sample Analyses to be performed; (b) the priority for using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(c) which Party is responsible for performing particular Sample Analyses; (d) the timing for sharing particular subsets of the Sample Data; and (e) the ownership of particular subsets of the Sample Data. The Sample Analyses Plan for Samples obtained from the Genentech Solid Tumors-Study(ies) is in Exhibit A, Part I and the Sample Analyses Plan for Samples obtained from the BioLineRx Heme-Study(ies) is in Exhibit A, Part II.</w:t>
      </w:r>
    </w:p>
    <w:p>
      <w:pPr>
        <w:spacing w:after="0" w:line="161"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1.64</w:t>
      </w:r>
      <w:r>
        <w:rPr>
          <w:sz w:val="20"/>
          <w:szCs w:val="20"/>
          <w:color w:val="auto"/>
        </w:rPr>
        <w:tab/>
      </w:r>
      <w:r>
        <w:rPr>
          <w:rFonts w:ascii="Arial" w:cs="Arial" w:eastAsia="Arial" w:hAnsi="Arial"/>
          <w:sz w:val="14"/>
          <w:szCs w:val="14"/>
          <w:b w:val="1"/>
          <w:bCs w:val="1"/>
          <w:color w:val="auto"/>
        </w:rPr>
        <w:t xml:space="preserve">“Sample Data” </w:t>
      </w:r>
      <w:r>
        <w:rPr>
          <w:rFonts w:ascii="Arial" w:cs="Arial" w:eastAsia="Arial" w:hAnsi="Arial"/>
          <w:sz w:val="14"/>
          <w:szCs w:val="14"/>
          <w:color w:val="auto"/>
        </w:rPr>
        <w:t>means the data from the Sample Analyses, as described in this Agreement.</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1.65</w:t>
      </w:r>
      <w:r>
        <w:rPr>
          <w:sz w:val="20"/>
          <w:szCs w:val="20"/>
          <w:color w:val="auto"/>
        </w:rPr>
        <w:tab/>
      </w:r>
      <w:r>
        <w:rPr>
          <w:rFonts w:ascii="Arial" w:cs="Arial" w:eastAsia="Arial" w:hAnsi="Arial"/>
          <w:sz w:val="14"/>
          <w:szCs w:val="14"/>
          <w:b w:val="1"/>
          <w:bCs w:val="1"/>
          <w:color w:val="auto"/>
        </w:rPr>
        <w:t xml:space="preserve">“Samples” </w:t>
      </w:r>
      <w:r>
        <w:rPr>
          <w:rFonts w:ascii="Arial" w:cs="Arial" w:eastAsia="Arial" w:hAnsi="Arial"/>
          <w:sz w:val="14"/>
          <w:szCs w:val="14"/>
          <w:color w:val="auto"/>
        </w:rPr>
        <w:t>means biological samples collected from Subjects in accordance with the Protocol.</w:t>
      </w:r>
    </w:p>
    <w:p>
      <w:pPr>
        <w:spacing w:after="0" w:line="206" w:lineRule="exact"/>
        <w:rPr>
          <w:sz w:val="20"/>
          <w:szCs w:val="20"/>
          <w:color w:val="auto"/>
        </w:rPr>
      </w:pPr>
    </w:p>
    <w:p>
      <w:pPr>
        <w:ind w:right="220" w:firstLine="584"/>
        <w:spacing w:after="0" w:line="324" w:lineRule="auto"/>
        <w:rPr>
          <w:sz w:val="20"/>
          <w:szCs w:val="20"/>
          <w:color w:val="auto"/>
        </w:rPr>
      </w:pPr>
      <w:r>
        <w:rPr>
          <w:rFonts w:ascii="Arial" w:cs="Arial" w:eastAsia="Arial" w:hAnsi="Arial"/>
          <w:sz w:val="15"/>
          <w:szCs w:val="15"/>
          <w:b w:val="1"/>
          <w:bCs w:val="1"/>
          <w:color w:val="auto"/>
        </w:rPr>
        <w:t xml:space="preserve">1.66 “Specifications” </w:t>
      </w:r>
      <w:r>
        <w:rPr>
          <w:rFonts w:ascii="Arial" w:cs="Arial" w:eastAsia="Arial" w:hAnsi="Arial"/>
          <w:sz w:val="15"/>
          <w:szCs w:val="15"/>
          <w:color w:val="auto"/>
        </w:rPr>
        <w:t>means (a) with respect to the Non-Sponsor Compound, the set of specifications for such Compound set forth in the Quality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(b) with respect to the Sponsor Compound, the applicable set of specifications for the Manufacture and Supply of such Compound for use in a Study.</w:t>
      </w:r>
    </w:p>
    <w:p>
      <w:pPr>
        <w:spacing w:after="0" w:line="119" w:lineRule="exact"/>
        <w:rPr>
          <w:sz w:val="20"/>
          <w:szCs w:val="20"/>
          <w:color w:val="auto"/>
        </w:rPr>
      </w:pPr>
    </w:p>
    <w:p>
      <w:pPr>
        <w:ind w:right="400" w:firstLine="584"/>
        <w:spacing w:after="0" w:line="288" w:lineRule="auto"/>
        <w:rPr>
          <w:sz w:val="20"/>
          <w:szCs w:val="20"/>
          <w:color w:val="auto"/>
        </w:rPr>
      </w:pPr>
      <w:r>
        <w:rPr>
          <w:rFonts w:ascii="Arial" w:cs="Arial" w:eastAsia="Arial" w:hAnsi="Arial"/>
          <w:sz w:val="16"/>
          <w:szCs w:val="16"/>
          <w:b w:val="1"/>
          <w:bCs w:val="1"/>
          <w:color w:val="auto"/>
        </w:rPr>
        <w:t xml:space="preserve">1.67 “Sponsor” </w:t>
      </w:r>
      <w:r>
        <w:rPr>
          <w:rFonts w:ascii="Arial" w:cs="Arial" w:eastAsia="Arial" w:hAnsi="Arial"/>
          <w:sz w:val="16"/>
          <w:szCs w:val="16"/>
          <w:color w:val="auto"/>
        </w:rPr>
        <w:t>is defined in 21 CFR § 312.3(b) and, under this Agreement, means the entity that takes responsibility for and initiates a given Study in any</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w:t>
      </w:r>
    </w:p>
    <w:p>
      <w:pPr>
        <w:spacing w:after="0" w:line="143" w:lineRule="exact"/>
        <w:rPr>
          <w:sz w:val="20"/>
          <w:szCs w:val="20"/>
          <w:color w:val="auto"/>
        </w:rPr>
      </w:pPr>
    </w:p>
    <w:p>
      <w:pPr>
        <w:ind w:right="100" w:firstLine="584"/>
        <w:spacing w:after="0" w:line="271" w:lineRule="auto"/>
        <w:rPr>
          <w:sz w:val="20"/>
          <w:szCs w:val="20"/>
          <w:color w:val="auto"/>
        </w:rPr>
      </w:pPr>
      <w:r>
        <w:rPr>
          <w:rFonts w:ascii="Arial" w:cs="Arial" w:eastAsia="Arial" w:hAnsi="Arial"/>
          <w:sz w:val="16"/>
          <w:szCs w:val="16"/>
          <w:b w:val="1"/>
          <w:bCs w:val="1"/>
          <w:color w:val="auto"/>
        </w:rPr>
        <w:t xml:space="preserve">1.68 “Study” </w:t>
      </w:r>
      <w:r>
        <w:rPr>
          <w:rFonts w:ascii="Arial" w:cs="Arial" w:eastAsia="Arial" w:hAnsi="Arial"/>
          <w:sz w:val="16"/>
          <w:szCs w:val="16"/>
          <w:color w:val="auto"/>
        </w:rPr>
        <w:t>means the clinical investigation(s) included in a given Protocol to study the Combination. For purposes of this Agreement, the Study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excludes</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Sample Analyses References in this Agreement to “a Study” (or the like) refer to, as applicable, the clinical investigation(s) included in the Genentech Solid Tumors-Study Protocol(s) or the clinical investigation(s) included in the BioLineRx Heme-Study Protocol(s).</w:t>
      </w:r>
    </w:p>
    <w:p>
      <w:pPr>
        <w:spacing w:after="0" w:line="15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1.69</w:t>
      </w:r>
      <w:r>
        <w:rPr>
          <w:sz w:val="20"/>
          <w:szCs w:val="20"/>
          <w:color w:val="auto"/>
        </w:rPr>
        <w:tab/>
      </w:r>
      <w:r>
        <w:rPr>
          <w:rFonts w:ascii="Arial" w:cs="Arial" w:eastAsia="Arial" w:hAnsi="Arial"/>
          <w:sz w:val="14"/>
          <w:szCs w:val="14"/>
          <w:b w:val="1"/>
          <w:bCs w:val="1"/>
          <w:color w:val="auto"/>
        </w:rPr>
        <w:t xml:space="preserve">“Study Completion” </w:t>
      </w:r>
      <w:r>
        <w:rPr>
          <w:rFonts w:ascii="Arial" w:cs="Arial" w:eastAsia="Arial" w:hAnsi="Arial"/>
          <w:sz w:val="14"/>
          <w:szCs w:val="14"/>
          <w:color w:val="auto"/>
        </w:rPr>
        <w:t>means the last Subject visit specified in a given Protocol for primary endpoint evaluation.</w:t>
      </w:r>
    </w:p>
    <w:p>
      <w:pPr>
        <w:spacing w:after="0" w:line="20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1.70</w:t>
      </w:r>
      <w:r>
        <w:rPr>
          <w:sz w:val="20"/>
          <w:szCs w:val="20"/>
          <w:color w:val="auto"/>
        </w:rPr>
        <w:tab/>
      </w:r>
      <w:r>
        <w:rPr>
          <w:rFonts w:ascii="Arial" w:cs="Arial" w:eastAsia="Arial" w:hAnsi="Arial"/>
          <w:sz w:val="14"/>
          <w:szCs w:val="14"/>
          <w:b w:val="1"/>
          <w:bCs w:val="1"/>
          <w:color w:val="auto"/>
        </w:rPr>
        <w:t xml:space="preserve">“Study Data” </w:t>
      </w:r>
      <w:r>
        <w:rPr>
          <w:rFonts w:ascii="Arial" w:cs="Arial" w:eastAsia="Arial" w:hAnsi="Arial"/>
          <w:sz w:val="14"/>
          <w:szCs w:val="14"/>
          <w:color w:val="auto"/>
        </w:rPr>
        <w:t>Means, for a given Study, the data from (a) Case Report Forms and (b) the Final Study Report. The term “Study Data”</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excludes</w:t>
      </w:r>
      <w:r>
        <w:rPr>
          <w:rFonts w:ascii="Arial" w:cs="Arial" w:eastAsia="Arial" w:hAnsi="Arial"/>
          <w:sz w:val="14"/>
          <w:szCs w:val="14"/>
          <w:b w:val="1"/>
          <w:bCs w:val="1"/>
          <w:color w:val="auto"/>
        </w:rPr>
        <w:t xml:space="preserve"> </w:t>
      </w:r>
      <w:r>
        <w:rPr>
          <w:rFonts w:ascii="Arial" w:cs="Arial" w:eastAsia="Arial" w:hAnsi="Arial"/>
          <w:sz w:val="14"/>
          <w:szCs w:val="14"/>
          <w:color w:val="auto"/>
        </w:rPr>
        <w:t>the Sample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Data.</w:t>
      </w:r>
    </w:p>
    <w:p>
      <w:pPr>
        <w:spacing w:after="0" w:line="190" w:lineRule="exact"/>
        <w:rPr>
          <w:sz w:val="20"/>
          <w:szCs w:val="20"/>
          <w:color w:val="auto"/>
        </w:rPr>
      </w:pPr>
    </w:p>
    <w:p>
      <w:pPr>
        <w:ind w:right="1180" w:firstLine="584"/>
        <w:spacing w:after="0" w:line="288" w:lineRule="auto"/>
        <w:rPr>
          <w:sz w:val="20"/>
          <w:szCs w:val="20"/>
          <w:color w:val="auto"/>
        </w:rPr>
      </w:pPr>
      <w:r>
        <w:rPr>
          <w:rFonts w:ascii="Arial" w:cs="Arial" w:eastAsia="Arial" w:hAnsi="Arial"/>
          <w:sz w:val="16"/>
          <w:szCs w:val="16"/>
          <w:b w:val="1"/>
          <w:bCs w:val="1"/>
          <w:color w:val="auto"/>
        </w:rPr>
        <w:t xml:space="preserve">1.71 “Subinvestigator” </w:t>
      </w:r>
      <w:r>
        <w:rPr>
          <w:rFonts w:ascii="Arial" w:cs="Arial" w:eastAsia="Arial" w:hAnsi="Arial"/>
          <w:sz w:val="16"/>
          <w:szCs w:val="16"/>
          <w:color w:val="auto"/>
        </w:rPr>
        <w:t>is defined in 21 CFR § 312.3(b) and, in the event a given Study is conducted by a team at a Participating Site,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“Subinvestigator” means an individual designated by the Investigator (who is the responsible leader of such team).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285" w:right="2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1.72</w:t>
      </w:r>
      <w:r>
        <w:rPr>
          <w:sz w:val="20"/>
          <w:szCs w:val="20"/>
          <w:color w:val="auto"/>
        </w:rPr>
        <w:tab/>
      </w:r>
      <w:r>
        <w:rPr>
          <w:rFonts w:ascii="Arial" w:cs="Arial" w:eastAsia="Arial" w:hAnsi="Arial"/>
          <w:sz w:val="14"/>
          <w:szCs w:val="14"/>
          <w:b w:val="1"/>
          <w:bCs w:val="1"/>
          <w:color w:val="auto"/>
        </w:rPr>
        <w:t xml:space="preserve">“Subject” </w:t>
      </w:r>
      <w:r>
        <w:rPr>
          <w:rFonts w:ascii="Arial" w:cs="Arial" w:eastAsia="Arial" w:hAnsi="Arial"/>
          <w:sz w:val="14"/>
          <w:szCs w:val="14"/>
          <w:color w:val="auto"/>
        </w:rPr>
        <w:t>is defined in 21 CFR § 312.3(b) and, under this Agreement, means a human who participates in a Study in any jurisdiction.</w:t>
      </w:r>
    </w:p>
    <w:p>
      <w:pPr>
        <w:spacing w:after="0" w:line="206" w:lineRule="exact"/>
        <w:rPr>
          <w:sz w:val="20"/>
          <w:szCs w:val="20"/>
          <w:color w:val="auto"/>
        </w:rPr>
      </w:pPr>
    </w:p>
    <w:p>
      <w:pPr>
        <w:ind w:right="320" w:firstLine="584"/>
        <w:spacing w:after="0" w:line="288" w:lineRule="auto"/>
        <w:rPr>
          <w:sz w:val="20"/>
          <w:szCs w:val="20"/>
          <w:color w:val="auto"/>
        </w:rPr>
      </w:pPr>
      <w:r>
        <w:rPr>
          <w:rFonts w:ascii="Arial" w:cs="Arial" w:eastAsia="Arial" w:hAnsi="Arial"/>
          <w:sz w:val="16"/>
          <w:szCs w:val="16"/>
          <w:b w:val="1"/>
          <w:bCs w:val="1"/>
          <w:color w:val="auto"/>
        </w:rPr>
        <w:t xml:space="preserve">1.73 “Tangible Materials” </w:t>
      </w:r>
      <w:r>
        <w:rPr>
          <w:rFonts w:ascii="Arial" w:cs="Arial" w:eastAsia="Arial" w:hAnsi="Arial"/>
          <w:sz w:val="16"/>
          <w:szCs w:val="16"/>
          <w:color w:val="auto"/>
        </w:rPr>
        <w:t>means reagents, assay kits and other tangible materials that one Party supplies to the other Party under this Agreement.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“Tangible Materials” </w:t>
      </w:r>
      <w:r>
        <w:rPr>
          <w:rFonts w:ascii="Arial" w:cs="Arial" w:eastAsia="Arial" w:hAnsi="Arial"/>
          <w:sz w:val="16"/>
          <w:szCs w:val="16"/>
          <w:i w:val="1"/>
          <w:iCs w:val="1"/>
          <w:color w:val="auto"/>
        </w:rPr>
        <w:t>excludes</w:t>
      </w:r>
      <w:r>
        <w:rPr>
          <w:rFonts w:ascii="Arial" w:cs="Arial" w:eastAsia="Arial" w:hAnsi="Arial"/>
          <w:sz w:val="16"/>
          <w:szCs w:val="16"/>
          <w:color w:val="auto"/>
        </w:rPr>
        <w:t xml:space="preserve"> Compounds and Samples.</w:t>
      </w:r>
    </w:p>
    <w:p>
      <w:pPr>
        <w:spacing w:after="0" w:line="143" w:lineRule="exact"/>
        <w:rPr>
          <w:sz w:val="20"/>
          <w:szCs w:val="20"/>
          <w:color w:val="auto"/>
        </w:rPr>
      </w:pPr>
    </w:p>
    <w:p>
      <w:pPr>
        <w:ind w:right="420" w:firstLine="584"/>
        <w:spacing w:after="0" w:line="288" w:lineRule="auto"/>
        <w:rPr>
          <w:sz w:val="20"/>
          <w:szCs w:val="20"/>
          <w:color w:val="auto"/>
        </w:rPr>
      </w:pPr>
      <w:r>
        <w:rPr>
          <w:rFonts w:ascii="Arial" w:cs="Arial" w:eastAsia="Arial" w:hAnsi="Arial"/>
          <w:sz w:val="16"/>
          <w:szCs w:val="16"/>
          <w:b w:val="1"/>
          <w:bCs w:val="1"/>
          <w:color w:val="auto"/>
        </w:rPr>
        <w:t xml:space="preserve">1.74 “Tangible Materials List” </w:t>
      </w:r>
      <w:r>
        <w:rPr>
          <w:rFonts w:ascii="Arial" w:cs="Arial" w:eastAsia="Arial" w:hAnsi="Arial"/>
          <w:sz w:val="16"/>
          <w:szCs w:val="16"/>
          <w:color w:val="auto"/>
        </w:rPr>
        <w:t>means the list of particular Tangible Materials (if any) that each Party is responsible for supplying to the other Party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5.3(a). The Tangible Materials List is attached in Exhibit 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480" w:type="dxa"/>
            <w:vAlign w:val="bottom"/>
          </w:tcPr>
          <w:p>
            <w:pPr>
              <w:spacing w:after="0"/>
              <w:rPr>
                <w:sz w:val="20"/>
                <w:szCs w:val="20"/>
                <w:color w:val="auto"/>
              </w:rPr>
            </w:pPr>
            <w:r>
              <w:rPr>
                <w:rFonts w:ascii="Arial" w:cs="Arial" w:eastAsia="Arial" w:hAnsi="Arial"/>
                <w:sz w:val="16"/>
                <w:szCs w:val="16"/>
                <w:b w:val="1"/>
                <w:bCs w:val="1"/>
                <w:color w:val="auto"/>
              </w:rPr>
              <w:t>1.75</w:t>
            </w:r>
          </w:p>
        </w:tc>
        <w:tc>
          <w:tcPr>
            <w:tcW w:w="10220" w:type="dxa"/>
            <w:vAlign w:val="bottom"/>
          </w:tcPr>
          <w:p>
            <w:pPr>
              <w:ind w:left="220"/>
              <w:spacing w:after="0"/>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means the term during which this Agreement is in effect, in accordance with Section 12.1.</w:t>
            </w:r>
          </w:p>
        </w:tc>
      </w:tr>
      <w:tr>
        <w:trPr>
          <w:trHeight w:val="390"/>
        </w:trPr>
        <w:tc>
          <w:tcPr>
            <w:tcW w:w="480" w:type="dxa"/>
            <w:vAlign w:val="bottom"/>
          </w:tcPr>
          <w:p>
            <w:pPr>
              <w:spacing w:after="0"/>
              <w:rPr>
                <w:sz w:val="20"/>
                <w:szCs w:val="20"/>
                <w:color w:val="auto"/>
              </w:rPr>
            </w:pPr>
            <w:r>
              <w:rPr>
                <w:rFonts w:ascii="Arial" w:cs="Arial" w:eastAsia="Arial" w:hAnsi="Arial"/>
                <w:sz w:val="16"/>
                <w:szCs w:val="16"/>
                <w:b w:val="1"/>
                <w:bCs w:val="1"/>
                <w:color w:val="auto"/>
              </w:rPr>
              <w:t>1.76</w:t>
            </w:r>
          </w:p>
        </w:tc>
        <w:tc>
          <w:tcPr>
            <w:tcW w:w="10220" w:type="dxa"/>
            <w:vAlign w:val="bottom"/>
          </w:tcPr>
          <w:p>
            <w:pPr>
              <w:ind w:left="220"/>
              <w:spacing w:after="0"/>
              <w:rPr>
                <w:sz w:val="20"/>
                <w:szCs w:val="20"/>
                <w:color w:val="auto"/>
              </w:rPr>
            </w:pPr>
            <w:r>
              <w:rPr>
                <w:rFonts w:ascii="Arial" w:cs="Arial" w:eastAsia="Arial" w:hAnsi="Arial"/>
                <w:sz w:val="16"/>
                <w:szCs w:val="16"/>
                <w:b w:val="1"/>
                <w:bCs w:val="1"/>
                <w:color w:val="auto"/>
              </w:rPr>
              <w:t xml:space="preserve">“Third Party” </w:t>
            </w:r>
            <w:r>
              <w:rPr>
                <w:rFonts w:ascii="Arial" w:cs="Arial" w:eastAsia="Arial" w:hAnsi="Arial"/>
                <w:sz w:val="16"/>
                <w:szCs w:val="16"/>
                <w:color w:val="auto"/>
              </w:rPr>
              <w:t>means any person or entity other than a Party or its Affiliates.</w:t>
            </w:r>
          </w:p>
        </w:tc>
      </w:tr>
      <w:tr>
        <w:trPr>
          <w:trHeight w:val="471"/>
        </w:trPr>
        <w:tc>
          <w:tcPr>
            <w:tcW w:w="480" w:type="dxa"/>
            <w:vAlign w:val="bottom"/>
          </w:tcPr>
          <w:p>
            <w:pPr>
              <w:spacing w:after="0"/>
              <w:rPr>
                <w:sz w:val="24"/>
                <w:szCs w:val="24"/>
                <w:color w:val="auto"/>
              </w:rPr>
            </w:pPr>
          </w:p>
        </w:tc>
        <w:tc>
          <w:tcPr>
            <w:tcW w:w="10220" w:type="dxa"/>
            <w:vAlign w:val="bottom"/>
          </w:tcPr>
          <w:p>
            <w:pPr>
              <w:jc w:val="center"/>
              <w:ind w:right="819"/>
              <w:spacing w:after="0"/>
              <w:rPr>
                <w:sz w:val="20"/>
                <w:szCs w:val="20"/>
                <w:color w:val="auto"/>
              </w:rPr>
            </w:pPr>
            <w:r>
              <w:rPr>
                <w:rFonts w:ascii="Arial" w:cs="Arial" w:eastAsia="Arial" w:hAnsi="Arial"/>
                <w:sz w:val="16"/>
                <w:szCs w:val="16"/>
                <w:b w:val="1"/>
                <w:bCs w:val="1"/>
                <w:color w:val="auto"/>
                <w:w w:val="94"/>
              </w:rPr>
              <w:t>Article 2</w:t>
            </w:r>
          </w:p>
        </w:tc>
      </w:tr>
      <w:tr>
        <w:trPr>
          <w:trHeight w:val="211"/>
        </w:trPr>
        <w:tc>
          <w:tcPr>
            <w:tcW w:w="480" w:type="dxa"/>
            <w:vAlign w:val="bottom"/>
          </w:tcPr>
          <w:p>
            <w:pPr>
              <w:spacing w:after="0"/>
              <w:rPr>
                <w:sz w:val="18"/>
                <w:szCs w:val="18"/>
                <w:color w:val="auto"/>
              </w:rPr>
            </w:pPr>
          </w:p>
        </w:tc>
        <w:tc>
          <w:tcPr>
            <w:tcW w:w="10220" w:type="dxa"/>
            <w:vAlign w:val="bottom"/>
          </w:tcPr>
          <w:p>
            <w:pPr>
              <w:jc w:val="center"/>
              <w:ind w:right="819"/>
              <w:spacing w:after="0"/>
              <w:rPr>
                <w:sz w:val="20"/>
                <w:szCs w:val="20"/>
                <w:color w:val="auto"/>
              </w:rPr>
            </w:pPr>
            <w:r>
              <w:rPr>
                <w:rFonts w:ascii="Arial" w:cs="Arial" w:eastAsia="Arial" w:hAnsi="Arial"/>
                <w:sz w:val="16"/>
                <w:szCs w:val="16"/>
                <w:b w:val="1"/>
                <w:bCs w:val="1"/>
                <w:color w:val="auto"/>
                <w:w w:val="90"/>
              </w:rPr>
              <w:t>Conduct of the Study(ies)</w:t>
            </w:r>
          </w:p>
        </w:tc>
      </w:tr>
      <w:tr>
        <w:trPr>
          <w:trHeight w:val="329"/>
        </w:trPr>
        <w:tc>
          <w:tcPr>
            <w:tcW w:w="480" w:type="dxa"/>
            <w:vAlign w:val="bottom"/>
          </w:tcPr>
          <w:p>
            <w:pPr>
              <w:spacing w:after="0"/>
              <w:rPr>
                <w:sz w:val="20"/>
                <w:szCs w:val="20"/>
                <w:color w:val="auto"/>
              </w:rPr>
            </w:pPr>
            <w:r>
              <w:rPr>
                <w:rFonts w:ascii="Arial" w:cs="Arial" w:eastAsia="Arial" w:hAnsi="Arial"/>
                <w:sz w:val="16"/>
                <w:szCs w:val="16"/>
                <w:b w:val="1"/>
                <w:bCs w:val="1"/>
                <w:color w:val="auto"/>
              </w:rPr>
              <w:t>2.1</w:t>
            </w:r>
          </w:p>
        </w:tc>
        <w:tc>
          <w:tcPr>
            <w:tcW w:w="10220" w:type="dxa"/>
            <w:vAlign w:val="bottom"/>
          </w:tcPr>
          <w:p>
            <w:pPr>
              <w:ind w:left="300"/>
              <w:spacing w:after="0"/>
              <w:rPr>
                <w:sz w:val="20"/>
                <w:szCs w:val="20"/>
                <w:color w:val="auto"/>
              </w:rPr>
            </w:pPr>
            <w:r>
              <w:rPr>
                <w:rFonts w:ascii="Arial" w:cs="Arial" w:eastAsia="Arial" w:hAnsi="Arial"/>
                <w:sz w:val="16"/>
                <w:szCs w:val="16"/>
                <w:b w:val="1"/>
                <w:bCs w:val="1"/>
                <w:color w:val="auto"/>
                <w:w w:val="91"/>
              </w:rPr>
              <w:t xml:space="preserve">Overview. </w:t>
            </w:r>
            <w:r>
              <w:rPr>
                <w:rFonts w:ascii="Arial" w:cs="Arial" w:eastAsia="Arial" w:hAnsi="Arial"/>
                <w:sz w:val="16"/>
                <w:szCs w:val="16"/>
                <w:color w:val="auto"/>
                <w:w w:val="91"/>
              </w:rPr>
              <w:t>The Parties wish to collaborate regarding the Genentech Solid Tumors-Study(ies) and the BioLineRx Heme-Study(ies) to be conducted under</w:t>
            </w:r>
          </w:p>
        </w:tc>
      </w:tr>
    </w:tbl>
    <w:p>
      <w:pPr>
        <w:ind w:right="20"/>
        <w:spacing w:after="0" w:line="276" w:lineRule="auto"/>
        <w:rPr>
          <w:sz w:val="20"/>
          <w:szCs w:val="20"/>
          <w:color w:val="auto"/>
        </w:rPr>
      </w:pPr>
      <w:r>
        <w:rPr>
          <w:rFonts w:ascii="Arial" w:cs="Arial" w:eastAsia="Arial" w:hAnsi="Arial"/>
          <w:sz w:val="15"/>
          <w:szCs w:val="15"/>
          <w:color w:val="auto"/>
        </w:rPr>
        <w:t>this Agreement. Each Party shall use commercially reasonable efforts to perform its obligations hereunder. References in this Agreement to terms defined (directly or indirectly) in relation to a given Study (e.g., Sponsor, Non-Sponsor, Protocol, Compound, Study Data, Sample Data, Joint Development Committee, Collaboration Invention, Pharmacovigilance Agreement and Quality Agreement) shall be interpreted in the context of such Study, unless a reference implies a more general context. By way of example, but not limitation, with respect to the BioLineRx Heme-Study(ies), BioLineRx is the Sponsor, Genentech is the Non-Sponsor and a representative from BioLineRx shall be the JDC Chair of the Joint Development Committee that oversees the BioLineRx Heme-Study(ies). Each Party acknowledges that the other Party currently is performing, and in the future may perform, collaborative studies with Third Parties that involve such Party’s Compound used in combination with each such Third Party’s therapeutic agent, and that such Third Party collaborative activities and undertakings are not a per se violation or breach of this Agreement.</w:t>
      </w:r>
    </w:p>
    <w:p>
      <w:pPr>
        <w:spacing w:after="0" w:line="154" w:lineRule="exact"/>
        <w:rPr>
          <w:sz w:val="20"/>
          <w:szCs w:val="20"/>
          <w:color w:val="auto"/>
        </w:rPr>
      </w:pPr>
    </w:p>
    <w:p>
      <w:pPr>
        <w:ind w:right="40" w:firstLine="584"/>
        <w:spacing w:after="0" w:line="262" w:lineRule="auto"/>
        <w:rPr>
          <w:sz w:val="20"/>
          <w:szCs w:val="20"/>
          <w:color w:val="auto"/>
        </w:rPr>
      </w:pPr>
      <w:r>
        <w:rPr>
          <w:rFonts w:ascii="Arial" w:cs="Arial" w:eastAsia="Arial" w:hAnsi="Arial"/>
          <w:sz w:val="16"/>
          <w:szCs w:val="16"/>
          <w:b w:val="1"/>
          <w:bCs w:val="1"/>
          <w:color w:val="auto"/>
        </w:rPr>
        <w:t xml:space="preserve">2.2 Sponsor. </w:t>
      </w:r>
      <w:r>
        <w:rPr>
          <w:rFonts w:ascii="Arial" w:cs="Arial" w:eastAsia="Arial" w:hAnsi="Arial"/>
          <w:sz w:val="16"/>
          <w:szCs w:val="16"/>
          <w:color w:val="auto"/>
        </w:rPr>
        <w:t>Genentech shall be the Sponsor of the Genentech Solid Tumors-Study(ies), and BioLineRx shall be the Sponsor of the BioLineRx Heme-Study(ies). Sponsor shall conduct, and use commercially reasonable efforts to cause all Project Participants to conduct, the Sponsor’s Study in accordance with this Agreement, the Protocol and Applicable Law. Sponsor shall be responsible for obtaining all approvals and clearances necessary to conduct the Sponsor’s Study, including approvals from Regulatory Authorities and IRBs and customs clearances. In no event shall any member of the Roche Group be deemed a Sponsor of the BioLineRx Heme-Study(ies). In no event shall BioLineRx be deemed a Sponsor of the Genentech Solid Tumors-Study(ies).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5" w:name="page196"/>
    <w:bookmarkEnd w:id="195"/>
    <w:tbl>
      <w:tblPr>
        <w:tblLayout w:type="fixed"/>
        <w:tblInd w:w="583"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380" w:type="dxa"/>
            <w:vAlign w:val="bottom"/>
          </w:tcPr>
          <w:p>
            <w:pPr>
              <w:ind w:left="9180"/>
              <w:spacing w:after="0"/>
              <w:rPr>
                <w:sz w:val="20"/>
                <w:szCs w:val="20"/>
                <w:color w:val="auto"/>
              </w:rPr>
            </w:pPr>
            <w:r>
              <w:rPr>
                <w:rFonts w:ascii="Arial" w:cs="Arial" w:eastAsia="Arial" w:hAnsi="Arial"/>
                <w:sz w:val="16"/>
                <w:szCs w:val="16"/>
                <w:color w:val="auto"/>
              </w:rPr>
              <w:t>CONFIDENTIAL</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2.3</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w w:val="95"/>
              </w:rPr>
              <w:t xml:space="preserve">Collaboration IND; Investigator’s Brochure. </w:t>
            </w:r>
            <w:r>
              <w:rPr>
                <w:rFonts w:ascii="Arial" w:cs="Arial" w:eastAsia="Arial" w:hAnsi="Arial"/>
                <w:sz w:val="16"/>
                <w:szCs w:val="16"/>
                <w:color w:val="auto"/>
                <w:w w:val="95"/>
              </w:rPr>
              <w:t>Sponsor shall own and shall file its Collaboration IND. For the avoidance of doubt, a Collaboration IND</w:t>
            </w:r>
          </w:p>
        </w:tc>
      </w:tr>
    </w:tbl>
    <w:p>
      <w:pPr>
        <w:ind w:left="3" w:right="40"/>
        <w:spacing w:after="0" w:line="307" w:lineRule="auto"/>
        <w:rPr>
          <w:sz w:val="20"/>
          <w:szCs w:val="20"/>
          <w:color w:val="auto"/>
        </w:rPr>
      </w:pPr>
      <w:r>
        <w:rPr>
          <w:rFonts w:ascii="Arial" w:cs="Arial" w:eastAsia="Arial" w:hAnsi="Arial"/>
          <w:sz w:val="14"/>
          <w:szCs w:val="14"/>
          <w:color w:val="auto"/>
        </w:rPr>
        <w:t>will not be a combination IND. If a Regulatory Authority requests a separate combination IND for a given Study, the Parties shall meet and agree on an approach to address such request. Each Party shall be responsible for (a) drafting, and updating as necessary for each Study, an investigator’s brochure for its Compound, and (b) filing, as applicable, all necessary Regulatory Documentation to its existing IND for its Compound, including submitting to such IND any serious adverse event and adverse drug reaction cases emerging from the Study. Non-Sponsor shall provide to Sponsor its investigator’s brochure (and regularly provide any updates) for the Non-Sponsor Compound.</w:t>
      </w:r>
    </w:p>
    <w:p>
      <w:pPr>
        <w:spacing w:after="0" w:line="135" w:lineRule="exact"/>
        <w:rPr>
          <w:sz w:val="20"/>
          <w:szCs w:val="20"/>
          <w:color w:val="auto"/>
        </w:rPr>
      </w:pPr>
    </w:p>
    <w:p>
      <w:pPr>
        <w:ind w:left="3" w:right="80" w:firstLine="584"/>
        <w:spacing w:after="0" w:line="275" w:lineRule="auto"/>
        <w:rPr>
          <w:sz w:val="20"/>
          <w:szCs w:val="20"/>
          <w:color w:val="auto"/>
        </w:rPr>
      </w:pPr>
      <w:r>
        <w:rPr>
          <w:rFonts w:ascii="Arial" w:cs="Arial" w:eastAsia="Arial" w:hAnsi="Arial"/>
          <w:sz w:val="15"/>
          <w:szCs w:val="15"/>
          <w:b w:val="1"/>
          <w:bCs w:val="1"/>
          <w:color w:val="auto"/>
        </w:rPr>
        <w:t xml:space="preserve">2.4 Protocol. </w:t>
      </w:r>
      <w:r>
        <w:rPr>
          <w:rFonts w:ascii="Arial" w:cs="Arial" w:eastAsia="Arial" w:hAnsi="Arial"/>
          <w:sz w:val="15"/>
          <w:szCs w:val="15"/>
          <w:color w:val="auto"/>
        </w:rPr>
        <w:t>For each Study a complete Protocol will be prepared by Sponsor and approved by the Joint Development Committee after the Effective Date. A</w:t>
      </w:r>
      <w:r>
        <w:rPr>
          <w:rFonts w:ascii="Arial" w:cs="Arial" w:eastAsia="Arial" w:hAnsi="Arial"/>
          <w:sz w:val="15"/>
          <w:szCs w:val="15"/>
          <w:b w:val="1"/>
          <w:bCs w:val="1"/>
          <w:color w:val="auto"/>
        </w:rPr>
        <w:t xml:space="preserve"> </w:t>
      </w:r>
      <w:r>
        <w:rPr>
          <w:rFonts w:ascii="Arial" w:cs="Arial" w:eastAsia="Arial" w:hAnsi="Arial"/>
          <w:sz w:val="15"/>
          <w:szCs w:val="15"/>
          <w:color w:val="auto"/>
        </w:rPr>
        <w:t>summary of each such Protocol will be mutually agreed by the Parties within [*] days after the Effective Date, and each such mutually agreed Protocol summary will be appended as Exhibit D. Any proposed amendments to a given Protocol necessary to protect the safety of Subjects shall be promptly reported to Non-Sponsor in writing. Notwithstanding anything to the contrary in this Agreement, the prior written consent of Non-Sponsor is required for amendments to a Protocol that are (a) material amendments (other than amendments relating solely to the Sponsor Compound), including the maximum number of Subjects to be enrolled in the applicable Study, and</w:t>
      </w:r>
    </w:p>
    <w:p>
      <w:pPr>
        <w:spacing w:after="0" w:line="2" w:lineRule="exact"/>
        <w:rPr>
          <w:sz w:val="20"/>
          <w:szCs w:val="20"/>
          <w:color w:val="auto"/>
        </w:rPr>
      </w:pPr>
    </w:p>
    <w:p>
      <w:pPr>
        <w:ind w:left="3" w:right="160" w:hanging="3"/>
        <w:spacing w:after="0" w:line="261" w:lineRule="auto"/>
        <w:tabs>
          <w:tab w:leader="none" w:pos="23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amendments (whether or not material) relating specifically to the Non-Sponsor Compound. Non-Sponsor shall provide such consent to each such amendment, or a written explanation for why such consent is being withheld, [*] of receiving Sponsor’s request therefor. Non-Sponsor shall not unreasonably withhold, condition or delay its consent for such amendments.</w:t>
      </w:r>
    </w:p>
    <w:p>
      <w:pPr>
        <w:spacing w:after="0" w:line="163" w:lineRule="exact"/>
        <w:rPr>
          <w:sz w:val="20"/>
          <w:szCs w:val="20"/>
          <w:color w:val="auto"/>
        </w:rPr>
      </w:pPr>
    </w:p>
    <w:p>
      <w:pPr>
        <w:ind w:left="3" w:right="100" w:firstLine="584"/>
        <w:spacing w:after="0" w:line="276" w:lineRule="auto"/>
        <w:rPr>
          <w:sz w:val="20"/>
          <w:szCs w:val="20"/>
          <w:color w:val="auto"/>
        </w:rPr>
      </w:pPr>
      <w:r>
        <w:rPr>
          <w:rFonts w:ascii="Arial" w:cs="Arial" w:eastAsia="Arial" w:hAnsi="Arial"/>
          <w:sz w:val="15"/>
          <w:szCs w:val="15"/>
          <w:b w:val="1"/>
          <w:bCs w:val="1"/>
          <w:color w:val="auto"/>
        </w:rPr>
        <w:t xml:space="preserve">2.5 Enrollment. </w:t>
      </w:r>
      <w:r>
        <w:rPr>
          <w:rFonts w:ascii="Arial" w:cs="Arial" w:eastAsia="Arial" w:hAnsi="Arial"/>
          <w:sz w:val="15"/>
          <w:szCs w:val="15"/>
          <w:color w:val="auto"/>
        </w:rPr>
        <w:t>Sponsor shall not begin enrolling Subjects in Sponsor’s Studies until after the date of full execution of the Pharmacovigilance Agreement by</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Sponsor shall enroll Subjects in compliance with Applicable Law and shall be responsible for tracking Subject enrollment at Participating Sites. The total enrollment for Genentech’s initial Genentech Solid Tumors-Study(ies) (for at least two (2) and up to three (3) different indications) shall not exceed [*], consistent with an expansion of up to [*] enrolled for each indication, unless the Parties otherwise mutually agree in writing. Genentech anticipates that each Genentech Solid Tumors-Study will enroll [*] with potential expansion to [*] enrolled in each Genentech Solid Tumors-Study. If Genentech elects to conduct up to three (3) additional Genentech Solid Tumors-Study(ies) (i.e., up to six (6) total Genentech Solid Tumors-Study(ies) are permitted) based on the Study Data obtained from the initial Genentech Solid Tumors-Study(ies), such election shall be agreed upon by the Parties. The total enrollment for Genentech’s subsequent Genentech Solid Tumors-Study(ies) (for an additional three (3) different indications) shall not exceed [*] unless the Parties otherwise mutually agree in writing, and such Genentech Solid Tumors-Study(ies) enrollment will be consistent with the Subject enrollment approach described in the preceding sentence. If Genentech decides to proceed with one or more of the subsequent Genentech Solid Tumors-Study(ies), it will give BioLineRx an advance written notice of such decision and the Parties will amend the Compound Supply Plan to support such decision. The total enrollment for BioLineRx Heme-Study(ies) shall not exceed [*] unless the Parties otherwise mutually agree in writing.</w:t>
      </w:r>
    </w:p>
    <w:p>
      <w:pPr>
        <w:spacing w:after="0" w:line="16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196" w:name="page197"/>
    <w:bookmarkEnd w:id="196"/>
    <w:tbl>
      <w:tblPr>
        <w:tblLayout w:type="fixed"/>
        <w:tblInd w:w="58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380" w:type="dxa"/>
            <w:vAlign w:val="bottom"/>
          </w:tcPr>
          <w:p>
            <w:pPr>
              <w:ind w:left="9180"/>
              <w:spacing w:after="0"/>
              <w:rPr>
                <w:sz w:val="20"/>
                <w:szCs w:val="20"/>
                <w:color w:val="auto"/>
              </w:rPr>
            </w:pPr>
            <w:r>
              <w:rPr>
                <w:rFonts w:ascii="Arial" w:cs="Arial" w:eastAsia="Arial" w:hAnsi="Arial"/>
                <w:sz w:val="16"/>
                <w:szCs w:val="16"/>
                <w:color w:val="auto"/>
              </w:rPr>
              <w:t>CONFIDENTIAL</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2.6</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w w:val="93"/>
              </w:rPr>
              <w:t>Project Participants</w:t>
            </w:r>
            <w:r>
              <w:rPr>
                <w:rFonts w:ascii="Arial" w:cs="Arial" w:eastAsia="Arial" w:hAnsi="Arial"/>
                <w:sz w:val="16"/>
                <w:szCs w:val="16"/>
                <w:color w:val="auto"/>
                <w:w w:val="93"/>
              </w:rPr>
              <w:t>. Sponsor is solely responsible for the performance and conduct of the Project Participants, including monitoring the conduct of the</w:t>
            </w:r>
          </w:p>
        </w:tc>
      </w:tr>
    </w:tbl>
    <w:p>
      <w:pPr>
        <w:ind w:right="20"/>
        <w:spacing w:after="0" w:line="273" w:lineRule="auto"/>
        <w:rPr>
          <w:sz w:val="20"/>
          <w:szCs w:val="20"/>
          <w:color w:val="auto"/>
        </w:rPr>
      </w:pPr>
      <w:r>
        <w:rPr>
          <w:rFonts w:ascii="Arial" w:cs="Arial" w:eastAsia="Arial" w:hAnsi="Arial"/>
          <w:sz w:val="15"/>
          <w:szCs w:val="15"/>
          <w:color w:val="auto"/>
        </w:rPr>
        <w:t>Sponsor’s Study(ies) at the Participating Sites. Sponsor is solely responsible for negotiating and executing the necessary agreements with all Project Participants involved with the Sponsor’s Study(ies). Sponsor shall ensure that (a) all such agreements include terms and conditions that are consistent with the terms and conditions of this Agreement (including the confidentiality provisions in Article 7); (b) all such Project Participants are appropriately qualified, and Sponsor has satisfied the requirements of Section 11.2 with respect to such Project Participants; and (c) the compensation being paid to a Participating Site under its agreement with Sponsor for the Sponsor’s Study(ies) constitutes the fair market value of the services to be provided. Notwithstanding the foregoing or any other provision to the contrary hereunder, the obligations of Sponsor and the rights of Non-Sponsor under this Agreement shall be subject to, and limited by, the terms and conditions of any clinical trial agreements or clinical research agreements Sponsor has entered into with Participating Sites prior to the Effective Date (“</w:t>
      </w:r>
      <w:r>
        <w:rPr>
          <w:rFonts w:ascii="Arial" w:cs="Arial" w:eastAsia="Arial" w:hAnsi="Arial"/>
          <w:sz w:val="15"/>
          <w:szCs w:val="15"/>
          <w:b w:val="1"/>
          <w:bCs w:val="1"/>
          <w:color w:val="auto"/>
        </w:rPr>
        <w:t>Existing Clinical Trial Agreements</w:t>
      </w:r>
      <w:r>
        <w:rPr>
          <w:rFonts w:ascii="Arial" w:cs="Arial" w:eastAsia="Arial" w:hAnsi="Arial"/>
          <w:sz w:val="15"/>
          <w:szCs w:val="15"/>
          <w:color w:val="auto"/>
        </w:rPr>
        <w:t>”), including terms and conditions of ownership of intellectual property, patent prosecution and maintenance, confidentiality, publication, and indemnification; provided, however, to the extent Sponsor has obtained the applicable rights under such Existing Clinical Trial Agreement, Sponsor shall cooperate with Non-Sponsor to exercise such rights of Non-Sponsor in the same manner as set forth hereunder. In no event shall any agreement with a Project Participant represent that any member of the Roche Group is a Sponsor of the BioLineRx Heme-Study(ies), or is otherwise responsible for the BioLineRx Heme-Study(ies). In no event shall any agreement with a Project Participant represent that BioLineRx is a Sponsor of the Genentech Solid Tumors-Study(ies), or is otherwise responsible for the Genentech Solid Tumors-Study(ies).</w:t>
      </w:r>
    </w:p>
    <w:p>
      <w:pPr>
        <w:spacing w:after="0" w:line="162"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6"/>
          <w:szCs w:val="16"/>
          <w:b w:val="1"/>
          <w:bCs w:val="1"/>
          <w:color w:val="auto"/>
        </w:rPr>
        <w:t>2.7</w:t>
      </w:r>
      <w:r>
        <w:rPr>
          <w:sz w:val="20"/>
          <w:szCs w:val="20"/>
          <w:color w:val="auto"/>
        </w:rPr>
        <w:tab/>
      </w:r>
      <w:r>
        <w:rPr>
          <w:rFonts w:ascii="Arial" w:cs="Arial" w:eastAsia="Arial" w:hAnsi="Arial"/>
          <w:sz w:val="14"/>
          <w:szCs w:val="14"/>
          <w:b w:val="1"/>
          <w:bCs w:val="1"/>
          <w:color w:val="auto"/>
        </w:rPr>
        <w:t>Regulatory Matters.</w:t>
      </w:r>
    </w:p>
    <w:p>
      <w:pPr>
        <w:spacing w:after="0" w:line="206" w:lineRule="exact"/>
        <w:rPr>
          <w:sz w:val="20"/>
          <w:szCs w:val="20"/>
          <w:color w:val="auto"/>
        </w:rPr>
      </w:pPr>
    </w:p>
    <w:p>
      <w:pPr>
        <w:ind w:left="140" w:right="180" w:firstLine="1172"/>
        <w:spacing w:after="0" w:line="271" w:lineRule="auto"/>
        <w:tabs>
          <w:tab w:leader="none" w:pos="162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Generally. </w:t>
      </w:r>
      <w:r>
        <w:rPr>
          <w:rFonts w:ascii="Arial" w:cs="Arial" w:eastAsia="Arial" w:hAnsi="Arial"/>
          <w:sz w:val="16"/>
          <w:szCs w:val="16"/>
          <w:color w:val="auto"/>
        </w:rPr>
        <w:t>Sponsor shall comply with all reasonable guidance and direction provided by Regulatory Authorities and IRBs with jurisdiction over the</w:t>
      </w:r>
      <w:r>
        <w:rPr>
          <w:rFonts w:ascii="Arial" w:cs="Arial" w:eastAsia="Arial" w:hAnsi="Arial"/>
          <w:sz w:val="16"/>
          <w:szCs w:val="16"/>
          <w:b w:val="1"/>
          <w:bCs w:val="1"/>
          <w:color w:val="auto"/>
        </w:rPr>
        <w:t xml:space="preserve"> </w:t>
      </w:r>
      <w:r>
        <w:rPr>
          <w:rFonts w:ascii="Arial" w:cs="Arial" w:eastAsia="Arial" w:hAnsi="Arial"/>
          <w:sz w:val="16"/>
          <w:szCs w:val="16"/>
          <w:color w:val="auto"/>
        </w:rPr>
        <w:t>Sponsor’s Study(ies). Sponsor shall perform all regulatory obligations imposed on the Sponsor (including preparing and submitting Regulatory Documentation for the Sponsor’s Study(ies), in accordance with the Protocol(s) and Applicable Law).</w:t>
      </w:r>
    </w:p>
    <w:p>
      <w:pPr>
        <w:spacing w:after="0" w:line="156" w:lineRule="exact"/>
        <w:rPr>
          <w:rFonts w:ascii="Arial" w:cs="Arial" w:eastAsia="Arial" w:hAnsi="Arial"/>
          <w:sz w:val="16"/>
          <w:szCs w:val="16"/>
          <w:b w:val="1"/>
          <w:bCs w:val="1"/>
          <w:color w:val="auto"/>
        </w:rPr>
      </w:pPr>
    </w:p>
    <w:p>
      <w:pPr>
        <w:ind w:left="140" w:right="20" w:firstLine="1172"/>
        <w:spacing w:after="0" w:line="259" w:lineRule="auto"/>
        <w:tabs>
          <w:tab w:leader="none" w:pos="1588"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Interactions with Regulatory Authorities. </w:t>
      </w:r>
      <w:r>
        <w:rPr>
          <w:rFonts w:ascii="Arial" w:cs="Arial" w:eastAsia="Arial" w:hAnsi="Arial"/>
          <w:sz w:val="16"/>
          <w:szCs w:val="16"/>
          <w:color w:val="auto"/>
        </w:rPr>
        <w:t>Sponsor shall promptly provide Non-Sponsor with a copy of any material notice, inquiry or</w:t>
      </w:r>
      <w:r>
        <w:rPr>
          <w:rFonts w:ascii="Arial" w:cs="Arial" w:eastAsia="Arial" w:hAnsi="Arial"/>
          <w:sz w:val="16"/>
          <w:szCs w:val="16"/>
          <w:b w:val="1"/>
          <w:bCs w:val="1"/>
          <w:color w:val="auto"/>
        </w:rPr>
        <w:t xml:space="preserve"> </w:t>
      </w:r>
      <w:r>
        <w:rPr>
          <w:rFonts w:ascii="Arial" w:cs="Arial" w:eastAsia="Arial" w:hAnsi="Arial"/>
          <w:sz w:val="16"/>
          <w:szCs w:val="16"/>
          <w:color w:val="auto"/>
        </w:rPr>
        <w:t>correspondence that Sponsor (or a Project Participant) receives from a Regulatory Authority regarding the Sponsor’s Study(ies) (for purposes of this Section 2.7, a “</w:t>
      </w:r>
      <w:r>
        <w:rPr>
          <w:rFonts w:ascii="Arial" w:cs="Arial" w:eastAsia="Arial" w:hAnsi="Arial"/>
          <w:sz w:val="16"/>
          <w:szCs w:val="16"/>
          <w:b w:val="1"/>
          <w:bCs w:val="1"/>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color w:val="auto"/>
        </w:rPr>
        <w:t>Regulatory Notice</w:t>
      </w:r>
      <w:r>
        <w:rPr>
          <w:rFonts w:ascii="Arial" w:cs="Arial" w:eastAsia="Arial" w:hAnsi="Arial"/>
          <w:sz w:val="16"/>
          <w:szCs w:val="16"/>
          <w:color w:val="auto"/>
        </w:rPr>
        <w:t>”), including any serious safety matter related to a Party’s Compound or the Combination and any inspection or investigation by a Regulatory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Non-Sponsor shall have the right (but not the obligation) to provide comments to any response to a Material Regulatory Notice and to participate in any discussions with a Regulatory Authority, to the extent permitted by such Regulatory Authority. Without limiting Non-Sponsor’s obligations under Section 2.10, Non-Sponsor shall promptly provide Sponsor with a copy of any material notice, inquiry or correspondence that Non-Sponsor or its Affiliates receives from a Regulatory Authority regarding the Non-Sponsor Compound that would reasonably have, or reasonably be expected to have, a material impact on the conduct of the Sponsor’s Study(ies), including any serious safety matter related to the Non-Sponsor Compound.</w:t>
      </w:r>
    </w:p>
    <w:p>
      <w:pPr>
        <w:spacing w:after="0" w:line="168" w:lineRule="exact"/>
        <w:rPr>
          <w:rFonts w:ascii="Arial" w:cs="Arial" w:eastAsia="Arial" w:hAnsi="Arial"/>
          <w:sz w:val="16"/>
          <w:szCs w:val="16"/>
          <w:b w:val="1"/>
          <w:bCs w:val="1"/>
          <w:color w:val="auto"/>
        </w:rPr>
      </w:pPr>
    </w:p>
    <w:p>
      <w:pPr>
        <w:ind w:left="5640" w:hanging="99"/>
        <w:spacing w:after="0"/>
        <w:tabs>
          <w:tab w:leader="none" w:pos="56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6"/>
          <w:szCs w:val="16"/>
          <w:color w:val="auto"/>
        </w:rPr>
        <w:t>CONFIDENTIAL</w:t>
      </w:r>
    </w:p>
    <w:p>
      <w:pPr>
        <w:spacing w:after="0" w:line="177" w:lineRule="exact"/>
        <w:rPr>
          <w:sz w:val="20"/>
          <w:szCs w:val="20"/>
          <w:color w:val="auto"/>
        </w:rPr>
      </w:pPr>
    </w:p>
    <w:p>
      <w:pPr>
        <w:ind w:left="140" w:right="20" w:firstLine="1172"/>
        <w:spacing w:after="0" w:line="262" w:lineRule="auto"/>
        <w:tabs>
          <w:tab w:leader="none" w:pos="1611"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of Reference. </w:t>
      </w:r>
      <w:r>
        <w:rPr>
          <w:rFonts w:ascii="Arial" w:cs="Arial" w:eastAsia="Arial" w:hAnsi="Arial"/>
          <w:sz w:val="16"/>
          <w:szCs w:val="16"/>
          <w:color w:val="auto"/>
        </w:rPr>
        <w:t>Each Party shall promptly provide (to the other Party or to the applicable Regulatory Authority) a Right of Cross-Reference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such Party’s Compound to the extent necessary to allow the other Party’s Study(ies) (including any Additional Study(ies)) to be conducted under the Collaboration IND. A Right of Cross-Reference shall not be used to support approval of a Party’s MAA to market its Compound for use in the Combination. A Right of Cross-Reference provided by a Party shall remain in full force and effect unless withdrawn by such Party, which it may do, upon termination of this Agreement under Section 12.2 or Section 12.3.</w:t>
      </w:r>
    </w:p>
    <w:p>
      <w:pPr>
        <w:spacing w:after="0" w:line="165" w:lineRule="exact"/>
        <w:rPr>
          <w:sz w:val="20"/>
          <w:szCs w:val="20"/>
          <w:color w:val="auto"/>
        </w:rPr>
      </w:pPr>
    </w:p>
    <w:p>
      <w:pPr>
        <w:ind w:right="160" w:firstLine="584"/>
        <w:spacing w:after="0" w:line="271" w:lineRule="auto"/>
        <w:rPr>
          <w:sz w:val="20"/>
          <w:szCs w:val="20"/>
          <w:color w:val="auto"/>
        </w:rPr>
      </w:pPr>
      <w:r>
        <w:rPr>
          <w:rFonts w:ascii="Arial" w:cs="Arial" w:eastAsia="Arial" w:hAnsi="Arial"/>
          <w:sz w:val="16"/>
          <w:szCs w:val="16"/>
          <w:b w:val="1"/>
          <w:bCs w:val="1"/>
          <w:color w:val="auto"/>
        </w:rPr>
        <w:t xml:space="preserve">2.8 Safety Reporting. </w:t>
      </w:r>
      <w:r>
        <w:rPr>
          <w:rFonts w:ascii="Arial" w:cs="Arial" w:eastAsia="Arial" w:hAnsi="Arial"/>
          <w:sz w:val="16"/>
          <w:szCs w:val="16"/>
          <w:color w:val="auto"/>
        </w:rPr>
        <w:t>Sponsor shall comply with Applicable Law for safety reporting requirements. Prior to First Site Ready, the Parties shall execute a</w:t>
      </w:r>
      <w:r>
        <w:rPr>
          <w:rFonts w:ascii="Arial" w:cs="Arial" w:eastAsia="Arial" w:hAnsi="Arial"/>
          <w:sz w:val="16"/>
          <w:szCs w:val="16"/>
          <w:b w:val="1"/>
          <w:bCs w:val="1"/>
          <w:color w:val="auto"/>
        </w:rPr>
        <w:t xml:space="preserve"> </w:t>
      </w:r>
      <w:r>
        <w:rPr>
          <w:rFonts w:ascii="Arial" w:cs="Arial" w:eastAsia="Arial" w:hAnsi="Arial"/>
          <w:sz w:val="16"/>
          <w:szCs w:val="16"/>
          <w:color w:val="auto"/>
        </w:rPr>
        <w:t>separate pharmacovigilance agreement that defines the Parties’ responsibilities and obligations with respect to the procedures and timeframes for compliance with Applicable Law pertaining to safety reporting for the Compounds used in a given Study(ies) (“</w:t>
      </w:r>
      <w:r>
        <w:rPr>
          <w:rFonts w:ascii="Arial" w:cs="Arial" w:eastAsia="Arial" w:hAnsi="Arial"/>
          <w:sz w:val="16"/>
          <w:szCs w:val="16"/>
          <w:b w:val="1"/>
          <w:bCs w:val="1"/>
          <w:color w:val="auto"/>
        </w:rPr>
        <w:t>Pharmacovigilance Agreement</w:t>
      </w:r>
      <w:r>
        <w:rPr>
          <w:rFonts w:ascii="Arial" w:cs="Arial" w:eastAsia="Arial" w:hAnsi="Arial"/>
          <w:sz w:val="16"/>
          <w:szCs w:val="16"/>
          <w:color w:val="auto"/>
        </w:rPr>
        <w:t>”).</w:t>
      </w:r>
    </w:p>
    <w:p>
      <w:pPr>
        <w:spacing w:after="0" w:line="156"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4"/>
          <w:szCs w:val="14"/>
          <w:b w:val="1"/>
          <w:bCs w:val="1"/>
          <w:color w:val="auto"/>
        </w:rPr>
        <w:t>Documentation, Updates and Final Study Report.</w:t>
      </w:r>
    </w:p>
    <w:p>
      <w:pPr>
        <w:spacing w:after="0" w:line="206" w:lineRule="exact"/>
        <w:rPr>
          <w:sz w:val="20"/>
          <w:szCs w:val="20"/>
          <w:color w:val="auto"/>
        </w:rPr>
      </w:pPr>
    </w:p>
    <w:p>
      <w:pPr>
        <w:ind w:left="140" w:right="60" w:firstLine="1172"/>
        <w:spacing w:after="0" w:line="265" w:lineRule="auto"/>
        <w:tabs>
          <w:tab w:leader="none" w:pos="162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Documentation. </w:t>
      </w:r>
      <w:r>
        <w:rPr>
          <w:rFonts w:ascii="Arial" w:cs="Arial" w:eastAsia="Arial" w:hAnsi="Arial"/>
          <w:sz w:val="16"/>
          <w:szCs w:val="16"/>
          <w:color w:val="auto"/>
        </w:rPr>
        <w:t>Each Party shall maintain reports and documentation arising in connection with a given Study(ies) in good scientific manner and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Applicable Law. Each Party shall provide to the other Party all such reports and documentation arising from a given Study(ies) (including reports of interim analyses, if applicable) reasonably requested in writing to enable such other Party to comply with any of its legal, regulatory and/or contractual obligations or to respond to any request by a Regulatory Authority with respect to such other Party’s Study(ies) or its Compound.</w:t>
      </w:r>
    </w:p>
    <w:p>
      <w:pPr>
        <w:spacing w:after="0" w:line="161" w:lineRule="exact"/>
        <w:rPr>
          <w:rFonts w:ascii="Arial" w:cs="Arial" w:eastAsia="Arial" w:hAnsi="Arial"/>
          <w:sz w:val="16"/>
          <w:szCs w:val="16"/>
          <w:b w:val="1"/>
          <w:bCs w:val="1"/>
          <w:color w:val="auto"/>
        </w:rPr>
      </w:pPr>
    </w:p>
    <w:p>
      <w:pPr>
        <w:ind w:left="140" w:right="20" w:firstLine="1172"/>
        <w:spacing w:after="0" w:line="262" w:lineRule="auto"/>
        <w:tabs>
          <w:tab w:leader="none" w:pos="1588"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Updates. </w:t>
      </w:r>
      <w:r>
        <w:rPr>
          <w:rFonts w:ascii="Arial" w:cs="Arial" w:eastAsia="Arial" w:hAnsi="Arial"/>
          <w:sz w:val="16"/>
          <w:szCs w:val="16"/>
          <w:color w:val="auto"/>
        </w:rPr>
        <w:t>Sponsor shall provide written updates regarding the status of the Sponsor’s Study(ies) (including enrollment status, project timelines, Non-Sponsor Compound inventory and Non-Sponsor Compound forecasting) to Non-Sponsor on a calendar quarterly basis, within [*] after the end of each calendar quarter. After receiving a status update, Non-Sponsor may request that Sponsor make available Sponsor’s personnel and/or Project Participants (if requested by Non-Sponsor), on a reasonable basis, to address Non-Sponsor’s questions regarding such status update, either in person or by telephone. Non-Sponsor shall provide a written list of questions and/or topics for discussion in advance of such discussion.</w:t>
      </w:r>
    </w:p>
    <w:p>
      <w:pPr>
        <w:spacing w:after="0" w:line="168" w:lineRule="exact"/>
        <w:rPr>
          <w:rFonts w:ascii="Arial" w:cs="Arial" w:eastAsia="Arial" w:hAnsi="Arial"/>
          <w:sz w:val="16"/>
          <w:szCs w:val="16"/>
          <w:b w:val="1"/>
          <w:bCs w:val="1"/>
          <w:color w:val="auto"/>
        </w:rPr>
      </w:pPr>
    </w:p>
    <w:p>
      <w:pPr>
        <w:ind w:left="5640" w:hanging="102"/>
        <w:spacing w:after="0"/>
        <w:tabs>
          <w:tab w:leader="none" w:pos="564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286" w:right="2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1620" w:hanging="308"/>
        <w:spacing w:after="0"/>
        <w:tabs>
          <w:tab w:leader="none" w:pos="1620"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Top-Line Results. </w:t>
      </w:r>
      <w:r>
        <w:rPr>
          <w:rFonts w:ascii="Arial" w:cs="Arial" w:eastAsia="Arial" w:hAnsi="Arial"/>
          <w:sz w:val="15"/>
          <w:szCs w:val="15"/>
          <w:color w:val="auto"/>
        </w:rPr>
        <w:t>Within [*] after Database Lock for a given Study, Sponsor shall deliver to Non-Sponsor a copy of such Study’s top-line results</w:t>
      </w:r>
    </w:p>
    <w:p>
      <w:pPr>
        <w:spacing w:after="0" w:line="38" w:lineRule="exact"/>
        <w:rPr>
          <w:sz w:val="20"/>
          <w:szCs w:val="20"/>
          <w:color w:val="auto"/>
        </w:rPr>
      </w:pPr>
    </w:p>
    <w:p>
      <w:pPr>
        <w:ind w:left="140" w:right="2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Top-Line Results</w:t>
      </w:r>
      <w:r>
        <w:rPr>
          <w:rFonts w:ascii="Arial" w:cs="Arial" w:eastAsia="Arial" w:hAnsi="Arial"/>
          <w:sz w:val="16"/>
          <w:szCs w:val="16"/>
          <w:color w:val="auto"/>
        </w:rPr>
        <w:t>”), which shall be reviewed and discussed by the JDC. Such Top-Line Results will describe in detail the outcomes and output of statistical analyses of the final Study Data for such Study (including statistical significance, performance against Study endpoint(s) and adverse event/ safety profile).</w:t>
      </w:r>
    </w:p>
    <w:p>
      <w:pPr>
        <w:spacing w:after="0" w:line="158" w:lineRule="exact"/>
        <w:rPr>
          <w:sz w:val="20"/>
          <w:szCs w:val="20"/>
          <w:color w:val="auto"/>
        </w:rPr>
      </w:pPr>
    </w:p>
    <w:p>
      <w:pPr>
        <w:jc w:val="both"/>
        <w:ind w:left="140" w:right="80" w:firstLine="1172"/>
        <w:spacing w:after="0" w:line="265" w:lineRule="auto"/>
        <w:tabs>
          <w:tab w:leader="none" w:pos="1588"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Final Study Report. </w:t>
      </w:r>
      <w:r>
        <w:rPr>
          <w:rFonts w:ascii="Arial" w:cs="Arial" w:eastAsia="Arial" w:hAnsi="Arial"/>
          <w:sz w:val="16"/>
          <w:szCs w:val="16"/>
          <w:color w:val="auto"/>
        </w:rPr>
        <w:t>Sponsor shall summarize the findings of the Sponsor’s Study(ies) in a Final Study Report. Sponsor shall provide the Final Study</w:t>
      </w:r>
      <w:r>
        <w:rPr>
          <w:rFonts w:ascii="Arial" w:cs="Arial" w:eastAsia="Arial" w:hAnsi="Arial"/>
          <w:sz w:val="16"/>
          <w:szCs w:val="16"/>
          <w:b w:val="1"/>
          <w:bCs w:val="1"/>
          <w:color w:val="auto"/>
        </w:rPr>
        <w:t xml:space="preserve"> </w:t>
      </w:r>
      <w:r>
        <w:rPr>
          <w:rFonts w:ascii="Arial" w:cs="Arial" w:eastAsia="Arial" w:hAnsi="Arial"/>
          <w:sz w:val="16"/>
          <w:szCs w:val="16"/>
          <w:color w:val="auto"/>
        </w:rPr>
        <w:t>Report to Non-Sponsor within [*] after Database Lock for such Study. “</w:t>
      </w:r>
      <w:r>
        <w:rPr>
          <w:rFonts w:ascii="Arial" w:cs="Arial" w:eastAsia="Arial" w:hAnsi="Arial"/>
          <w:sz w:val="16"/>
          <w:szCs w:val="16"/>
          <w:b w:val="1"/>
          <w:bCs w:val="1"/>
          <w:color w:val="auto"/>
        </w:rPr>
        <w:t>Final Study Report</w:t>
      </w:r>
      <w:r>
        <w:rPr>
          <w:rFonts w:ascii="Arial" w:cs="Arial" w:eastAsia="Arial" w:hAnsi="Arial"/>
          <w:sz w:val="16"/>
          <w:szCs w:val="16"/>
          <w:color w:val="auto"/>
        </w:rPr>
        <w:t>” means a formal clinical study report documenting and summarizing the results and interpretation of the Study, including the trial design, trial objectives, Subject assessment, data analysis, results, risk/benefit analysis, safety and effectiveness, in accordance with the requirements of Regulatory Authorities on the structure and content of clinical study reports.</w:t>
      </w:r>
    </w:p>
    <w:p>
      <w:pPr>
        <w:spacing w:after="0" w:line="161" w:lineRule="exact"/>
        <w:rPr>
          <w:sz w:val="20"/>
          <w:szCs w:val="20"/>
          <w:color w:val="auto"/>
        </w:rPr>
      </w:pPr>
    </w:p>
    <w:p>
      <w:pPr>
        <w:ind w:right="80" w:firstLine="584"/>
        <w:spacing w:after="0" w:line="265" w:lineRule="auto"/>
        <w:rPr>
          <w:sz w:val="20"/>
          <w:szCs w:val="20"/>
          <w:color w:val="auto"/>
        </w:rPr>
      </w:pPr>
      <w:r>
        <w:rPr>
          <w:rFonts w:ascii="Arial" w:cs="Arial" w:eastAsia="Arial" w:hAnsi="Arial"/>
          <w:sz w:val="16"/>
          <w:szCs w:val="16"/>
          <w:b w:val="1"/>
          <w:bCs w:val="1"/>
          <w:color w:val="auto"/>
        </w:rPr>
        <w:t xml:space="preserve">2.10 Non-Sponsor Study Responsibilities. </w:t>
      </w:r>
      <w:r>
        <w:rPr>
          <w:rFonts w:ascii="Arial" w:cs="Arial" w:eastAsia="Arial" w:hAnsi="Arial"/>
          <w:sz w:val="16"/>
          <w:szCs w:val="16"/>
          <w:color w:val="auto"/>
        </w:rPr>
        <w:t>In addition to Non-Sponsor’s obligations to supply the Non-Sponsor Compound under Section 4.2, Non-Sponsor</w:t>
      </w:r>
      <w:r>
        <w:rPr>
          <w:rFonts w:ascii="Arial" w:cs="Arial" w:eastAsia="Arial" w:hAnsi="Arial"/>
          <w:sz w:val="16"/>
          <w:szCs w:val="16"/>
          <w:b w:val="1"/>
          <w:bCs w:val="1"/>
          <w:color w:val="auto"/>
        </w:rPr>
        <w:t xml:space="preserve"> </w:t>
      </w:r>
      <w:r>
        <w:rPr>
          <w:rFonts w:ascii="Arial" w:cs="Arial" w:eastAsia="Arial" w:hAnsi="Arial"/>
          <w:sz w:val="16"/>
          <w:szCs w:val="16"/>
          <w:color w:val="auto"/>
        </w:rPr>
        <w:t>shall provide and make available to Sponsor any information about the Non-Sponsor Compound necessary to support Sponsor in conducting the Sponsor’s Study(ies). Further, Non-Sponsor shall provide reasonable assistance to Sponsor to support Sponsor’s interactions with Regulatory Authorities and IRBs in connection with the Sponsor’s Study(ies).</w:t>
      </w:r>
    </w:p>
    <w:p>
      <w:pPr>
        <w:spacing w:after="0" w:line="161" w:lineRule="exact"/>
        <w:rPr>
          <w:sz w:val="20"/>
          <w:szCs w:val="20"/>
          <w:color w:val="auto"/>
        </w:rPr>
      </w:pPr>
    </w:p>
    <w:p>
      <w:pPr>
        <w:ind w:right="40" w:firstLine="584"/>
        <w:spacing w:after="0" w:line="288" w:lineRule="auto"/>
        <w:rPr>
          <w:sz w:val="20"/>
          <w:szCs w:val="20"/>
          <w:color w:val="auto"/>
        </w:rPr>
      </w:pPr>
      <w:r>
        <w:rPr>
          <w:rFonts w:ascii="Arial" w:cs="Arial" w:eastAsia="Arial" w:hAnsi="Arial"/>
          <w:sz w:val="16"/>
          <w:szCs w:val="16"/>
          <w:b w:val="1"/>
          <w:bCs w:val="1"/>
          <w:color w:val="auto"/>
        </w:rPr>
        <w:t xml:space="preserve">2.11 Costs. </w:t>
      </w:r>
      <w:r>
        <w:rPr>
          <w:rFonts w:ascii="Arial" w:cs="Arial" w:eastAsia="Arial" w:hAnsi="Arial"/>
          <w:sz w:val="16"/>
          <w:szCs w:val="16"/>
          <w:color w:val="auto"/>
        </w:rPr>
        <w:t>Each Party shall perform its obligations under this Agreement [*]. Except for Non-Sponsor’s obligation to supply the Non-Sponsor Compound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4.2, or as otherwise agreed to in writing by the Parties, [*]</w:t>
      </w:r>
    </w:p>
    <w:p>
      <w:pPr>
        <w:spacing w:after="0" w:line="143"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2.12</w:t>
      </w:r>
      <w:r>
        <w:rPr>
          <w:sz w:val="20"/>
          <w:szCs w:val="20"/>
          <w:color w:val="auto"/>
        </w:rPr>
        <w:tab/>
      </w:r>
      <w:r>
        <w:rPr>
          <w:rFonts w:ascii="Arial" w:cs="Arial" w:eastAsia="Arial" w:hAnsi="Arial"/>
          <w:sz w:val="14"/>
          <w:szCs w:val="14"/>
          <w:b w:val="1"/>
          <w:bCs w:val="1"/>
          <w:color w:val="auto"/>
        </w:rPr>
        <w:t>Additional Studies.</w:t>
      </w:r>
    </w:p>
    <w:p>
      <w:pPr>
        <w:spacing w:after="0" w:line="206" w:lineRule="exact"/>
        <w:rPr>
          <w:sz w:val="20"/>
          <w:szCs w:val="20"/>
          <w:color w:val="auto"/>
        </w:rPr>
      </w:pPr>
    </w:p>
    <w:p>
      <w:pPr>
        <w:ind w:left="140" w:right="20" w:firstLine="1172"/>
        <w:spacing w:after="0" w:line="275" w:lineRule="auto"/>
        <w:tabs>
          <w:tab w:leader="none" w:pos="1620"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Using Combination. </w:t>
      </w:r>
      <w:r>
        <w:rPr>
          <w:rFonts w:ascii="Arial" w:cs="Arial" w:eastAsia="Arial" w:hAnsi="Arial"/>
          <w:sz w:val="15"/>
          <w:szCs w:val="15"/>
          <w:color w:val="auto"/>
        </w:rPr>
        <w:t>If one Party (for purposes of this Section 2.12(a), the “</w:t>
      </w:r>
      <w:r>
        <w:rPr>
          <w:rFonts w:ascii="Arial" w:cs="Arial" w:eastAsia="Arial" w:hAnsi="Arial"/>
          <w:sz w:val="15"/>
          <w:szCs w:val="15"/>
          <w:b w:val="1"/>
          <w:bCs w:val="1"/>
          <w:color w:val="auto"/>
        </w:rPr>
        <w:t>Proposing Party</w:t>
      </w:r>
      <w:r>
        <w:rPr>
          <w:rFonts w:ascii="Arial" w:cs="Arial" w:eastAsia="Arial" w:hAnsi="Arial"/>
          <w:sz w:val="15"/>
          <w:szCs w:val="15"/>
          <w:color w:val="auto"/>
        </w:rPr>
        <w:t>”) wishes to conduct one or more registration studies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Combination, or one or more additional clinical studies in direct support of a registration study, within the indications related to the BioLineRx Heme-Study(ies) or the Genentech Solid-Tumors-Study(ies) using the Combination as agreed on in this Agreement (for purposes of this Section 2.12(a), each an “</w:t>
      </w:r>
      <w:r>
        <w:rPr>
          <w:rFonts w:ascii="Arial" w:cs="Arial" w:eastAsia="Arial" w:hAnsi="Arial"/>
          <w:sz w:val="15"/>
          <w:szCs w:val="15"/>
          <w:b w:val="1"/>
          <w:bCs w:val="1"/>
          <w:color w:val="auto"/>
        </w:rPr>
        <w:t>Additional Study</w:t>
      </w:r>
      <w:r>
        <w:rPr>
          <w:rFonts w:ascii="Arial" w:cs="Arial" w:eastAsia="Arial" w:hAnsi="Arial"/>
          <w:sz w:val="15"/>
          <w:szCs w:val="15"/>
          <w:color w:val="auto"/>
        </w:rPr>
        <w:t>”), the Proposing Party shall provide a written protocol summary for each such given Additional Study to the other Party (for purposes of this Section 2.12(a), the “</w:t>
      </w:r>
      <w:r>
        <w:rPr>
          <w:rFonts w:ascii="Arial" w:cs="Arial" w:eastAsia="Arial" w:hAnsi="Arial"/>
          <w:sz w:val="15"/>
          <w:szCs w:val="15"/>
          <w:b w:val="1"/>
          <w:bCs w:val="1"/>
          <w:color w:val="auto"/>
        </w:rPr>
        <w:t>Responding Party</w:t>
      </w:r>
      <w:r>
        <w:rPr>
          <w:rFonts w:ascii="Arial" w:cs="Arial" w:eastAsia="Arial" w:hAnsi="Arial"/>
          <w:sz w:val="15"/>
          <w:szCs w:val="15"/>
          <w:color w:val="auto"/>
        </w:rPr>
        <w:t>”) at least [*] prior to initiating each such Additional Study. The Parties shall discuss in good faith the possibility of, and the terms and conditions for, conducting such Additional Study as a collaboration of the Parties (or otherwise), including cost sharing, decision making and the supply of Compounds. If the Parties do not agree to the terms and conditions for conducting such Additional Study as a collaboration of the Parties (or if the Responding Party does not wish to collaborate on such Additional Study), the Proposing Party may proceed alone, provided such Additional Study is approved by the applicable Regulatory Authorities. If the Proposing Party proceeds alone, the Responding Party shall provide to the Proposing Party quantities of the Responding Party’s Compound (with respect to BioLineRx, [*] and with respect to Genentech, [*] that are sufficient to conduct such Additional Study (as described in the corresponding protocol summary), provided that supplying such quantities of Compound would not impact the Responding Party’s ability to support its own clinical trials and patients worldwide. Additionally, and subject to the limitations set forth in Section 2.7(c), the Responding Party shall provide to the Proposing Party a Right of Cross-Reference to the Responding Party’s existing IND for its Compound, to the extent necessary for the Additional Study (as described in such protocol summary) to be conducted. This right to propose Additional Studies in accordance with this Section 2.12(a) shall survive the expiration of this Agreement for a period of [*]</w:t>
      </w:r>
    </w:p>
    <w:p>
      <w:pPr>
        <w:spacing w:after="0" w:line="159" w:lineRule="exact"/>
        <w:rPr>
          <w:rFonts w:ascii="Arial" w:cs="Arial" w:eastAsia="Arial" w:hAnsi="Arial"/>
          <w:sz w:val="15"/>
          <w:szCs w:val="15"/>
          <w:b w:val="1"/>
          <w:bCs w:val="1"/>
          <w:color w:val="auto"/>
        </w:rPr>
      </w:pPr>
    </w:p>
    <w:p>
      <w:pPr>
        <w:ind w:left="5640" w:hanging="102"/>
        <w:spacing w:after="0"/>
        <w:tabs>
          <w:tab w:leader="none" w:pos="56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right="220" w:firstLine="1172"/>
        <w:spacing w:after="0" w:line="278" w:lineRule="auto"/>
        <w:tabs>
          <w:tab w:leader="none" w:pos="1448"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Studies. </w:t>
      </w:r>
      <w:r>
        <w:rPr>
          <w:rFonts w:ascii="Arial" w:cs="Arial" w:eastAsia="Arial" w:hAnsi="Arial"/>
          <w:sz w:val="15"/>
          <w:szCs w:val="15"/>
          <w:color w:val="auto"/>
        </w:rPr>
        <w:t>Other than as expressly set forth in this Agreement, nothing in this Agreement shall (1) be construed as a representation or inference</w:t>
      </w:r>
      <w:r>
        <w:rPr>
          <w:rFonts w:ascii="Arial" w:cs="Arial" w:eastAsia="Arial" w:hAnsi="Arial"/>
          <w:sz w:val="15"/>
          <w:szCs w:val="15"/>
          <w:b w:val="1"/>
          <w:bCs w:val="1"/>
          <w:color w:val="auto"/>
        </w:rPr>
        <w:t xml:space="preserve"> </w:t>
      </w:r>
      <w:r>
        <w:rPr>
          <w:rFonts w:ascii="Arial" w:cs="Arial" w:eastAsia="Arial" w:hAnsi="Arial"/>
          <w:sz w:val="15"/>
          <w:szCs w:val="15"/>
          <w:color w:val="auto"/>
        </w:rPr>
        <w:t>that a Party will not develop for itself, or enter into business relationships with other Third Parties regarding, any products, programs, studies (including combination studies), technologies or processes that are similar to or that may compete with the Combination, including [*] and [*] (as defined in Section 16.4), or any other product, program, technology or process of such Party; (2) prohibit either Party from performing any additional studies (including clinical studies) relating to its own Compound, either individually or in combination with any other compound or product, in any therapeutic area; (3) create an exclusive relationship between the Parties with respect to either Compound; or (4) impose any restriction on a Party’s right to license, assign or transfer its Compound; provided that, with respect to the foregoing (1-4), such Party fulfills all of its obligations under this Agreement, including obligations with respect to the other Party’s Compound and the Study Data, Sample Analyses, Sample Data, Confidential Information and Jointly Owned Inventions.</w:t>
      </w:r>
    </w:p>
    <w:p>
      <w:pPr>
        <w:spacing w:after="0" w:line="252"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Article 3</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Governance</w:t>
      </w:r>
    </w:p>
    <w:p>
      <w:pPr>
        <w:spacing w:after="0" w:line="129"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Joint Development Committee.</w:t>
      </w:r>
    </w:p>
    <w:p>
      <w:pPr>
        <w:spacing w:after="0" w:line="206" w:lineRule="exact"/>
        <w:rPr>
          <w:sz w:val="20"/>
          <w:szCs w:val="20"/>
          <w:color w:val="auto"/>
        </w:rPr>
      </w:pPr>
    </w:p>
    <w:p>
      <w:pPr>
        <w:ind w:right="160" w:firstLine="1172"/>
        <w:spacing w:after="0" w:line="302" w:lineRule="auto"/>
        <w:tabs>
          <w:tab w:leader="none" w:pos="1480" w:val="left"/>
        </w:tabs>
        <w:numPr>
          <w:ilvl w:val="0"/>
          <w:numId w:val="14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Establishment of the JDC. </w:t>
      </w:r>
      <w:r>
        <w:rPr>
          <w:rFonts w:ascii="Arial" w:cs="Arial" w:eastAsia="Arial" w:hAnsi="Arial"/>
          <w:sz w:val="14"/>
          <w:szCs w:val="14"/>
          <w:color w:val="auto"/>
        </w:rPr>
        <w:t>Within thirty (30) days after the Effective Date, the Parties shall establish a joint development committee (“</w:t>
      </w:r>
      <w:r>
        <w:rPr>
          <w:rFonts w:ascii="Arial" w:cs="Arial" w:eastAsia="Arial" w:hAnsi="Arial"/>
          <w:sz w:val="14"/>
          <w:szCs w:val="14"/>
          <w:b w:val="1"/>
          <w:bCs w:val="1"/>
          <w:color w:val="auto"/>
        </w:rPr>
        <w:t>Joint Development Committee</w:t>
      </w:r>
      <w:r>
        <w:rPr>
          <w:rFonts w:ascii="Arial" w:cs="Arial" w:eastAsia="Arial" w:hAnsi="Arial"/>
          <w:sz w:val="14"/>
          <w:szCs w:val="14"/>
          <w:color w:val="auto"/>
        </w:rPr>
        <w:t>” or “</w:t>
      </w:r>
      <w:r>
        <w:rPr>
          <w:rFonts w:ascii="Arial" w:cs="Arial" w:eastAsia="Arial" w:hAnsi="Arial"/>
          <w:sz w:val="14"/>
          <w:szCs w:val="14"/>
          <w:b w:val="1"/>
          <w:bCs w:val="1"/>
          <w:color w:val="auto"/>
        </w:rPr>
        <w:t>JDC</w:t>
      </w:r>
      <w:r>
        <w:rPr>
          <w:rFonts w:ascii="Arial" w:cs="Arial" w:eastAsia="Arial" w:hAnsi="Arial"/>
          <w:sz w:val="14"/>
          <w:szCs w:val="14"/>
          <w:color w:val="auto"/>
        </w:rPr>
        <w:t>”) to oversee each Study and the Parties’ activities under the related Sample Analyses Plan. The JDC shall be composed of at least two</w:t>
      </w:r>
    </w:p>
    <w:p>
      <w:pPr>
        <w:ind w:right="80"/>
        <w:spacing w:after="0" w:line="277" w:lineRule="auto"/>
        <w:rPr>
          <w:rFonts w:ascii="Arial" w:cs="Arial" w:eastAsia="Arial" w:hAnsi="Arial"/>
          <w:sz w:val="14"/>
          <w:szCs w:val="14"/>
          <w:b w:val="1"/>
          <w:bCs w:val="1"/>
          <w:color w:val="auto"/>
        </w:rPr>
      </w:pPr>
      <w:r>
        <w:rPr>
          <w:rFonts w:ascii="Arial" w:cs="Arial" w:eastAsia="Arial" w:hAnsi="Arial"/>
          <w:sz w:val="15"/>
          <w:szCs w:val="15"/>
          <w:color w:val="auto"/>
        </w:rPr>
        <w:t>(2), but no more than three (3) representatives designated by each Party (and the Parties need not have the same number of representatives). The representatives shall be appropriate (in terms of their seniority, availability, function in their respective organizations, training and experience) for the Parties’ activities then being undertaken. Each Party shall designate one of its representatives as its primary JDC contact for JDC matters (such Party’s “</w:t>
      </w:r>
      <w:r>
        <w:rPr>
          <w:rFonts w:ascii="Arial" w:cs="Arial" w:eastAsia="Arial" w:hAnsi="Arial"/>
          <w:sz w:val="15"/>
          <w:szCs w:val="15"/>
          <w:b w:val="1"/>
          <w:bCs w:val="1"/>
          <w:color w:val="auto"/>
        </w:rPr>
        <w:t>JDC Co-Leader</w:t>
      </w:r>
      <w:r>
        <w:rPr>
          <w:rFonts w:ascii="Arial" w:cs="Arial" w:eastAsia="Arial" w:hAnsi="Arial"/>
          <w:sz w:val="15"/>
          <w:szCs w:val="15"/>
          <w:color w:val="auto"/>
        </w:rPr>
        <w:t>”). A Party may replace any or all of its representatives (and designated JDC Co-Leader) at any time by informing the other Party’s JDC Co-Leader in advance, in writing (which may be by email). The JDC shall exist until the Final Study Report and all Sample Data are provided for the applicable Study (including all Additional Studies). All discussion of the JDC and all information provided to or generated by the JDC is deemed Confidential Information of the appropriate Party.</w:t>
      </w:r>
    </w:p>
    <w:p>
      <w:pPr>
        <w:spacing w:after="0" w:line="157" w:lineRule="exact"/>
        <w:rPr>
          <w:rFonts w:ascii="Arial" w:cs="Arial" w:eastAsia="Arial" w:hAnsi="Arial"/>
          <w:sz w:val="14"/>
          <w:szCs w:val="14"/>
          <w:b w:val="1"/>
          <w:bCs w:val="1"/>
          <w:color w:val="auto"/>
        </w:rPr>
      </w:pPr>
    </w:p>
    <w:p>
      <w:pPr>
        <w:ind w:left="5500" w:hanging="102"/>
        <w:spacing w:after="0"/>
        <w:tabs>
          <w:tab w:leader="none" w:pos="550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45720</wp:posOffset>
            </wp:positionV>
            <wp:extent cx="725995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00"/>
          </w:cols>
          <w:pgMar w:left="380" w:top="127" w:right="2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jc w:val="both"/>
        <w:ind w:left="140" w:right="240" w:firstLine="1172"/>
        <w:spacing w:after="0" w:line="288" w:lineRule="auto"/>
        <w:tabs>
          <w:tab w:leader="none" w:pos="1588"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Chair of JDC. </w:t>
      </w:r>
      <w:r>
        <w:rPr>
          <w:rFonts w:ascii="Arial" w:cs="Arial" w:eastAsia="Arial" w:hAnsi="Arial"/>
          <w:sz w:val="15"/>
          <w:szCs w:val="15"/>
          <w:color w:val="auto"/>
        </w:rPr>
        <w:t>A Joint Development Committee representative from Sponsor shall chair the Joint Development Committee overseeing Sponsor’s</w:t>
      </w:r>
      <w:r>
        <w:rPr>
          <w:rFonts w:ascii="Arial" w:cs="Arial" w:eastAsia="Arial" w:hAnsi="Arial"/>
          <w:sz w:val="15"/>
          <w:szCs w:val="15"/>
          <w:b w:val="1"/>
          <w:bCs w:val="1"/>
          <w:color w:val="auto"/>
        </w:rPr>
        <w:t xml:space="preserve"> </w:t>
      </w:r>
      <w:r>
        <w:rPr>
          <w:rFonts w:ascii="Arial" w:cs="Arial" w:eastAsia="Arial" w:hAnsi="Arial"/>
          <w:sz w:val="15"/>
          <w:szCs w:val="15"/>
          <w:color w:val="auto"/>
        </w:rPr>
        <w:t>Study(ies) (“</w:t>
      </w:r>
      <w:r>
        <w:rPr>
          <w:rFonts w:ascii="Arial" w:cs="Arial" w:eastAsia="Arial" w:hAnsi="Arial"/>
          <w:sz w:val="15"/>
          <w:szCs w:val="15"/>
          <w:b w:val="1"/>
          <w:bCs w:val="1"/>
          <w:color w:val="auto"/>
        </w:rPr>
        <w:t>JDC Chair</w:t>
      </w:r>
      <w:r>
        <w:rPr>
          <w:rFonts w:ascii="Arial" w:cs="Arial" w:eastAsia="Arial" w:hAnsi="Arial"/>
          <w:sz w:val="15"/>
          <w:szCs w:val="15"/>
          <w:color w:val="auto"/>
        </w:rPr>
        <w:t>”). The JDC Chair shall be responsible for the following: (i) scheduling JDC meetings and setting meeting agendas; (ii) calling emergency JDC meetings; and (iii) any additional responsibilities specified in the Agreement or otherwise agreed by the Parties in writing. Notwithstanding anything to the contrary in the foregoing, each of the JDC Co-Leaders has the right to schedule JDC meetings, raise matters for discussion and put matters to a vote of the JDC.</w:t>
      </w:r>
    </w:p>
    <w:p>
      <w:pPr>
        <w:spacing w:after="0" w:line="146" w:lineRule="exact"/>
        <w:rPr>
          <w:rFonts w:ascii="Arial" w:cs="Arial" w:eastAsia="Arial" w:hAnsi="Arial"/>
          <w:sz w:val="15"/>
          <w:szCs w:val="15"/>
          <w:b w:val="1"/>
          <w:bCs w:val="1"/>
          <w:color w:val="auto"/>
        </w:rPr>
      </w:pPr>
    </w:p>
    <w:p>
      <w:pPr>
        <w:ind w:left="140" w:right="140" w:firstLine="1172"/>
        <w:spacing w:after="0" w:line="288" w:lineRule="auto"/>
        <w:tabs>
          <w:tab w:leader="none" w:pos="1611"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Responsibilities of the JDC. </w:t>
      </w:r>
      <w:r>
        <w:rPr>
          <w:rFonts w:ascii="Arial" w:cs="Arial" w:eastAsia="Arial" w:hAnsi="Arial"/>
          <w:sz w:val="16"/>
          <w:szCs w:val="16"/>
          <w:color w:val="auto"/>
        </w:rPr>
        <w:t>The Joint Development Committee shall perform the following activities with respect to each Sponsor’s Study(ies)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Sample Analyses Plan(s):</w:t>
      </w:r>
    </w:p>
    <w:p>
      <w:pPr>
        <w:spacing w:after="0" w:line="146" w:lineRule="exact"/>
        <w:rPr>
          <w:rFonts w:ascii="Arial" w:cs="Arial" w:eastAsia="Arial" w:hAnsi="Arial"/>
          <w:sz w:val="16"/>
          <w:szCs w:val="16"/>
          <w:b w:val="1"/>
          <w:bCs w:val="1"/>
          <w:color w:val="auto"/>
        </w:rPr>
      </w:pPr>
    </w:p>
    <w:p>
      <w:pPr>
        <w:ind w:right="440" w:firstLine="1751"/>
        <w:spacing w:after="0" w:line="283" w:lineRule="auto"/>
        <w:tabs>
          <w:tab w:leader="none" w:pos="2434"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review and approve the final version of the Protocol and any amendments to the Protocol described in Section 2.4 as requiring Non-Sponsor’s written consent, and review aspects of each Sample Analyses Plan that relate to both Compounds;</w:t>
      </w:r>
    </w:p>
    <w:p>
      <w:pPr>
        <w:spacing w:after="0" w:line="53" w:lineRule="exact"/>
        <w:rPr>
          <w:rFonts w:ascii="Arial" w:cs="Arial" w:eastAsia="Arial" w:hAnsi="Arial"/>
          <w:sz w:val="16"/>
          <w:szCs w:val="16"/>
          <w:b w:val="1"/>
          <w:bCs w:val="1"/>
          <w:color w:val="auto"/>
        </w:rPr>
      </w:pPr>
    </w:p>
    <w:p>
      <w:pPr>
        <w:ind w:left="2440" w:hanging="689"/>
        <w:spacing w:after="0"/>
        <w:tabs>
          <w:tab w:leader="none" w:pos="2440"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discuss potential Participating Sites and Investigators;</w:t>
      </w:r>
    </w:p>
    <w:p>
      <w:pPr>
        <w:spacing w:after="0" w:line="108" w:lineRule="exact"/>
        <w:rPr>
          <w:rFonts w:ascii="Arial" w:cs="Arial" w:eastAsia="Arial" w:hAnsi="Arial"/>
          <w:sz w:val="16"/>
          <w:szCs w:val="16"/>
          <w:b w:val="1"/>
          <w:bCs w:val="1"/>
          <w:color w:val="auto"/>
        </w:rPr>
      </w:pPr>
    </w:p>
    <w:p>
      <w:pPr>
        <w:ind w:right="120" w:firstLine="1751"/>
        <w:spacing w:after="0" w:line="283" w:lineRule="auto"/>
        <w:tabs>
          <w:tab w:leader="none" w:pos="2443"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review the progress of each Study, including without limitation interim Study results, as well as the Parties’ activities under such Study’s Sample Analyses Plan, and make related decisions;</w:t>
      </w:r>
    </w:p>
    <w:p>
      <w:pPr>
        <w:spacing w:after="0" w:line="53" w:lineRule="exact"/>
        <w:rPr>
          <w:rFonts w:ascii="Arial" w:cs="Arial" w:eastAsia="Arial" w:hAnsi="Arial"/>
          <w:sz w:val="16"/>
          <w:szCs w:val="16"/>
          <w:b w:val="1"/>
          <w:bCs w:val="1"/>
          <w:color w:val="auto"/>
        </w:rPr>
      </w:pPr>
    </w:p>
    <w:p>
      <w:pPr>
        <w:ind w:left="2480" w:hanging="729"/>
        <w:spacing w:after="0"/>
        <w:tabs>
          <w:tab w:leader="none" w:pos="2480"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evaluate and decide whether and how to address any safety matters related to the Combination;</w:t>
      </w:r>
    </w:p>
    <w:p>
      <w:pPr>
        <w:spacing w:after="0" w:line="108" w:lineRule="exact"/>
        <w:rPr>
          <w:rFonts w:ascii="Arial" w:cs="Arial" w:eastAsia="Arial" w:hAnsi="Arial"/>
          <w:sz w:val="16"/>
          <w:szCs w:val="16"/>
          <w:b w:val="1"/>
          <w:bCs w:val="1"/>
          <w:color w:val="auto"/>
        </w:rPr>
      </w:pPr>
    </w:p>
    <w:p>
      <w:pPr>
        <w:ind w:left="2460" w:hanging="709"/>
        <w:spacing w:after="0"/>
        <w:tabs>
          <w:tab w:leader="none" w:pos="2460" w:val="left"/>
        </w:tabs>
        <w:numPr>
          <w:ilvl w:val="1"/>
          <w:numId w:val="149"/>
        </w:numPr>
        <w:rPr>
          <w:rFonts w:ascii="Arial" w:cs="Arial" w:eastAsia="Arial" w:hAnsi="Arial"/>
          <w:sz w:val="15"/>
          <w:szCs w:val="15"/>
          <w:b w:val="1"/>
          <w:bCs w:val="1"/>
          <w:color w:val="auto"/>
        </w:rPr>
      </w:pPr>
      <w:r>
        <w:rPr>
          <w:rFonts w:ascii="Arial" w:cs="Arial" w:eastAsia="Arial" w:hAnsi="Arial"/>
          <w:sz w:val="15"/>
          <w:szCs w:val="15"/>
          <w:color w:val="auto"/>
        </w:rPr>
        <w:t>if a Data Review Committee (as described in Section 3.2) is established, decide whether and how to address its recommendations;</w:t>
      </w:r>
    </w:p>
    <w:p>
      <w:pPr>
        <w:spacing w:after="0" w:line="119" w:lineRule="exact"/>
        <w:rPr>
          <w:rFonts w:ascii="Arial" w:cs="Arial" w:eastAsia="Arial" w:hAnsi="Arial"/>
          <w:sz w:val="15"/>
          <w:szCs w:val="15"/>
          <w:b w:val="1"/>
          <w:bCs w:val="1"/>
          <w:color w:val="auto"/>
        </w:rPr>
      </w:pPr>
    </w:p>
    <w:p>
      <w:pPr>
        <w:ind w:left="2480" w:hanging="729"/>
        <w:spacing w:after="0"/>
        <w:tabs>
          <w:tab w:leader="none" w:pos="2480"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address any regulatory issues and communications with Regulatory Authorities;</w:t>
      </w:r>
    </w:p>
    <w:p>
      <w:pPr>
        <w:spacing w:after="0" w:line="108" w:lineRule="exact"/>
        <w:rPr>
          <w:rFonts w:ascii="Arial" w:cs="Arial" w:eastAsia="Arial" w:hAnsi="Arial"/>
          <w:sz w:val="16"/>
          <w:szCs w:val="16"/>
          <w:b w:val="1"/>
          <w:bCs w:val="1"/>
          <w:color w:val="auto"/>
        </w:rPr>
      </w:pPr>
    </w:p>
    <w:p>
      <w:pPr>
        <w:ind w:left="2440" w:hanging="689"/>
        <w:spacing w:after="0"/>
        <w:tabs>
          <w:tab w:leader="none" w:pos="2440" w:val="left"/>
        </w:tabs>
        <w:numPr>
          <w:ilvl w:val="1"/>
          <w:numId w:val="149"/>
        </w:numPr>
        <w:rPr>
          <w:rFonts w:ascii="Arial" w:cs="Arial" w:eastAsia="Arial" w:hAnsi="Arial"/>
          <w:sz w:val="14"/>
          <w:szCs w:val="14"/>
          <w:b w:val="1"/>
          <w:bCs w:val="1"/>
          <w:color w:val="auto"/>
        </w:rPr>
      </w:pPr>
      <w:r>
        <w:rPr>
          <w:rFonts w:ascii="Arial" w:cs="Arial" w:eastAsia="Arial" w:hAnsi="Arial"/>
          <w:sz w:val="14"/>
          <w:szCs w:val="14"/>
          <w:color w:val="auto"/>
        </w:rPr>
        <w:t>address issues that arise if the available quantities of either Compound are insufficient to reach Study Completion, including as described</w:t>
      </w:r>
    </w:p>
    <w:p>
      <w:pPr>
        <w:spacing w:after="0" w:line="4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color w:val="auto"/>
        </w:rPr>
        <w:t>in Section 4.3;</w:t>
      </w:r>
    </w:p>
    <w:p>
      <w:pPr>
        <w:spacing w:after="0" w:line="96" w:lineRule="exact"/>
        <w:rPr>
          <w:rFonts w:ascii="Arial" w:cs="Arial" w:eastAsia="Arial" w:hAnsi="Arial"/>
          <w:sz w:val="14"/>
          <w:szCs w:val="14"/>
          <w:b w:val="1"/>
          <w:bCs w:val="1"/>
          <w:color w:val="auto"/>
        </w:rPr>
      </w:pPr>
    </w:p>
    <w:p>
      <w:pPr>
        <w:ind w:right="440" w:firstLine="1751"/>
        <w:spacing w:after="0" w:line="283" w:lineRule="auto"/>
        <w:tabs>
          <w:tab w:leader="none" w:pos="2443"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coordinate the transfer of materials and information between the Parties, including the Study Data, the Final Study Report, Tangible Materials (if any), the Samples and the Sample Data; and</w:t>
      </w:r>
    </w:p>
    <w:p>
      <w:pPr>
        <w:spacing w:after="0" w:line="53" w:lineRule="exact"/>
        <w:rPr>
          <w:rFonts w:ascii="Arial" w:cs="Arial" w:eastAsia="Arial" w:hAnsi="Arial"/>
          <w:sz w:val="16"/>
          <w:szCs w:val="16"/>
          <w:b w:val="1"/>
          <w:bCs w:val="1"/>
          <w:color w:val="auto"/>
        </w:rPr>
      </w:pPr>
    </w:p>
    <w:p>
      <w:pPr>
        <w:ind w:right="80" w:firstLine="1751"/>
        <w:spacing w:after="0" w:line="283" w:lineRule="auto"/>
        <w:tabs>
          <w:tab w:leader="none" w:pos="2434" w:val="left"/>
        </w:tabs>
        <w:numPr>
          <w:ilvl w:val="1"/>
          <w:numId w:val="149"/>
        </w:numPr>
        <w:rPr>
          <w:rFonts w:ascii="Arial" w:cs="Arial" w:eastAsia="Arial" w:hAnsi="Arial"/>
          <w:sz w:val="16"/>
          <w:szCs w:val="16"/>
          <w:b w:val="1"/>
          <w:bCs w:val="1"/>
          <w:color w:val="auto"/>
        </w:rPr>
      </w:pPr>
      <w:r>
        <w:rPr>
          <w:rFonts w:ascii="Arial" w:cs="Arial" w:eastAsia="Arial" w:hAnsi="Arial"/>
          <w:sz w:val="16"/>
          <w:szCs w:val="16"/>
          <w:color w:val="auto"/>
        </w:rPr>
        <w:t>attempt to resolve disputes related to each Study and perform such other functions as appropriate to further the purposes of each Study, or as otherwise specified in this Agreement or agreed to by the Parties in writing.</w:t>
      </w:r>
    </w:p>
    <w:p>
      <w:pPr>
        <w:spacing w:after="0" w:line="49" w:lineRule="exact"/>
        <w:rPr>
          <w:rFonts w:ascii="Arial" w:cs="Arial" w:eastAsia="Arial" w:hAnsi="Arial"/>
          <w:sz w:val="16"/>
          <w:szCs w:val="16"/>
          <w:b w:val="1"/>
          <w:bCs w:val="1"/>
          <w:color w:val="auto"/>
        </w:rPr>
      </w:pPr>
    </w:p>
    <w:p>
      <w:pPr>
        <w:ind w:left="140" w:right="80" w:firstLine="1172"/>
        <w:spacing w:after="0" w:line="265" w:lineRule="auto"/>
        <w:tabs>
          <w:tab w:leader="none" w:pos="1588"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Decision Making Authority. </w:t>
      </w:r>
      <w:r>
        <w:rPr>
          <w:rFonts w:ascii="Arial" w:cs="Arial" w:eastAsia="Arial" w:hAnsi="Arial"/>
          <w:sz w:val="16"/>
          <w:szCs w:val="16"/>
          <w:color w:val="auto"/>
        </w:rPr>
        <w:t>With respect to the responsibilities of the Joint Development Committee, each Party shall have one (1) collective vote in</w:t>
      </w:r>
      <w:r>
        <w:rPr>
          <w:rFonts w:ascii="Arial" w:cs="Arial" w:eastAsia="Arial" w:hAnsi="Arial"/>
          <w:sz w:val="16"/>
          <w:szCs w:val="16"/>
          <w:b w:val="1"/>
          <w:bCs w:val="1"/>
          <w:color w:val="auto"/>
        </w:rPr>
        <w:t xml:space="preserve"> </w:t>
      </w:r>
      <w:r>
        <w:rPr>
          <w:rFonts w:ascii="Arial" w:cs="Arial" w:eastAsia="Arial" w:hAnsi="Arial"/>
          <w:sz w:val="16"/>
          <w:szCs w:val="16"/>
          <w:color w:val="auto"/>
        </w:rPr>
        <w:t>all decisions, and the Parties shall attempt to make decisions by reaching agreement. If the JDC cannot reach agreement within [*] of a disputed matter being brought to a vote of the JDC, either Party may refer the dispute to the Parties’ executives for resolution in accordance with Section 15.1 and the other provisions of Article 15. The JDC has no authority to amend, or to waive compliance with, any provisions of this Agreement.</w:t>
      </w:r>
    </w:p>
    <w:p>
      <w:pPr>
        <w:spacing w:after="0" w:line="165" w:lineRule="exact"/>
        <w:rPr>
          <w:rFonts w:ascii="Arial" w:cs="Arial" w:eastAsia="Arial" w:hAnsi="Arial"/>
          <w:sz w:val="16"/>
          <w:szCs w:val="16"/>
          <w:b w:val="1"/>
          <w:bCs w:val="1"/>
          <w:color w:val="auto"/>
        </w:rPr>
      </w:pPr>
    </w:p>
    <w:p>
      <w:pPr>
        <w:ind w:left="5640" w:hanging="102"/>
        <w:spacing w:after="0"/>
        <w:tabs>
          <w:tab w:leader="none" w:pos="564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right="20" w:firstLine="1172"/>
        <w:spacing w:after="0" w:line="278" w:lineRule="auto"/>
        <w:tabs>
          <w:tab w:leader="none" w:pos="1471"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Meetings; Attendees; Decisions. </w:t>
      </w:r>
      <w:r>
        <w:rPr>
          <w:rFonts w:ascii="Arial" w:cs="Arial" w:eastAsia="Arial" w:hAnsi="Arial"/>
          <w:sz w:val="15"/>
          <w:szCs w:val="15"/>
          <w:color w:val="auto"/>
        </w:rPr>
        <w:t>Once established, the Joint Development Committee shall meet as deemed appropriate by the JDC, but at least twice</w:t>
      </w:r>
      <w:r>
        <w:rPr>
          <w:rFonts w:ascii="Arial" w:cs="Arial" w:eastAsia="Arial" w:hAnsi="Arial"/>
          <w:sz w:val="15"/>
          <w:szCs w:val="15"/>
          <w:b w:val="1"/>
          <w:bCs w:val="1"/>
          <w:color w:val="auto"/>
        </w:rPr>
        <w:t xml:space="preserve"> </w:t>
      </w:r>
      <w:r>
        <w:rPr>
          <w:rFonts w:ascii="Arial" w:cs="Arial" w:eastAsia="Arial" w:hAnsi="Arial"/>
          <w:sz w:val="15"/>
          <w:szCs w:val="15"/>
          <w:color w:val="auto"/>
        </w:rPr>
        <w:t>in each calendar year, and at least one of these meetings would be in person. The JDC may meet in person or via teleconference, video conference or the like. Between meetings of the JDC, Sponsor will respond to reasonable requests from Non-Sponsor for updates regarding the status of the Sponsor’s Study(ies). Each Party shall bear the expense of its respective representatives’ participation in JDC meetings. If a Party’s representative is unable to attend a given meeting, such Party may designate a knowledgeable alternate to attend such meeting and perform the functions of such representative. Each Party may invite a reasonable number of non-voting employees, consultants or scientific advisors to attend JDC meetings, provided that such invitees are bound by appropriate confidentiality obligations. The JDC shall maintain written minutes of each JDC meeting, including all decisions made, action items assigned or completed and other appropriate matters. The JDC Chair shall prepare the initial draft minutes and provide them to the Non-Sponsor’s JDC Co-Leader, within [*] of such meeting, for review and approval.</w:t>
      </w:r>
    </w:p>
    <w:p>
      <w:pPr>
        <w:spacing w:after="0" w:line="154" w:lineRule="exact"/>
        <w:rPr>
          <w:rFonts w:ascii="Arial" w:cs="Arial" w:eastAsia="Arial" w:hAnsi="Arial"/>
          <w:sz w:val="15"/>
          <w:szCs w:val="15"/>
          <w:b w:val="1"/>
          <w:bCs w:val="1"/>
          <w:color w:val="auto"/>
        </w:rPr>
      </w:pPr>
    </w:p>
    <w:p>
      <w:pPr>
        <w:ind w:right="20" w:firstLine="1172"/>
        <w:spacing w:after="0" w:line="265" w:lineRule="auto"/>
        <w:tabs>
          <w:tab w:leader="none" w:pos="1493"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Sub-Teams; Designees. </w:t>
      </w:r>
      <w:r>
        <w:rPr>
          <w:rFonts w:ascii="Arial" w:cs="Arial" w:eastAsia="Arial" w:hAnsi="Arial"/>
          <w:sz w:val="16"/>
          <w:szCs w:val="16"/>
          <w:color w:val="auto"/>
        </w:rPr>
        <w:t>From time to time, the Joint Development Committee may establish sub-teams to oversee particular projects or activities,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such sub-teams will be constituted and operate as determined by the JDC. From time to time, the JDC may designate individuals (by name or function) to oversee certain activities, and such designees will perform such activities as determined by the JDC. By way of example, but not limitation, the JDC may establish sub-teams or designate individuals to oversee and coordinate publications strategy or patent prosecution matters.</w:t>
      </w:r>
    </w:p>
    <w:p>
      <w:pPr>
        <w:spacing w:after="0" w:line="161"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Data Review Committee.</w:t>
      </w:r>
    </w:p>
    <w:p>
      <w:pPr>
        <w:spacing w:after="0" w:line="206" w:lineRule="exact"/>
        <w:rPr>
          <w:sz w:val="20"/>
          <w:szCs w:val="20"/>
          <w:color w:val="auto"/>
        </w:rPr>
      </w:pPr>
    </w:p>
    <w:p>
      <w:pPr>
        <w:ind w:right="40" w:firstLine="1172"/>
        <w:spacing w:after="0" w:line="294" w:lineRule="auto"/>
        <w:tabs>
          <w:tab w:leader="none" w:pos="1480" w:val="left"/>
        </w:tabs>
        <w:numPr>
          <w:ilvl w:val="1"/>
          <w:numId w:val="1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Establishment of the DRC; Meetings. </w:t>
      </w:r>
      <w:r>
        <w:rPr>
          <w:rFonts w:ascii="Arial" w:cs="Arial" w:eastAsia="Arial" w:hAnsi="Arial"/>
          <w:sz w:val="14"/>
          <w:szCs w:val="14"/>
          <w:color w:val="auto"/>
        </w:rPr>
        <w:t>Under the direction of the Joint Development Committee, the Parties may establish a Data Review Committee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Data Review Committee</w:t>
      </w:r>
      <w:r>
        <w:rPr>
          <w:rFonts w:ascii="Arial" w:cs="Arial" w:eastAsia="Arial" w:hAnsi="Arial"/>
          <w:sz w:val="14"/>
          <w:szCs w:val="14"/>
          <w:color w:val="auto"/>
        </w:rPr>
        <w:t>” or “</w:t>
      </w:r>
      <w:r>
        <w:rPr>
          <w:rFonts w:ascii="Arial" w:cs="Arial" w:eastAsia="Arial" w:hAnsi="Arial"/>
          <w:sz w:val="14"/>
          <w:szCs w:val="14"/>
          <w:b w:val="1"/>
          <w:bCs w:val="1"/>
          <w:color w:val="auto"/>
        </w:rPr>
        <w:t>DRC</w:t>
      </w:r>
      <w:r>
        <w:rPr>
          <w:rFonts w:ascii="Arial" w:cs="Arial" w:eastAsia="Arial" w:hAnsi="Arial"/>
          <w:sz w:val="14"/>
          <w:szCs w:val="14"/>
          <w:color w:val="auto"/>
        </w:rPr>
        <w:t>”) to monitor the safety of the Compounds and the Combination being used in the Study(ies). The DRC shall be composed of (i) at least one clinician designated by Genentech familiar with the therapeutic profile of the Genentech Compound; provided that such clinician is not participating in any other clinical studies involving the BioLineRx Compound in combination with a Third Party’s agent; (ii) at least one clinician designated by BioLineRx familiar with the therapeutic profile of the BioLineRx Compound; and (iii) if the Parties agree to include one or more additional clinicians and/or statisticians, such individuals shall be acceptable to both Parties, and in each of (i), (ii) or (iii) above, such clinicians shall be bound by appropriate confidentiality obligations. If established, the DRC shall disuss</w:t>
      </w:r>
    </w:p>
    <w:p>
      <w:pPr>
        <w:spacing w:after="0" w:line="1" w:lineRule="exact"/>
        <w:rPr>
          <w:rFonts w:ascii="Arial" w:cs="Arial" w:eastAsia="Arial" w:hAnsi="Arial"/>
          <w:sz w:val="14"/>
          <w:szCs w:val="14"/>
          <w:b w:val="1"/>
          <w:bCs w:val="1"/>
          <w:color w:val="auto"/>
        </w:rPr>
      </w:pPr>
    </w:p>
    <w:p>
      <w:pPr>
        <w:ind w:right="340" w:firstLine="4"/>
        <w:spacing w:after="0" w:line="268" w:lineRule="auto"/>
        <w:tabs>
          <w:tab w:leader="none" w:pos="23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during Phase 1 (if a Phase 1 dose escalation is included in a given Study’s Protocol), at least every [*] during Phase Ib and on an ad hoc basis as necessary during the conduct of the Study(ies).</w:t>
      </w:r>
    </w:p>
    <w:p>
      <w:pPr>
        <w:spacing w:after="0" w:line="161" w:lineRule="exact"/>
        <w:rPr>
          <w:rFonts w:ascii="Arial" w:cs="Arial" w:eastAsia="Arial" w:hAnsi="Arial"/>
          <w:sz w:val="16"/>
          <w:szCs w:val="16"/>
          <w:color w:val="auto"/>
        </w:rPr>
      </w:pPr>
    </w:p>
    <w:p>
      <w:pPr>
        <w:ind w:left="5500" w:hanging="102"/>
        <w:spacing w:after="0"/>
        <w:tabs>
          <w:tab w:leader="none" w:pos="5500" w:val="left"/>
        </w:tabs>
        <w:numPr>
          <w:ilvl w:val="2"/>
          <w:numId w:val="151"/>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45720</wp:posOffset>
            </wp:positionV>
            <wp:extent cx="725995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00"/>
          </w:cols>
          <w:pgMar w:left="380" w:top="127" w:right="2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1600" w:hanging="288"/>
        <w:spacing w:after="0"/>
        <w:tabs>
          <w:tab w:leader="none" w:pos="1600"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Responsibilities of the DRC. </w:t>
      </w:r>
      <w:r>
        <w:rPr>
          <w:rFonts w:ascii="Arial" w:cs="Arial" w:eastAsia="Arial" w:hAnsi="Arial"/>
          <w:sz w:val="16"/>
          <w:szCs w:val="16"/>
          <w:color w:val="auto"/>
        </w:rPr>
        <w:t>The Data Review Committee shall perform the following activities:</w:t>
      </w:r>
    </w:p>
    <w:p>
      <w:pPr>
        <w:spacing w:after="0" w:line="209" w:lineRule="exact"/>
        <w:rPr>
          <w:rFonts w:ascii="Arial" w:cs="Arial" w:eastAsia="Arial" w:hAnsi="Arial"/>
          <w:sz w:val="16"/>
          <w:szCs w:val="16"/>
          <w:b w:val="1"/>
          <w:bCs w:val="1"/>
          <w:color w:val="auto"/>
        </w:rPr>
      </w:pPr>
    </w:p>
    <w:p>
      <w:pPr>
        <w:ind w:right="180" w:firstLine="1751"/>
        <w:spacing w:after="0" w:line="283" w:lineRule="auto"/>
        <w:tabs>
          <w:tab w:leader="none" w:pos="2434"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evaluate suspected dose-limiting toxicities (using criteria defined in the Protocol, if applicable) and adjudicate treatment-related adverse events, based on clinical experience with the Compounds;</w:t>
      </w:r>
    </w:p>
    <w:p>
      <w:pPr>
        <w:spacing w:after="0" w:line="53" w:lineRule="exact"/>
        <w:rPr>
          <w:rFonts w:ascii="Arial" w:cs="Arial" w:eastAsia="Arial" w:hAnsi="Arial"/>
          <w:sz w:val="16"/>
          <w:szCs w:val="16"/>
          <w:b w:val="1"/>
          <w:bCs w:val="1"/>
          <w:color w:val="auto"/>
        </w:rPr>
      </w:pPr>
    </w:p>
    <w:p>
      <w:pPr>
        <w:ind w:left="2440" w:hanging="689"/>
        <w:spacing w:after="0"/>
        <w:tabs>
          <w:tab w:leader="none" w:pos="2440"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make recommendations to the JDC to hold dosing or enrollment, if safety data require further evaluation;</w:t>
      </w:r>
    </w:p>
    <w:p>
      <w:pPr>
        <w:spacing w:after="0" w:line="108" w:lineRule="exact"/>
        <w:rPr>
          <w:rFonts w:ascii="Arial" w:cs="Arial" w:eastAsia="Arial" w:hAnsi="Arial"/>
          <w:sz w:val="16"/>
          <w:szCs w:val="16"/>
          <w:b w:val="1"/>
          <w:bCs w:val="1"/>
          <w:color w:val="auto"/>
        </w:rPr>
      </w:pPr>
    </w:p>
    <w:p>
      <w:pPr>
        <w:ind w:left="2440" w:hanging="689"/>
        <w:spacing w:after="0"/>
        <w:tabs>
          <w:tab w:leader="none" w:pos="2440"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make recommendations to the JDC to end dosing or enrollment; and</w:t>
      </w:r>
    </w:p>
    <w:p>
      <w:pPr>
        <w:spacing w:after="0" w:line="108" w:lineRule="exact"/>
        <w:rPr>
          <w:rFonts w:ascii="Arial" w:cs="Arial" w:eastAsia="Arial" w:hAnsi="Arial"/>
          <w:sz w:val="16"/>
          <w:szCs w:val="16"/>
          <w:b w:val="1"/>
          <w:bCs w:val="1"/>
          <w:color w:val="auto"/>
        </w:rPr>
      </w:pPr>
    </w:p>
    <w:p>
      <w:pPr>
        <w:ind w:left="2480" w:hanging="729"/>
        <w:spacing w:after="0"/>
        <w:tabs>
          <w:tab w:leader="none" w:pos="2480"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perform such other functions as directed by the JDC.</w:t>
      </w:r>
    </w:p>
    <w:p>
      <w:pPr>
        <w:spacing w:after="0" w:line="201" w:lineRule="exact"/>
        <w:rPr>
          <w:rFonts w:ascii="Arial" w:cs="Arial" w:eastAsia="Arial" w:hAnsi="Arial"/>
          <w:sz w:val="16"/>
          <w:szCs w:val="16"/>
          <w:b w:val="1"/>
          <w:bCs w:val="1"/>
          <w:color w:val="auto"/>
        </w:rPr>
      </w:pPr>
    </w:p>
    <w:p>
      <w:pPr>
        <w:ind w:left="140" w:right="160" w:firstLine="1172"/>
        <w:spacing w:after="0" w:line="288" w:lineRule="auto"/>
        <w:tabs>
          <w:tab w:leader="none" w:pos="1611"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Advisory Body. </w:t>
      </w:r>
      <w:r>
        <w:rPr>
          <w:rFonts w:ascii="Arial" w:cs="Arial" w:eastAsia="Arial" w:hAnsi="Arial"/>
          <w:sz w:val="16"/>
          <w:szCs w:val="16"/>
          <w:color w:val="auto"/>
        </w:rPr>
        <w:t>The Data Review Committee shall be solely an advisory body to the Joint Development Committee and shall not have any power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decisions that bind either Party.</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0120" w:type="dxa"/>
            <w:vAlign w:val="bottom"/>
          </w:tcPr>
          <w:p>
            <w:pPr>
              <w:jc w:val="center"/>
              <w:ind w:right="719"/>
              <w:spacing w:after="0"/>
              <w:rPr>
                <w:sz w:val="20"/>
                <w:szCs w:val="20"/>
                <w:color w:val="auto"/>
              </w:rPr>
            </w:pPr>
            <w:r>
              <w:rPr>
                <w:rFonts w:ascii="Arial" w:cs="Arial" w:eastAsia="Arial" w:hAnsi="Arial"/>
                <w:sz w:val="16"/>
                <w:szCs w:val="16"/>
                <w:b w:val="1"/>
                <w:bCs w:val="1"/>
                <w:color w:val="auto"/>
                <w:w w:val="94"/>
              </w:rPr>
              <w:t>Article 4</w:t>
            </w:r>
          </w:p>
        </w:tc>
      </w:tr>
      <w:tr>
        <w:trPr>
          <w:trHeight w:val="211"/>
        </w:trPr>
        <w:tc>
          <w:tcPr>
            <w:tcW w:w="480" w:type="dxa"/>
            <w:vAlign w:val="bottom"/>
          </w:tcPr>
          <w:p>
            <w:pPr>
              <w:spacing w:after="0"/>
              <w:rPr>
                <w:sz w:val="18"/>
                <w:szCs w:val="18"/>
                <w:color w:val="auto"/>
              </w:rPr>
            </w:pPr>
          </w:p>
        </w:tc>
        <w:tc>
          <w:tcPr>
            <w:tcW w:w="10120" w:type="dxa"/>
            <w:vAlign w:val="bottom"/>
          </w:tcPr>
          <w:p>
            <w:pPr>
              <w:jc w:val="center"/>
              <w:ind w:right="739"/>
              <w:spacing w:after="0"/>
              <w:rPr>
                <w:sz w:val="20"/>
                <w:szCs w:val="20"/>
                <w:color w:val="auto"/>
              </w:rPr>
            </w:pPr>
            <w:r>
              <w:rPr>
                <w:rFonts w:ascii="Arial" w:cs="Arial" w:eastAsia="Arial" w:hAnsi="Arial"/>
                <w:sz w:val="16"/>
                <w:szCs w:val="16"/>
                <w:b w:val="1"/>
                <w:bCs w:val="1"/>
                <w:color w:val="auto"/>
                <w:w w:val="91"/>
              </w:rPr>
              <w:t>Supply of Study Drugs</w:t>
            </w:r>
          </w:p>
        </w:tc>
      </w:tr>
      <w:tr>
        <w:trPr>
          <w:trHeight w:val="329"/>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4.1</w:t>
            </w:r>
          </w:p>
        </w:tc>
        <w:tc>
          <w:tcPr>
            <w:tcW w:w="10120" w:type="dxa"/>
            <w:vAlign w:val="bottom"/>
          </w:tcPr>
          <w:p>
            <w:pPr>
              <w:ind w:left="300"/>
              <w:spacing w:after="0"/>
              <w:rPr>
                <w:sz w:val="20"/>
                <w:szCs w:val="20"/>
                <w:color w:val="auto"/>
              </w:rPr>
            </w:pPr>
            <w:r>
              <w:rPr>
                <w:rFonts w:ascii="Arial" w:cs="Arial" w:eastAsia="Arial" w:hAnsi="Arial"/>
                <w:sz w:val="16"/>
                <w:szCs w:val="16"/>
                <w:b w:val="1"/>
                <w:bCs w:val="1"/>
                <w:color w:val="auto"/>
                <w:w w:val="90"/>
              </w:rPr>
              <w:t xml:space="preserve">Sponsor Compound. </w:t>
            </w:r>
            <w:r>
              <w:rPr>
                <w:rFonts w:ascii="Arial" w:cs="Arial" w:eastAsia="Arial" w:hAnsi="Arial"/>
                <w:sz w:val="16"/>
                <w:szCs w:val="16"/>
                <w:color w:val="auto"/>
                <w:w w:val="90"/>
              </w:rPr>
              <w:t>Sponsor shall use commercially reasonable efforts to Manufacture and Supply, at its expense, sufficient quantities of the Sponsor</w:t>
            </w:r>
          </w:p>
        </w:tc>
      </w:tr>
    </w:tbl>
    <w:p>
      <w:pPr>
        <w:ind w:right="120"/>
        <w:spacing w:after="0" w:line="278" w:lineRule="auto"/>
        <w:rPr>
          <w:sz w:val="20"/>
          <w:szCs w:val="20"/>
          <w:color w:val="auto"/>
        </w:rPr>
      </w:pPr>
      <w:r>
        <w:rPr>
          <w:rFonts w:ascii="Arial" w:cs="Arial" w:eastAsia="Arial" w:hAnsi="Arial"/>
          <w:sz w:val="15"/>
          <w:szCs w:val="15"/>
          <w:color w:val="auto"/>
        </w:rPr>
        <w:t>Compound to conduct the Study. Sponsor represents and warrants to Non-Sponsor that the Sponsor Compound used in the Study(ies) shall be Manufactured and Supplied to the Participating Sites in compliance with the Specifications for the Sponsor Compound and Applicable Law. Unless otherwise mutually agreed by the Parties in writing or otherwise set forth in a given Compound Supply Plan, Genentech will supply only commercial grade Compound for BioLineRx Heme-Study(ies). Each Non-Sponsor shall supply its Compound for Sponsor’s Study(ies) at no charge to Sponsor (i.e., the supplying Party will be solely responsible for costs of manufacture or acquisition, preparation, shipping and export/import). For the avoidance of doubt, Sponsor shall be responsible for packaging and labeling of Non-Sponsor Compound.</w:t>
      </w:r>
    </w:p>
    <w:p>
      <w:pPr>
        <w:spacing w:after="0" w:line="154"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b w:val="1"/>
          <w:bCs w:val="1"/>
          <w:color w:val="auto"/>
        </w:rPr>
        <w:t>Non-Sponsor Compound.</w:t>
      </w:r>
    </w:p>
    <w:p>
      <w:pPr>
        <w:spacing w:after="0" w:line="206" w:lineRule="exact"/>
        <w:rPr>
          <w:sz w:val="20"/>
          <w:szCs w:val="20"/>
          <w:color w:val="auto"/>
        </w:rPr>
      </w:pPr>
    </w:p>
    <w:p>
      <w:pPr>
        <w:ind w:left="140" w:right="20" w:firstLine="1172"/>
        <w:spacing w:after="0" w:line="279" w:lineRule="auto"/>
        <w:tabs>
          <w:tab w:leader="none" w:pos="1620"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Manufacture and Supply. </w:t>
      </w:r>
      <w:r>
        <w:rPr>
          <w:rFonts w:ascii="Arial" w:cs="Arial" w:eastAsia="Arial" w:hAnsi="Arial"/>
          <w:sz w:val="15"/>
          <w:szCs w:val="15"/>
          <w:color w:val="auto"/>
        </w:rPr>
        <w:t>Non-Sponsor shall use commercially reasonable efforts to Manufacture and Supply, at its expense, the quantities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Non-Sponsor Compound specified in the Compound Supply Plan. Non-Sponsor represents and warrants to Sponsor that such Non-Sponsor Compound provided for use in the Study(ies) shall be Manufactured and Supplied to Sponsor, a Project Participant designated by Sponsor or other locations agreed to by the Joint Development Committee (for purposes of this Section 4.2, “</w:t>
      </w:r>
      <w:r>
        <w:rPr>
          <w:rFonts w:ascii="Arial" w:cs="Arial" w:eastAsia="Arial" w:hAnsi="Arial"/>
          <w:sz w:val="15"/>
          <w:szCs w:val="15"/>
          <w:b w:val="1"/>
          <w:bCs w:val="1"/>
          <w:color w:val="auto"/>
        </w:rPr>
        <w:t>Delivery Locations</w:t>
      </w:r>
      <w:r>
        <w:rPr>
          <w:rFonts w:ascii="Arial" w:cs="Arial" w:eastAsia="Arial" w:hAnsi="Arial"/>
          <w:sz w:val="15"/>
          <w:szCs w:val="15"/>
          <w:color w:val="auto"/>
        </w:rPr>
        <w:t>”) in compliance with the Specifications for the Non-Sponsor Compound, Applicable Law and the Quality Agreement. Non-Sponsor shall ensure that any Non-Sponsor Compound Manufactured and Supplied under this Agreement has, at the time of delivery, an adequate remaining shelf life to meet the Study(ies) requirements. Each Non-Sponsor shall supply its Compound for Sponsor’s Study(ies) at no charge to Sponsor (i.e., the supplying Party will be solely responsible for costs of manufacture or acquisition, preparation, shipping and export/import).</w:t>
      </w:r>
    </w:p>
    <w:p>
      <w:pPr>
        <w:spacing w:after="0" w:line="158" w:lineRule="exact"/>
        <w:rPr>
          <w:rFonts w:ascii="Arial" w:cs="Arial" w:eastAsia="Arial" w:hAnsi="Arial"/>
          <w:sz w:val="15"/>
          <w:szCs w:val="15"/>
          <w:b w:val="1"/>
          <w:bCs w:val="1"/>
          <w:color w:val="auto"/>
        </w:rPr>
      </w:pPr>
    </w:p>
    <w:p>
      <w:pPr>
        <w:ind w:left="5640" w:hanging="102"/>
        <w:spacing w:after="0"/>
        <w:tabs>
          <w:tab w:leader="none" w:pos="564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140" w:right="580" w:firstLine="1172"/>
        <w:spacing w:after="0" w:line="302" w:lineRule="auto"/>
        <w:tabs>
          <w:tab w:leader="none" w:pos="1588" w:val="left"/>
        </w:tabs>
        <w:numPr>
          <w:ilvl w:val="1"/>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Delivery. </w:t>
      </w:r>
      <w:r>
        <w:rPr>
          <w:rFonts w:ascii="Arial" w:cs="Arial" w:eastAsia="Arial" w:hAnsi="Arial"/>
          <w:sz w:val="14"/>
          <w:szCs w:val="14"/>
          <w:color w:val="auto"/>
        </w:rPr>
        <w:t>Non-Sponsor shall deliver the Non-Sponsor Compound to the Delivery Locations in accordance with the Quality Agreement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timelines specified in the Compound Supply Plan or as otherwise determined by the Joint Development Committee. Sponsor shall require the Participating Sites to</w:t>
      </w:r>
    </w:p>
    <w:p>
      <w:pPr>
        <w:ind w:left="140" w:right="40" w:firstLine="4"/>
        <w:spacing w:after="0" w:line="302" w:lineRule="auto"/>
        <w:tabs>
          <w:tab w:leader="none" w:pos="334" w:val="left"/>
        </w:tabs>
        <w:numPr>
          <w:ilvl w:val="0"/>
          <w:numId w:val="155"/>
        </w:numPr>
        <w:rPr>
          <w:rFonts w:ascii="Arial" w:cs="Arial" w:eastAsia="Arial" w:hAnsi="Arial"/>
          <w:sz w:val="15"/>
          <w:szCs w:val="15"/>
          <w:color w:val="auto"/>
        </w:rPr>
      </w:pPr>
      <w:r>
        <w:rPr>
          <w:rFonts w:ascii="Arial" w:cs="Arial" w:eastAsia="Arial" w:hAnsi="Arial"/>
          <w:sz w:val="15"/>
          <w:szCs w:val="15"/>
          <w:color w:val="auto"/>
        </w:rPr>
        <w:t>maintain accurate records of all Non-Sponsor Compound received and dispensed in the conduct of the Sponsor’s Study and (ii) properly store all Non-Sponsor Compound in accordance with any written instructions provided by Non-Sponsor and Applicable Law, and in a secure and locked location to prevent theft or misuse.</w:t>
      </w:r>
    </w:p>
    <w:p>
      <w:pPr>
        <w:spacing w:after="0" w:line="134" w:lineRule="exact"/>
        <w:rPr>
          <w:rFonts w:ascii="Arial" w:cs="Arial" w:eastAsia="Arial" w:hAnsi="Arial"/>
          <w:sz w:val="15"/>
          <w:szCs w:val="15"/>
          <w:color w:val="auto"/>
        </w:rPr>
      </w:pPr>
    </w:p>
    <w:p>
      <w:pPr>
        <w:ind w:left="140" w:right="340" w:firstLine="1172"/>
        <w:spacing w:after="0" w:line="262" w:lineRule="auto"/>
        <w:tabs>
          <w:tab w:leader="none" w:pos="1611" w:val="left"/>
        </w:tabs>
        <w:numPr>
          <w:ilvl w:val="1"/>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Remaining Compound. </w:t>
      </w:r>
      <w:r>
        <w:rPr>
          <w:rFonts w:ascii="Arial" w:cs="Arial" w:eastAsia="Arial" w:hAnsi="Arial"/>
          <w:sz w:val="16"/>
          <w:szCs w:val="16"/>
          <w:color w:val="auto"/>
        </w:rPr>
        <w:t>Upon completion or termination of the Sponsor’s Study(ies), Sponsor shall ensure that all unused quantities of the Non-Sponsor Compound, as well as all used vials and bottles containing the Non-Sponsor Compound, are destroyed in accordance with Non-Sponsor’s standard operating procedures (as set forth in the applicable Compound Supply Plan, or as otherwise mutually agreed by the Parties in writing) and documented accordingly (including certifying such destruction in writing to Non-Sponsor), or returned to Non-Sponsor or its designated agent if requested by Non-Sponsor within thirty (30) Business Days following such completion or termination.</w:t>
      </w:r>
    </w:p>
    <w:p>
      <w:pPr>
        <w:spacing w:after="0" w:line="164" w:lineRule="exact"/>
        <w:rPr>
          <w:rFonts w:ascii="Arial" w:cs="Arial" w:eastAsia="Arial" w:hAnsi="Arial"/>
          <w:sz w:val="16"/>
          <w:szCs w:val="16"/>
          <w:b w:val="1"/>
          <w:bCs w:val="1"/>
          <w:color w:val="auto"/>
        </w:rPr>
      </w:pPr>
    </w:p>
    <w:p>
      <w:pPr>
        <w:ind w:left="140" w:right="60" w:firstLine="1172"/>
        <w:spacing w:after="0" w:line="257" w:lineRule="auto"/>
        <w:tabs>
          <w:tab w:leader="none" w:pos="1588" w:val="left"/>
        </w:tabs>
        <w:numPr>
          <w:ilvl w:val="1"/>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Compound. </w:t>
      </w:r>
      <w:r>
        <w:rPr>
          <w:rFonts w:ascii="Arial" w:cs="Arial" w:eastAsia="Arial" w:hAnsi="Arial"/>
          <w:sz w:val="16"/>
          <w:szCs w:val="16"/>
          <w:color w:val="auto"/>
        </w:rPr>
        <w:t>Sponsor has the right to use the Non-Sponsor Compound for the purpose of conducting the Sponsor’s Study(ies) and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 each applicable Sample Analyses Plan, and shall not use the Non-Sponsor Compound for any other purposes (except as otherwise set forth herein, or otherwise mutually agreed by the Parties in writing). Sponsor shall use, store, transport, handle and dispose of the Non-Sponsor Compound in compliance with Applicable Law, the Quality Agreement and all written instructions received from Non-Sponsor. Sponsor shall not attempt to derive or reverse engineer the composition or underlying information or structure of the Non-Sponsor Compound, and in particular shall not analyze the Non-Sponsor Compound by physical, chemical or biochemical means, except as necessary to perform its obligations under the Quality Agreement, if any. Non-Sponsor shall solely own all right, title and interest in and to any invention, discovery or creation (including materials and Know-How or other intellectual property), whether or not patentable, that results from any unpermitted use of the Non-Sponsor Compound supplied to Sponsor under this Agreement in breach of this Section 4.2(d); Sponsor hereby assigns any such inventions to Non-Sponsor. Sponsor shall ensure that any party performing Sponsor’s Study(ies)-related activities on behalf of Sponsor is contractually bound in writing by obligations reasonably similar to those set forth in this Section 4.2(d).</w:t>
      </w:r>
    </w:p>
    <w:p>
      <w:pPr>
        <w:spacing w:after="0" w:line="173" w:lineRule="exact"/>
        <w:rPr>
          <w:sz w:val="20"/>
          <w:szCs w:val="20"/>
          <w:color w:val="auto"/>
        </w:rPr>
      </w:pPr>
    </w:p>
    <w:p>
      <w:pPr>
        <w:ind w:right="20" w:firstLine="584"/>
        <w:spacing w:after="0" w:line="281" w:lineRule="auto"/>
        <w:rPr>
          <w:sz w:val="20"/>
          <w:szCs w:val="20"/>
          <w:color w:val="auto"/>
        </w:rPr>
      </w:pPr>
      <w:r>
        <w:rPr>
          <w:rFonts w:ascii="Arial" w:cs="Arial" w:eastAsia="Arial" w:hAnsi="Arial"/>
          <w:sz w:val="15"/>
          <w:szCs w:val="15"/>
          <w:b w:val="1"/>
          <w:bCs w:val="1"/>
          <w:color w:val="auto"/>
        </w:rPr>
        <w:t xml:space="preserve">4.3 Insufficient Quantities; </w:t>
      </w:r>
      <w:r>
        <w:rPr>
          <w:rFonts w:ascii="Arial" w:cs="Arial" w:eastAsia="Arial" w:hAnsi="Arial"/>
          <w:sz w:val="15"/>
          <w:szCs w:val="15"/>
          <w:color w:val="auto"/>
        </w:rPr>
        <w:t>Delay. If BioLineRx or Genentech determines that the quantities of the BioLineRx Compound or the Genentech Compound,</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are not sufficient to reach Study Completion, such Party shall promptly notify the other Party, including what quantities of its Compound, if any, are available for the Study(ies). The Parties will promptly discuss how to address the shortage and allocate the available amounts of the BioLineRx Compound or the Genentech Compound, as applicable. Neither Sponsor nor Non-Sponsor, as the case may be, shall be deemed in breach of this Agreement in the event of a shortage of its Compound, provided such Party has complied with its obligations under Section 4.1 or Section 4.2, as applicable. Each Party also shall promptly notify the other Party in writing if there will be a delay in manufacturing its Compound that is likely to adversely affect supply of its Compound as contemplated by the applicable Compound Supply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3"/>
        <w:spacing w:after="0"/>
        <w:tabs>
          <w:tab w:leader="none" w:pos="1342"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4"/>
          <w:szCs w:val="14"/>
          <w:b w:val="1"/>
          <w:bCs w:val="1"/>
          <w:color w:val="auto"/>
        </w:rPr>
        <w:t>Quality Agreement.</w:t>
      </w:r>
    </w:p>
    <w:p>
      <w:pPr>
        <w:spacing w:after="0" w:line="206" w:lineRule="exact"/>
        <w:rPr>
          <w:sz w:val="20"/>
          <w:szCs w:val="20"/>
          <w:color w:val="auto"/>
        </w:rPr>
      </w:pPr>
    </w:p>
    <w:p>
      <w:pPr>
        <w:ind w:left="3" w:right="200" w:firstLine="582"/>
        <w:spacing w:after="0" w:line="298" w:lineRule="auto"/>
        <w:tabs>
          <w:tab w:leader="none" w:pos="1051" w:val="left"/>
        </w:tabs>
        <w:numPr>
          <w:ilvl w:val="1"/>
          <w:numId w:val="156"/>
        </w:numPr>
        <w:rPr>
          <w:rFonts w:ascii="Arial" w:cs="Arial" w:eastAsia="Arial" w:hAnsi="Arial"/>
          <w:sz w:val="14"/>
          <w:szCs w:val="14"/>
          <w:color w:val="auto"/>
        </w:rPr>
      </w:pPr>
      <w:r>
        <w:rPr>
          <w:rFonts w:ascii="Arial" w:cs="Arial" w:eastAsia="Arial" w:hAnsi="Arial"/>
          <w:sz w:val="14"/>
          <w:szCs w:val="14"/>
          <w:b w:val="1"/>
          <w:bCs w:val="1"/>
          <w:color w:val="auto"/>
        </w:rPr>
        <w:t xml:space="preserve">GMP Audit. </w:t>
      </w:r>
      <w:r>
        <w:rPr>
          <w:rFonts w:ascii="Arial" w:cs="Arial" w:eastAsia="Arial" w:hAnsi="Arial"/>
          <w:sz w:val="14"/>
          <w:szCs w:val="14"/>
          <w:color w:val="auto"/>
        </w:rPr>
        <w:t>Genentech may request an audit of the BioLineRx Facilities and Records, to be conducted during a minimum of two (2) consecutive Business</w:t>
      </w:r>
      <w:r>
        <w:rPr>
          <w:rFonts w:ascii="Arial" w:cs="Arial" w:eastAsia="Arial" w:hAnsi="Arial"/>
          <w:sz w:val="14"/>
          <w:szCs w:val="14"/>
          <w:b w:val="1"/>
          <w:bCs w:val="1"/>
          <w:color w:val="auto"/>
        </w:rPr>
        <w:t xml:space="preserve"> </w:t>
      </w:r>
      <w:r>
        <w:rPr>
          <w:rFonts w:ascii="Arial" w:cs="Arial" w:eastAsia="Arial" w:hAnsi="Arial"/>
          <w:sz w:val="14"/>
          <w:szCs w:val="14"/>
          <w:color w:val="auto"/>
        </w:rPr>
        <w:t>Days and a maximum of four (4) consecutive Business Days per facility for the purpose of ascertaining that the BioLineRx Compound to be used in the Genentech Solid Tumors-Study(ies) is Manufactured and Supplied in compliance with GMP and GDP (“</w:t>
      </w:r>
      <w:r>
        <w:rPr>
          <w:rFonts w:ascii="Arial" w:cs="Arial" w:eastAsia="Arial" w:hAnsi="Arial"/>
          <w:sz w:val="14"/>
          <w:szCs w:val="14"/>
          <w:b w:val="1"/>
          <w:bCs w:val="1"/>
          <w:color w:val="auto"/>
        </w:rPr>
        <w:t>GMP Audit</w:t>
      </w:r>
      <w:r>
        <w:rPr>
          <w:rFonts w:ascii="Arial" w:cs="Arial" w:eastAsia="Arial" w:hAnsi="Arial"/>
          <w:sz w:val="14"/>
          <w:szCs w:val="14"/>
          <w:color w:val="auto"/>
        </w:rPr>
        <w:t>”). Upon a written request by Genentech to BioLineRx delivered at least</w:t>
      </w:r>
    </w:p>
    <w:p>
      <w:pPr>
        <w:ind w:left="3" w:right="140" w:hanging="3"/>
        <w:spacing w:after="0" w:line="290" w:lineRule="auto"/>
        <w:tabs>
          <w:tab w:leader="none" w:pos="232"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in advance of the proposed audit dates, Genentech (or its representatives who are reasonably acceptable to BioLineRx) shall have the right to perform the GMP Audit in accordance with a written audit plan (including the mutually agreed dates for such audit) proposed by Genentech and agreed to by the Parties. Such GMP Audit shall be conducted at Genentech’s sole expense, and Genentech’s auditing personnel will be accompanied at all times by BioLineRx personnel (or its representative who is reasonably acceptable to Genentech). Following the GMP Audit and delivery to BioLineRx of a written summary of Genentech’s audit findings, including details of any deficiencies in BioLineRx Facilities and Records that are identified during the GMP Audit, Genentech shall elect, in writing, to (i) execute a Quality Agreement, in accordance</w:t>
      </w:r>
    </w:p>
    <w:p>
      <w:pPr>
        <w:spacing w:after="0" w:line="1" w:lineRule="exact"/>
        <w:rPr>
          <w:rFonts w:ascii="Arial" w:cs="Arial" w:eastAsia="Arial" w:hAnsi="Arial"/>
          <w:sz w:val="14"/>
          <w:szCs w:val="14"/>
          <w:color w:val="auto"/>
        </w:rPr>
      </w:pPr>
    </w:p>
    <w:p>
      <w:pPr>
        <w:ind w:left="3" w:right="280"/>
        <w:spacing w:after="0" w:line="258" w:lineRule="auto"/>
        <w:rPr>
          <w:rFonts w:ascii="Arial" w:cs="Arial" w:eastAsia="Arial" w:hAnsi="Arial"/>
          <w:sz w:val="14"/>
          <w:szCs w:val="14"/>
          <w:color w:val="auto"/>
        </w:rPr>
      </w:pPr>
      <w:r>
        <w:rPr>
          <w:rFonts w:ascii="Arial" w:cs="Arial" w:eastAsia="Arial" w:hAnsi="Arial"/>
          <w:sz w:val="16"/>
          <w:szCs w:val="16"/>
          <w:color w:val="auto"/>
        </w:rPr>
        <w:t>with Section 4.4(b) or (ii) if such deficiencies in the BioLineRx Facilities and Records have been identified, BioLineRx shall have [*] to correct such identified deficiencies (such [*] period is subject to extension by mutual written agreement of the Parties). If BioLineRx fails to correct such identified deficiencies within such [*] (or extended) period to Genentech’s reasonable satisfaction, then Genentech may either terminate the Agreement or elect to not proceed with the Genentech Solid Tumors-Study(ies), in which case, the Parties’ rights and obligations with respect to such Study(ies) will terminate.</w:t>
      </w:r>
    </w:p>
    <w:p>
      <w:pPr>
        <w:spacing w:after="0" w:line="167" w:lineRule="exact"/>
        <w:rPr>
          <w:rFonts w:ascii="Arial" w:cs="Arial" w:eastAsia="Arial" w:hAnsi="Arial"/>
          <w:sz w:val="14"/>
          <w:szCs w:val="14"/>
          <w:color w:val="auto"/>
        </w:rPr>
      </w:pPr>
    </w:p>
    <w:p>
      <w:pPr>
        <w:ind w:left="3" w:right="40" w:firstLine="582"/>
        <w:spacing w:after="0" w:line="265" w:lineRule="auto"/>
        <w:tabs>
          <w:tab w:leader="none" w:pos="1060" w:val="left"/>
        </w:tabs>
        <w:numPr>
          <w:ilvl w:val="1"/>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Quality Agreement. </w:t>
      </w:r>
      <w:r>
        <w:rPr>
          <w:rFonts w:ascii="Arial" w:cs="Arial" w:eastAsia="Arial" w:hAnsi="Arial"/>
          <w:sz w:val="16"/>
          <w:szCs w:val="16"/>
          <w:color w:val="auto"/>
        </w:rPr>
        <w:t>The Parties shall execute a Quality Agreement within [*] of Genentech’s election to do so under Section 4.4(a). In the event of a conflict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Quality Agreement and this Agreement, the Quality Agreement shall govern and control with respect to the Parties’ roles and responsibilities related to quality systems and quality requirements for the Manufacture and Supply of the Non-Sponsor Compound for each of the Parties’ Studies, and this Agreement shall govern and control with respect to all other terms.</w:t>
      </w:r>
    </w:p>
    <w:p>
      <w:pPr>
        <w:spacing w:after="0" w:line="161" w:lineRule="exact"/>
        <w:rPr>
          <w:rFonts w:ascii="Arial" w:cs="Arial" w:eastAsia="Arial" w:hAnsi="Arial"/>
          <w:sz w:val="16"/>
          <w:szCs w:val="16"/>
          <w:color w:val="auto"/>
        </w:rPr>
      </w:pPr>
    </w:p>
    <w:p>
      <w:pPr>
        <w:ind w:left="3" w:right="20" w:firstLine="582"/>
        <w:spacing w:after="0" w:line="276" w:lineRule="auto"/>
        <w:tabs>
          <w:tab w:leader="none" w:pos="1051" w:val="left"/>
        </w:tabs>
        <w:numPr>
          <w:ilvl w:val="1"/>
          <w:numId w:val="157"/>
        </w:numPr>
        <w:rPr>
          <w:rFonts w:ascii="Arial" w:cs="Arial" w:eastAsia="Arial" w:hAnsi="Arial"/>
          <w:sz w:val="15"/>
          <w:szCs w:val="15"/>
          <w:color w:val="auto"/>
        </w:rPr>
      </w:pPr>
      <w:r>
        <w:rPr>
          <w:rFonts w:ascii="Arial" w:cs="Arial" w:eastAsia="Arial" w:hAnsi="Arial"/>
          <w:sz w:val="15"/>
          <w:szCs w:val="15"/>
          <w:b w:val="1"/>
          <w:bCs w:val="1"/>
          <w:color w:val="auto"/>
        </w:rPr>
        <w:t xml:space="preserve">Regulatory Authorities. </w:t>
      </w:r>
      <w:r>
        <w:rPr>
          <w:rFonts w:ascii="Arial" w:cs="Arial" w:eastAsia="Arial" w:hAnsi="Arial"/>
          <w:sz w:val="15"/>
          <w:szCs w:val="15"/>
          <w:color w:val="auto"/>
        </w:rPr>
        <w:t>As may be further described in the Quality Agreement for the BioLineRx Compound used in the Genentech Solid Tumors-Study(ies),</w:t>
      </w:r>
      <w:r>
        <w:rPr>
          <w:rFonts w:ascii="Arial" w:cs="Arial" w:eastAsia="Arial" w:hAnsi="Arial"/>
          <w:sz w:val="15"/>
          <w:szCs w:val="15"/>
          <w:b w:val="1"/>
          <w:bCs w:val="1"/>
          <w:color w:val="auto"/>
        </w:rPr>
        <w:t xml:space="preserve"> </w:t>
      </w:r>
      <w:r>
        <w:rPr>
          <w:rFonts w:ascii="Arial" w:cs="Arial" w:eastAsia="Arial" w:hAnsi="Arial"/>
          <w:sz w:val="15"/>
          <w:szCs w:val="15"/>
          <w:color w:val="auto"/>
        </w:rPr>
        <w:t>BioLineRx shall cooperate with requests from any Regulatory Authority to conduct inspections and audits of the BioLineRx Facilities and Records (each such inspection or audit, an “</w:t>
      </w:r>
      <w:r>
        <w:rPr>
          <w:rFonts w:ascii="Arial" w:cs="Arial" w:eastAsia="Arial" w:hAnsi="Arial"/>
          <w:sz w:val="15"/>
          <w:szCs w:val="15"/>
          <w:b w:val="1"/>
          <w:bCs w:val="1"/>
          <w:color w:val="auto"/>
        </w:rPr>
        <w:t>Inspection</w:t>
      </w:r>
      <w:r>
        <w:rPr>
          <w:rFonts w:ascii="Arial" w:cs="Arial" w:eastAsia="Arial" w:hAnsi="Arial"/>
          <w:sz w:val="15"/>
          <w:szCs w:val="15"/>
          <w:color w:val="auto"/>
        </w:rPr>
        <w:t>”). Also, as may be further described in the Quality Agreement, BioLineRx shall, to the extent BioLineRx has the right to do so, (i) notify Genentech of any request from a Regulatory Authority for an Inspection; (ii) inform Genentech of the results and conclusions of Inspections; (iii) permit Genentech (or its representatives who are reasonably acceptable to BioLineRx) to assist in the preparation for, and be present at, Inspections; and (iv) provide Genentech with copies of any written Inspection reports issued by a Regulatory Authority and any related correspondence. In addition to BioLineRx’s obligations under Section 2.7(b) (as Non-Sponsor) to provide Genentech (as Sponsor) certain notices, inquiries and correspondence from Regulatory Authorities, as may be further described in the Quality Agreement, BioLineRx shall permit Genentech to participate in responses thereto. Genentech shall deliver to BioLineRx a written summary of the results and conclusions of any Regulatory Authority inspections and audits of the Genentech facilities and records pertaining to the Combination or to the BioLineRx Compound, such summary to be provided in reasonable detail so as to enable BioLineRx to determine the impact of such results and conclusions on BioLineRx and/or the BioLineRx Heme-Study(ies).</w:t>
      </w:r>
    </w:p>
    <w:p>
      <w:pPr>
        <w:spacing w:after="0" w:line="126" w:lineRule="exact"/>
        <w:rPr>
          <w:rFonts w:ascii="Arial" w:cs="Arial" w:eastAsia="Arial" w:hAnsi="Arial"/>
          <w:sz w:val="15"/>
          <w:szCs w:val="15"/>
          <w:color w:val="auto"/>
        </w:rPr>
      </w:pPr>
    </w:p>
    <w:p>
      <w:pPr>
        <w:ind w:left="5643" w:hanging="102"/>
        <w:spacing w:after="0"/>
        <w:tabs>
          <w:tab w:leader="none" w:pos="5643" w:val="left"/>
        </w:tabs>
        <w:numPr>
          <w:ilvl w:val="2"/>
          <w:numId w:val="157"/>
        </w:numPr>
        <w:rPr>
          <w:rFonts w:ascii="Arial" w:cs="Arial" w:eastAsia="Arial" w:hAnsi="Arial"/>
          <w:sz w:val="16"/>
          <w:szCs w:val="16"/>
          <w:color w:val="auto"/>
        </w:rPr>
      </w:pPr>
      <w:r>
        <w:rPr>
          <w:rFonts w:ascii="Arial" w:cs="Arial" w:eastAsia="Arial" w:hAnsi="Arial"/>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205" w:name="page206"/>
    <w:bookmarkEnd w:id="205"/>
    <w:p>
      <w:pPr>
        <w:ind w:left="10240"/>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right="140" w:firstLine="649"/>
        <w:spacing w:after="0" w:line="265" w:lineRule="auto"/>
        <w:rPr>
          <w:sz w:val="20"/>
          <w:szCs w:val="20"/>
          <w:color w:val="auto"/>
        </w:rPr>
      </w:pPr>
      <w:r>
        <w:rPr>
          <w:rFonts w:ascii="Arial" w:cs="Arial" w:eastAsia="Arial" w:hAnsi="Arial"/>
          <w:sz w:val="16"/>
          <w:szCs w:val="16"/>
          <w:b w:val="1"/>
          <w:bCs w:val="1"/>
          <w:color w:val="auto"/>
        </w:rPr>
        <w:t xml:space="preserve">4.5 Mutual Obligations. </w:t>
      </w:r>
      <w:r>
        <w:rPr>
          <w:rFonts w:ascii="Arial" w:cs="Arial" w:eastAsia="Arial" w:hAnsi="Arial"/>
          <w:sz w:val="16"/>
          <w:szCs w:val="16"/>
          <w:color w:val="auto"/>
        </w:rPr>
        <w:t>Each Party shall obtain and maintain all regulatory approvals (including facility licenses) required to Manufacture and Supply its</w:t>
      </w:r>
      <w:r>
        <w:rPr>
          <w:rFonts w:ascii="Arial" w:cs="Arial" w:eastAsia="Arial" w:hAnsi="Arial"/>
          <w:sz w:val="16"/>
          <w:szCs w:val="16"/>
          <w:b w:val="1"/>
          <w:bCs w:val="1"/>
          <w:color w:val="auto"/>
        </w:rPr>
        <w:t xml:space="preserve"> </w:t>
      </w:r>
      <w:r>
        <w:rPr>
          <w:rFonts w:ascii="Arial" w:cs="Arial" w:eastAsia="Arial" w:hAnsi="Arial"/>
          <w:sz w:val="16"/>
          <w:szCs w:val="16"/>
          <w:color w:val="auto"/>
        </w:rPr>
        <w:t>Compound under this Agreement in compliance with Applicable Law. Each Party shall notify the other Party as promptly as possible in the event any delay (or other event) is likely to adversely affect its ability to fulfill its obligations to Manufacture and Supply its Compound under this Agreement. Subject to Section 2.12, this Agreement does not create any obligation on the part of either Party to provide its Compound for any purposes other than to conduct the Study(ies).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Study Data; Sample Analyses and Sample Data; Tangible Materials</w:t>
      </w:r>
    </w:p>
    <w:p>
      <w:pPr>
        <w:spacing w:after="0" w:line="129"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Study Data.</w:t>
      </w:r>
    </w:p>
    <w:p>
      <w:pPr>
        <w:spacing w:after="0" w:line="206" w:lineRule="exact"/>
        <w:rPr>
          <w:sz w:val="20"/>
          <w:szCs w:val="20"/>
          <w:color w:val="auto"/>
        </w:rPr>
      </w:pPr>
    </w:p>
    <w:p>
      <w:pPr>
        <w:ind w:left="140" w:right="20" w:firstLine="1172"/>
        <w:spacing w:after="0" w:line="281" w:lineRule="auto"/>
        <w:tabs>
          <w:tab w:leader="none" w:pos="1620"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Database. </w:t>
      </w:r>
      <w:r>
        <w:rPr>
          <w:rFonts w:ascii="Arial" w:cs="Arial" w:eastAsia="Arial" w:hAnsi="Arial"/>
          <w:sz w:val="15"/>
          <w:szCs w:val="15"/>
          <w:color w:val="auto"/>
        </w:rPr>
        <w:t>Sponsor shall maintain the data from Case Report Forms obtained in Sponsor’s Study(ies) in its database, in accordance with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Law. At interim time points during the Sponsor’s Study(ies) (determined by the Joint Development Committee, but not less frequently than [*], Sponsor shall provide to Non-Sponsor a summary of available Study Data [*] Sponsor shall provide to Non-Sponsor all of the available Study Data obtained from Sponsor’s Study(ies). Sponsor shall provide the final Study Data to Non-Sponsor via electronic data transfer, in SAS format or as otherwise agreed by the Parties in writing. Sponsor shall provide the Top-Line Results and the Final Study Report to Non-Sponsor in accordance with Section 2.9(c) and Section 2.9(d), respectively. In addition, each Sponsor shall provide to the Non-Sponsor Study Data for its Study(ies) control arm (for example, standard of care and/or Compound monotherapy).</w:t>
      </w:r>
    </w:p>
    <w:p>
      <w:pPr>
        <w:spacing w:after="0" w:line="156" w:lineRule="exact"/>
        <w:rPr>
          <w:rFonts w:ascii="Arial" w:cs="Arial" w:eastAsia="Arial" w:hAnsi="Arial"/>
          <w:sz w:val="15"/>
          <w:szCs w:val="15"/>
          <w:b w:val="1"/>
          <w:bCs w:val="1"/>
          <w:color w:val="auto"/>
        </w:rPr>
      </w:pPr>
    </w:p>
    <w:p>
      <w:pPr>
        <w:ind w:left="5640" w:hanging="102"/>
        <w:spacing w:after="0"/>
        <w:tabs>
          <w:tab w:leader="none" w:pos="564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right="40" w:firstLine="1172"/>
        <w:spacing w:after="0" w:line="271" w:lineRule="auto"/>
        <w:tabs>
          <w:tab w:leader="none" w:pos="1448"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and Use of Study Data. </w:t>
      </w:r>
      <w:r>
        <w:rPr>
          <w:rFonts w:ascii="Arial" w:cs="Arial" w:eastAsia="Arial" w:hAnsi="Arial"/>
          <w:sz w:val="16"/>
          <w:szCs w:val="16"/>
          <w:color w:val="auto"/>
        </w:rPr>
        <w:t>[*]. Each Party has the right to use the Study Data for any lawful purpose; provided, however, each Party’s use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Study Data is subject to Section 6.4(d) and Section 7.1(a)(B), and is subject to the limitations on disclosure of the other Party’s Confidential Information in Article 7 and Section 8.2.</w:t>
      </w:r>
    </w:p>
    <w:p>
      <w:pPr>
        <w:spacing w:after="0" w:line="156"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b w:val="1"/>
          <w:bCs w:val="1"/>
          <w:color w:val="auto"/>
        </w:rPr>
        <w:t>Sample Analyses and Sample Data.</w:t>
      </w:r>
    </w:p>
    <w:p>
      <w:pPr>
        <w:spacing w:after="0" w:line="206" w:lineRule="exact"/>
        <w:rPr>
          <w:sz w:val="20"/>
          <w:szCs w:val="20"/>
          <w:color w:val="auto"/>
        </w:rPr>
      </w:pPr>
    </w:p>
    <w:p>
      <w:pPr>
        <w:ind w:right="60" w:firstLine="1172"/>
        <w:spacing w:after="0" w:line="259" w:lineRule="auto"/>
        <w:tabs>
          <w:tab w:leader="none" w:pos="148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Sample Analyses. </w:t>
      </w:r>
      <w:r>
        <w:rPr>
          <w:rFonts w:ascii="Arial" w:cs="Arial" w:eastAsia="Arial" w:hAnsi="Arial"/>
          <w:sz w:val="16"/>
          <w:szCs w:val="16"/>
          <w:color w:val="auto"/>
        </w:rPr>
        <w:t>Sponsor shall provide to Non-Sponsor the Samples necessary for Non-Sponsor to perform the Sample Analyses for which Non-Sponsor is responsible under the Sample Analyses Plan. Each Party, at its own expense, shall perform the Sample Analyses for which it is responsible in the Sample Analyses Plan (to the extent Samples are available, in accordance with the priorities in the Sample Analyses Plan). Each Party shall provide to the other Party the Sample Data for the Sample Analyses such Party performed (regardless of which Party owns such Sample Data), via electronic data transfer, in the format and using the media agreed to by the Parties in accordance with the timelines in the Sample Analyses Plan. Neither Party shall use the Samples for any purpose other than performing the Sample Analyses for which it is responsible, without the prior written consent of the other Party. Unless otherwise agreed by the Parties, all Samples supplied under this Agreement shall be provided [*]</w:t>
      </w:r>
    </w:p>
    <w:p>
      <w:pPr>
        <w:spacing w:after="0" w:line="168" w:lineRule="exact"/>
        <w:rPr>
          <w:rFonts w:ascii="Arial" w:cs="Arial" w:eastAsia="Arial" w:hAnsi="Arial"/>
          <w:sz w:val="16"/>
          <w:szCs w:val="16"/>
          <w:b w:val="1"/>
          <w:bCs w:val="1"/>
          <w:color w:val="auto"/>
        </w:rPr>
      </w:pPr>
    </w:p>
    <w:p>
      <w:pPr>
        <w:ind w:right="60" w:firstLine="1172"/>
        <w:spacing w:after="0" w:line="271" w:lineRule="auto"/>
        <w:tabs>
          <w:tab w:leader="none" w:pos="1448"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and Use of Sample Data. </w:t>
      </w:r>
      <w:r>
        <w:rPr>
          <w:rFonts w:ascii="Arial" w:cs="Arial" w:eastAsia="Arial" w:hAnsi="Arial"/>
          <w:sz w:val="16"/>
          <w:szCs w:val="16"/>
          <w:color w:val="auto"/>
        </w:rPr>
        <w:t>[*]. Each Party has the right to use the Sample Data solely or jointly owned by such Party for any lawful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provided, however, each Party’s use of the Sample Data is subject to Section 6.4(d) and Section 7.1(a)(B), and is subject to the limitations on disclosure of the other Party’s Confidential Information in Article 7 and Section 8.2.</w:t>
      </w:r>
    </w:p>
    <w:p>
      <w:pPr>
        <w:spacing w:after="0" w:line="156"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Tangible Materials for Sample Analyses.</w:t>
      </w:r>
    </w:p>
    <w:p>
      <w:pPr>
        <w:spacing w:after="0" w:line="206" w:lineRule="exact"/>
        <w:rPr>
          <w:sz w:val="20"/>
          <w:szCs w:val="20"/>
          <w:color w:val="auto"/>
        </w:rPr>
      </w:pPr>
    </w:p>
    <w:p>
      <w:pPr>
        <w:ind w:right="180" w:firstLine="1172"/>
        <w:spacing w:after="0" w:line="284" w:lineRule="auto"/>
        <w:tabs>
          <w:tab w:leader="none" w:pos="1480"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Supply of Tangible Materials. </w:t>
      </w:r>
      <w:r>
        <w:rPr>
          <w:rFonts w:ascii="Arial" w:cs="Arial" w:eastAsia="Arial" w:hAnsi="Arial"/>
          <w:sz w:val="15"/>
          <w:szCs w:val="15"/>
          <w:color w:val="auto"/>
        </w:rPr>
        <w:t>Each Party (for purposes of this Section 5.3, the “</w:t>
      </w:r>
      <w:r>
        <w:rPr>
          <w:rFonts w:ascii="Arial" w:cs="Arial" w:eastAsia="Arial" w:hAnsi="Arial"/>
          <w:sz w:val="15"/>
          <w:szCs w:val="15"/>
          <w:b w:val="1"/>
          <w:bCs w:val="1"/>
          <w:color w:val="auto"/>
        </w:rPr>
        <w:t>Supplier</w:t>
      </w:r>
      <w:r>
        <w:rPr>
          <w:rFonts w:ascii="Arial" w:cs="Arial" w:eastAsia="Arial" w:hAnsi="Arial"/>
          <w:sz w:val="15"/>
          <w:szCs w:val="15"/>
          <w:color w:val="auto"/>
        </w:rPr>
        <w:t>”) shall supply (or cause another party, on its behalf, to</w:t>
      </w:r>
      <w:r>
        <w:rPr>
          <w:rFonts w:ascii="Arial" w:cs="Arial" w:eastAsia="Arial" w:hAnsi="Arial"/>
          <w:sz w:val="15"/>
          <w:szCs w:val="15"/>
          <w:b w:val="1"/>
          <w:bCs w:val="1"/>
          <w:color w:val="auto"/>
        </w:rPr>
        <w:t xml:space="preserve"> </w:t>
      </w:r>
      <w:r>
        <w:rPr>
          <w:rFonts w:ascii="Arial" w:cs="Arial" w:eastAsia="Arial" w:hAnsi="Arial"/>
          <w:sz w:val="15"/>
          <w:szCs w:val="15"/>
          <w:color w:val="auto"/>
        </w:rPr>
        <w:t>supply) to the other Party (for purposes of this Section 5.3, the “</w:t>
      </w:r>
      <w:r>
        <w:rPr>
          <w:rFonts w:ascii="Arial" w:cs="Arial" w:eastAsia="Arial" w:hAnsi="Arial"/>
          <w:sz w:val="15"/>
          <w:szCs w:val="15"/>
          <w:b w:val="1"/>
          <w:bCs w:val="1"/>
          <w:color w:val="auto"/>
        </w:rPr>
        <w:t>Recipient</w:t>
      </w:r>
      <w:r>
        <w:rPr>
          <w:rFonts w:ascii="Arial" w:cs="Arial" w:eastAsia="Arial" w:hAnsi="Arial"/>
          <w:sz w:val="15"/>
          <w:szCs w:val="15"/>
          <w:color w:val="auto"/>
        </w:rPr>
        <w:t>”) the Supplier’s Tangible Materials specified in the Tangible Materials List. Except as otherwise expressly provided in this Agreement, and as between the Parties, all right, title and interest in and to the Tangible Materials (and any intellectual property rights relating thereto) shall remain with the Supplier thereof. Unless otherwise agreed by the Parties, all Tangible Materials supplied under this Agreement shall be provided at the supplying Party’s sole cost and expense (including costs of manufacture or acquisition, preparation, packaging, shipping and export/import).</w:t>
      </w:r>
    </w:p>
    <w:p>
      <w:pPr>
        <w:spacing w:after="0" w:line="148" w:lineRule="exact"/>
        <w:rPr>
          <w:rFonts w:ascii="Arial" w:cs="Arial" w:eastAsia="Arial" w:hAnsi="Arial"/>
          <w:sz w:val="15"/>
          <w:szCs w:val="15"/>
          <w:b w:val="1"/>
          <w:bCs w:val="1"/>
          <w:color w:val="auto"/>
        </w:rPr>
      </w:pPr>
    </w:p>
    <w:p>
      <w:pPr>
        <w:ind w:right="20" w:firstLine="1172"/>
        <w:spacing w:after="0" w:line="276" w:lineRule="auto"/>
        <w:tabs>
          <w:tab w:leader="none" w:pos="1448"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Use of Tangible Materials. </w:t>
      </w:r>
      <w:r>
        <w:rPr>
          <w:rFonts w:ascii="Arial" w:cs="Arial" w:eastAsia="Arial" w:hAnsi="Arial"/>
          <w:sz w:val="15"/>
          <w:szCs w:val="15"/>
          <w:color w:val="auto"/>
        </w:rPr>
        <w:t>The Recipient has the right to use the Supplier’s Tangible Materials only for the purpose of performing the Sample</w:t>
      </w:r>
      <w:r>
        <w:rPr>
          <w:rFonts w:ascii="Arial" w:cs="Arial" w:eastAsia="Arial" w:hAnsi="Arial"/>
          <w:sz w:val="15"/>
          <w:szCs w:val="15"/>
          <w:b w:val="1"/>
          <w:bCs w:val="1"/>
          <w:color w:val="auto"/>
        </w:rPr>
        <w:t xml:space="preserve"> </w:t>
      </w:r>
      <w:r>
        <w:rPr>
          <w:rFonts w:ascii="Arial" w:cs="Arial" w:eastAsia="Arial" w:hAnsi="Arial"/>
          <w:sz w:val="15"/>
          <w:szCs w:val="15"/>
          <w:color w:val="auto"/>
        </w:rPr>
        <w:t>Analyses for which the Recipient is responsible in the Sample Analyses Plan, and shall not use the Supplier’s Tangible Materials for any other purpose. The Recipient shall use, store, transport, handle and dispose of the Supplier’s Tangible Materials in compliance with Applicable Law and all written instructions from the Supplier. The Recipient shall not administer the Tangible Materials or the Samples to humans under any circumstances. The Recipient shall not attempt to derive or reverse engineer the composition or underlying information or structure of the Supplier’s Tangible Materials, and in particular shall not analyze the Supplier’s Tangible Materials by physical, chemical or biochemical means, except as necessary to perform its obligations under the Sample Analyses Plan. The Supplier shall solely own all right, title and interest in and to any invention, discovery or creation (including materials and Know-How or other intellectual property), whether or not patentable, that results from any unpermitted use of the Supplier’s Tangible Materials supplied to the Recipient under this Agreement in breach of this Section 5.3(b); the Recipient hereby assigns any such inventions to the Supplier. The Recipient shall ensure that any party performing Sample Analyses-related activities on behalf of the Recipient is contractually bound in writing by obligations substantially similar to those set forth in this Section 5.3(b).</w:t>
      </w:r>
    </w:p>
    <w:p>
      <w:pPr>
        <w:spacing w:after="0" w:line="200" w:lineRule="exact"/>
        <w:rPr>
          <w:rFonts w:ascii="Arial" w:cs="Arial" w:eastAsia="Arial" w:hAnsi="Arial"/>
          <w:sz w:val="15"/>
          <w:szCs w:val="15"/>
          <w:b w:val="1"/>
          <w:bCs w:val="1"/>
          <w:color w:val="auto"/>
        </w:rPr>
      </w:pPr>
    </w:p>
    <w:p>
      <w:pPr>
        <w:spacing w:after="0" w:line="353" w:lineRule="exact"/>
        <w:rPr>
          <w:rFonts w:ascii="Arial" w:cs="Arial" w:eastAsia="Arial" w:hAnsi="Arial"/>
          <w:sz w:val="15"/>
          <w:szCs w:val="15"/>
          <w:b w:val="1"/>
          <w:bCs w:val="1"/>
          <w:color w:val="auto"/>
        </w:rPr>
      </w:pPr>
    </w:p>
    <w:p>
      <w:pPr>
        <w:ind w:left="5500" w:hanging="102"/>
        <w:spacing w:after="0"/>
        <w:tabs>
          <w:tab w:leader="none" w:pos="55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45720</wp:posOffset>
            </wp:positionV>
            <wp:extent cx="725995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00"/>
          </w:cols>
          <w:pgMar w:left="380" w:top="127" w:right="2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140" w:right="60" w:firstLine="1172"/>
        <w:spacing w:after="0" w:line="324" w:lineRule="auto"/>
        <w:tabs>
          <w:tab w:leader="none" w:pos="1611"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Remaining Tangible Materials. </w:t>
      </w:r>
      <w:r>
        <w:rPr>
          <w:rFonts w:ascii="Arial" w:cs="Arial" w:eastAsia="Arial" w:hAnsi="Arial"/>
          <w:sz w:val="15"/>
          <w:szCs w:val="15"/>
          <w:color w:val="auto"/>
        </w:rPr>
        <w:t>Upon the expiration or termination of this Agreement, the Recipient shall ensure that any remaining quantities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Supplier’s Tangible Materials are appropriately destroyed. At the Supplier’s written request, the Recipient shall certify such destruction in writing to the Supplier.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Collaboration Inventions and Licenses</w:t>
      </w:r>
    </w:p>
    <w:p>
      <w:pPr>
        <w:spacing w:after="0" w:line="129"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16"/>
          <w:szCs w:val="16"/>
          <w:b w:val="1"/>
          <w:bCs w:val="1"/>
          <w:color w:val="auto"/>
        </w:rPr>
        <w:t>6.1</w:t>
      </w:r>
      <w:r>
        <w:rPr>
          <w:sz w:val="20"/>
          <w:szCs w:val="20"/>
          <w:color w:val="auto"/>
        </w:rPr>
        <w:tab/>
      </w:r>
      <w:r>
        <w:rPr>
          <w:rFonts w:ascii="Arial" w:cs="Arial" w:eastAsia="Arial" w:hAnsi="Arial"/>
          <w:sz w:val="14"/>
          <w:szCs w:val="14"/>
          <w:b w:val="1"/>
          <w:bCs w:val="1"/>
          <w:color w:val="auto"/>
        </w:rPr>
        <w:t>Collaboration Inventions.</w:t>
      </w:r>
    </w:p>
    <w:p>
      <w:pPr>
        <w:spacing w:after="0" w:line="206" w:lineRule="exact"/>
        <w:rPr>
          <w:sz w:val="20"/>
          <w:szCs w:val="20"/>
          <w:color w:val="auto"/>
        </w:rPr>
      </w:pPr>
    </w:p>
    <w:p>
      <w:pPr>
        <w:ind w:left="1620" w:hanging="308"/>
        <w:spacing w:after="0"/>
        <w:tabs>
          <w:tab w:leader="none" w:pos="162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definitions in this Section 6.1 are for purposes of Article 6 (and as referenced in Article 1).</w:t>
      </w:r>
    </w:p>
    <w:p>
      <w:pPr>
        <w:spacing w:after="0" w:line="205" w:lineRule="exact"/>
        <w:rPr>
          <w:rFonts w:ascii="Arial" w:cs="Arial" w:eastAsia="Arial" w:hAnsi="Arial"/>
          <w:sz w:val="16"/>
          <w:szCs w:val="16"/>
          <w:b w:val="1"/>
          <w:bCs w:val="1"/>
          <w:color w:val="auto"/>
        </w:rPr>
      </w:pPr>
    </w:p>
    <w:p>
      <w:pPr>
        <w:ind w:right="580" w:firstLine="1751"/>
        <w:spacing w:after="0" w:line="288" w:lineRule="auto"/>
        <w:tabs>
          <w:tab w:leader="none" w:pos="2434" w:val="left"/>
        </w:tabs>
        <w:numPr>
          <w:ilvl w:val="1"/>
          <w:numId w:val="1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BioLineRx Owned Invention</w:t>
      </w:r>
      <w:r>
        <w:rPr>
          <w:rFonts w:ascii="Arial" w:cs="Arial" w:eastAsia="Arial" w:hAnsi="Arial"/>
          <w:sz w:val="16"/>
          <w:szCs w:val="16"/>
          <w:color w:val="auto"/>
        </w:rPr>
        <w:t>” means a Collaboration Invention that relates [*] (A) [*] or (B) [*]. For clarity, any Collaboration Invention that [*] is a BioLineRx Owned Invention.</w:t>
      </w:r>
    </w:p>
    <w:p>
      <w:pPr>
        <w:spacing w:after="0" w:line="45" w:lineRule="exact"/>
        <w:rPr>
          <w:rFonts w:ascii="Arial" w:cs="Arial" w:eastAsia="Arial" w:hAnsi="Arial"/>
          <w:sz w:val="16"/>
          <w:szCs w:val="16"/>
          <w:b w:val="1"/>
          <w:bCs w:val="1"/>
          <w:color w:val="auto"/>
        </w:rPr>
      </w:pPr>
    </w:p>
    <w:p>
      <w:pPr>
        <w:ind w:right="20" w:firstLine="1751"/>
        <w:spacing w:after="0" w:line="257" w:lineRule="auto"/>
        <w:tabs>
          <w:tab w:leader="none" w:pos="2438" w:val="left"/>
        </w:tabs>
        <w:numPr>
          <w:ilvl w:val="1"/>
          <w:numId w:val="1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Collaboration Invention</w:t>
      </w:r>
      <w:r>
        <w:rPr>
          <w:rFonts w:ascii="Arial" w:cs="Arial" w:eastAsia="Arial" w:hAnsi="Arial"/>
          <w:sz w:val="16"/>
          <w:szCs w:val="16"/>
          <w:color w:val="auto"/>
        </w:rPr>
        <w:t xml:space="preserve">” means any invention, discovery or creation (including materials and Know-How or other intellectual property), whether or not patentable, that is first conceived, reduced to practice, discovered or otherwise created, in each of the foregoing cases, by a Party (directly or by another party on its behalf) (1) in the course of, or as a result of, performing activities under this Agreement (including through the use of the BioLineRx Compound and/or the Genentech Compound or in the course of Joint Development Committee or Data Review Committee discussions); (2) through the use of Study Data or Sample Data [*] that, at the time of such invention, discovery or creation, is the Confidential Information of either or both Parties; or (3) through the use of Samples in the course of, or as a result of, conducting the Sample Analysis Plan, in all cases, regardless of whether conceived, reduced to practice, discovered or otherwise created solely or jointly by BioLineRx or Genentech (directly or by another party on its behalf). The term “Collaboration Inventions” </w:t>
      </w:r>
      <w:r>
        <w:rPr>
          <w:rFonts w:ascii="Arial" w:cs="Arial" w:eastAsia="Arial" w:hAnsi="Arial"/>
          <w:sz w:val="16"/>
          <w:szCs w:val="16"/>
          <w:i w:val="1"/>
          <w:iCs w:val="1"/>
          <w:color w:val="auto"/>
        </w:rPr>
        <w:t>includes</w:t>
      </w:r>
      <w:r>
        <w:rPr>
          <w:rFonts w:ascii="Arial" w:cs="Arial" w:eastAsia="Arial" w:hAnsi="Arial"/>
          <w:sz w:val="16"/>
          <w:szCs w:val="16"/>
          <w:color w:val="auto"/>
        </w:rPr>
        <w:t xml:space="preserve"> new uses, compositions or formulations comprising a Compound, methods of predicting responsiveness to a Compound (and any diagnostic method or product related thereto), new methods of administration or dosing schemes for a Compound, or improvements to a Compound. Notwithstanding the foregoing definition, the term “Collaboration Inventions” </w:t>
      </w:r>
      <w:r>
        <w:rPr>
          <w:rFonts w:ascii="Arial" w:cs="Arial" w:eastAsia="Arial" w:hAnsi="Arial"/>
          <w:sz w:val="16"/>
          <w:szCs w:val="16"/>
          <w:i w:val="1"/>
          <w:iCs w:val="1"/>
          <w:color w:val="auto"/>
        </w:rPr>
        <w:t>excludes</w:t>
      </w:r>
      <w:r>
        <w:rPr>
          <w:rFonts w:ascii="Arial" w:cs="Arial" w:eastAsia="Arial" w:hAnsi="Arial"/>
          <w:sz w:val="16"/>
          <w:szCs w:val="16"/>
          <w:color w:val="auto"/>
        </w:rPr>
        <w:t xml:space="preserve"> Study Data and Sample Data, the ownership and use of which are addressed in Article 5.</w:t>
      </w:r>
    </w:p>
    <w:p>
      <w:pPr>
        <w:spacing w:after="0" w:line="200" w:lineRule="exact"/>
        <w:rPr>
          <w:rFonts w:ascii="Arial" w:cs="Arial" w:eastAsia="Arial" w:hAnsi="Arial"/>
          <w:sz w:val="16"/>
          <w:szCs w:val="16"/>
          <w:b w:val="1"/>
          <w:bCs w:val="1"/>
          <w:color w:val="auto"/>
        </w:rPr>
      </w:pPr>
    </w:p>
    <w:p>
      <w:pPr>
        <w:spacing w:after="0" w:line="232" w:lineRule="exact"/>
        <w:rPr>
          <w:rFonts w:ascii="Arial" w:cs="Arial" w:eastAsia="Arial" w:hAnsi="Arial"/>
          <w:sz w:val="16"/>
          <w:szCs w:val="16"/>
          <w:b w:val="1"/>
          <w:bCs w:val="1"/>
          <w:color w:val="auto"/>
        </w:rPr>
      </w:pPr>
    </w:p>
    <w:p>
      <w:pPr>
        <w:ind w:left="5640" w:hanging="102"/>
        <w:spacing w:after="0"/>
        <w:tabs>
          <w:tab w:leader="none" w:pos="5640" w:val="left"/>
        </w:tabs>
        <w:numPr>
          <w:ilvl w:val="2"/>
          <w:numId w:val="163"/>
        </w:numPr>
        <w:rPr>
          <w:rFonts w:ascii="Arial" w:cs="Arial" w:eastAsia="Arial" w:hAnsi="Arial"/>
          <w:sz w:val="16"/>
          <w:szCs w:val="16"/>
          <w:color w:val="auto"/>
        </w:rPr>
      </w:pPr>
      <w:r>
        <w:rPr>
          <w:rFonts w:ascii="Arial" w:cs="Arial" w:eastAsia="Arial" w:hAnsi="Arial"/>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color w:val="auto"/>
        </w:rPr>
        <w:t>CONFIDENTIAL</w:t>
      </w:r>
    </w:p>
    <w:p>
      <w:pPr>
        <w:spacing w:after="0" w:line="104" w:lineRule="exact"/>
        <w:rPr>
          <w:sz w:val="20"/>
          <w:szCs w:val="20"/>
          <w:color w:val="auto"/>
        </w:rPr>
      </w:pPr>
    </w:p>
    <w:p>
      <w:pPr>
        <w:ind w:right="580" w:firstLine="1751"/>
        <w:spacing w:after="0" w:line="288" w:lineRule="auto"/>
        <w:tabs>
          <w:tab w:leader="none" w:pos="2443"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Genentech Owned Invention</w:t>
      </w:r>
      <w:r>
        <w:rPr>
          <w:rFonts w:ascii="Arial" w:cs="Arial" w:eastAsia="Arial" w:hAnsi="Arial"/>
          <w:sz w:val="16"/>
          <w:szCs w:val="16"/>
          <w:color w:val="auto"/>
        </w:rPr>
        <w:t>” means a Collaboration Invention that relates [*] (A) [*] or (B) [*]. For clarity, any Collaboration Invention that [*] is a Genentech Owned Invention.</w:t>
      </w:r>
    </w:p>
    <w:p>
      <w:pPr>
        <w:spacing w:after="0" w:line="45" w:lineRule="exact"/>
        <w:rPr>
          <w:rFonts w:ascii="Arial" w:cs="Arial" w:eastAsia="Arial" w:hAnsi="Arial"/>
          <w:sz w:val="16"/>
          <w:szCs w:val="16"/>
          <w:b w:val="1"/>
          <w:bCs w:val="1"/>
          <w:color w:val="auto"/>
        </w:rPr>
      </w:pPr>
    </w:p>
    <w:p>
      <w:pPr>
        <w:ind w:right="280" w:firstLine="1751"/>
        <w:spacing w:after="0" w:line="271" w:lineRule="auto"/>
        <w:tabs>
          <w:tab w:leader="none" w:pos="2474"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Jointly Owned Invention</w:t>
      </w:r>
      <w:r>
        <w:rPr>
          <w:rFonts w:ascii="Arial" w:cs="Arial" w:eastAsia="Arial" w:hAnsi="Arial"/>
          <w:sz w:val="16"/>
          <w:szCs w:val="16"/>
          <w:color w:val="auto"/>
        </w:rPr>
        <w:t xml:space="preserve">” means a Collaboration Invention that relates to (A) [*] or (B) [*]. The term “Jointly Owned Inventions” </w:t>
      </w:r>
      <w:r>
        <w:rPr>
          <w:rFonts w:ascii="Arial" w:cs="Arial" w:eastAsia="Arial" w:hAnsi="Arial"/>
          <w:sz w:val="16"/>
          <w:szCs w:val="16"/>
          <w:i w:val="1"/>
          <w:iCs w:val="1"/>
          <w:color w:val="auto"/>
        </w:rPr>
        <w:t xml:space="preserve">excludes </w:t>
      </w:r>
      <w:r>
        <w:rPr>
          <w:rFonts w:ascii="Arial" w:cs="Arial" w:eastAsia="Arial" w:hAnsi="Arial"/>
          <w:sz w:val="16"/>
          <w:szCs w:val="16"/>
          <w:color w:val="auto"/>
        </w:rPr>
        <w:t>Genentech Owned Inventions and BioLineRx Owned Inventions. For clarity, any Collaboration Invention that [*] is a Jointly Owned Invention. All Jointly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Inventions are subject to the Joint Rights Agreement.</w:t>
      </w:r>
    </w:p>
    <w:p>
      <w:pPr>
        <w:spacing w:after="0" w:line="58" w:lineRule="exact"/>
        <w:rPr>
          <w:rFonts w:ascii="Arial" w:cs="Arial" w:eastAsia="Arial" w:hAnsi="Arial"/>
          <w:sz w:val="16"/>
          <w:szCs w:val="16"/>
          <w:b w:val="1"/>
          <w:bCs w:val="1"/>
          <w:color w:val="auto"/>
        </w:rPr>
      </w:pPr>
    </w:p>
    <w:p>
      <w:pPr>
        <w:ind w:left="2460" w:hanging="709"/>
        <w:spacing w:after="0"/>
        <w:tabs>
          <w:tab w:leader="none" w:pos="2460" w:val="left"/>
        </w:tabs>
        <w:numPr>
          <w:ilvl w:val="1"/>
          <w:numId w:val="16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color w:val="auto"/>
        </w:rPr>
        <w:t>Joint Rights Agreement</w:t>
      </w:r>
      <w:r>
        <w:rPr>
          <w:rFonts w:ascii="Arial" w:cs="Arial" w:eastAsia="Arial" w:hAnsi="Arial"/>
          <w:sz w:val="15"/>
          <w:szCs w:val="15"/>
          <w:color w:val="auto"/>
        </w:rPr>
        <w:t>” means the written agreement between the Parties setting forth the rights of the Parties with respect to any</w:t>
      </w:r>
    </w:p>
    <w:p>
      <w:pPr>
        <w:spacing w:after="0" w:line="38"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Jointly Owned Invention.</w:t>
      </w:r>
    </w:p>
    <w:p>
      <w:pPr>
        <w:spacing w:after="0" w:line="92" w:lineRule="exact"/>
        <w:rPr>
          <w:rFonts w:ascii="Arial" w:cs="Arial" w:eastAsia="Arial" w:hAnsi="Arial"/>
          <w:sz w:val="15"/>
          <w:szCs w:val="15"/>
          <w:b w:val="1"/>
          <w:bCs w:val="1"/>
          <w:color w:val="auto"/>
        </w:rPr>
      </w:pPr>
    </w:p>
    <w:p>
      <w:pPr>
        <w:ind w:left="2480" w:hanging="729"/>
        <w:spacing w:after="0"/>
        <w:tabs>
          <w:tab w:leader="none" w:pos="2480" w:val="left"/>
        </w:tabs>
        <w:numPr>
          <w:ilvl w:val="1"/>
          <w:numId w:val="16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color w:val="auto"/>
        </w:rPr>
        <w:t>Other Invention</w:t>
      </w:r>
      <w:r>
        <w:rPr>
          <w:rFonts w:ascii="Arial" w:cs="Arial" w:eastAsia="Arial" w:hAnsi="Arial"/>
          <w:sz w:val="15"/>
          <w:szCs w:val="15"/>
          <w:color w:val="auto"/>
        </w:rPr>
        <w:t>” means a Collaboration Invention that is not a Genentech Invention, a BioLineRx Invention or a Jointly Owned</w:t>
      </w:r>
    </w:p>
    <w:p>
      <w:pPr>
        <w:spacing w:after="0" w:line="38"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Invention.</w:t>
      </w:r>
    </w:p>
    <w:p>
      <w:pPr>
        <w:spacing w:after="0" w:line="92" w:lineRule="exact"/>
        <w:rPr>
          <w:rFonts w:ascii="Arial" w:cs="Arial" w:eastAsia="Arial" w:hAnsi="Arial"/>
          <w:sz w:val="15"/>
          <w:szCs w:val="15"/>
          <w:b w:val="1"/>
          <w:bCs w:val="1"/>
          <w:color w:val="auto"/>
        </w:rPr>
      </w:pPr>
    </w:p>
    <w:p>
      <w:pPr>
        <w:jc w:val="both"/>
        <w:ind w:left="140" w:right="20" w:firstLine="1172"/>
        <w:spacing w:after="0" w:line="271" w:lineRule="auto"/>
        <w:tabs>
          <w:tab w:leader="none" w:pos="1588"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Inventorship; Disclosure. </w:t>
      </w:r>
      <w:r>
        <w:rPr>
          <w:rFonts w:ascii="Arial" w:cs="Arial" w:eastAsia="Arial" w:hAnsi="Arial"/>
          <w:sz w:val="16"/>
          <w:szCs w:val="16"/>
          <w:color w:val="auto"/>
        </w:rPr>
        <w:t>The inventor, discoverer, conceiver or creator (collectively, “inventorship”) of Collaboration Inventions shall be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 Each Party shall promptly disclose to the other Party any Collaboration Inventions conceived, reduced to practice, discovered or otherwise created by such Party (directly or by another party on its behalf).</w:t>
      </w:r>
    </w:p>
    <w:p>
      <w:pPr>
        <w:spacing w:after="0" w:line="156" w:lineRule="exact"/>
        <w:rPr>
          <w:rFonts w:ascii="Arial" w:cs="Arial" w:eastAsia="Arial" w:hAnsi="Arial"/>
          <w:sz w:val="16"/>
          <w:szCs w:val="16"/>
          <w:b w:val="1"/>
          <w:bCs w:val="1"/>
          <w:color w:val="auto"/>
        </w:rPr>
      </w:pPr>
    </w:p>
    <w:p>
      <w:pPr>
        <w:jc w:val="both"/>
        <w:ind w:left="140" w:right="60" w:firstLine="1172"/>
        <w:spacing w:after="0" w:line="265" w:lineRule="auto"/>
        <w:tabs>
          <w:tab w:leader="none" w:pos="1611"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w:t>
      </w:r>
      <w:r>
        <w:rPr>
          <w:rFonts w:ascii="Arial" w:cs="Arial" w:eastAsia="Arial" w:hAnsi="Arial"/>
          <w:sz w:val="16"/>
          <w:szCs w:val="16"/>
          <w:color w:val="auto"/>
        </w:rPr>
        <w:t>As between the Parties, (i) Genentech and BioLineRx shall jointly own all right, title and interest in and to the Jointly Owned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Joint Rights Agreement; (ii) Genentech shall solely own all right, title and interest in and to the Genentech Owned Inventions; (iii) BioLineRx shall solely own all right, title and interest in and to the BioLineRx Owned Inventions; and (iv) which Party(ies) shall solely (or jointly) own all right, title and interest in and to a given Other Invention shall follow the inventorship of such Other Invention.</w:t>
      </w:r>
    </w:p>
    <w:p>
      <w:pPr>
        <w:spacing w:after="0" w:line="161" w:lineRule="exact"/>
        <w:rPr>
          <w:rFonts w:ascii="Arial" w:cs="Arial" w:eastAsia="Arial" w:hAnsi="Arial"/>
          <w:sz w:val="16"/>
          <w:szCs w:val="16"/>
          <w:b w:val="1"/>
          <w:bCs w:val="1"/>
          <w:color w:val="auto"/>
        </w:rPr>
      </w:pPr>
    </w:p>
    <w:p>
      <w:pPr>
        <w:ind w:left="140" w:right="40" w:firstLine="1172"/>
        <w:spacing w:after="0" w:line="261" w:lineRule="auto"/>
        <w:tabs>
          <w:tab w:leader="none" w:pos="1588"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Assignments and Cooperation. </w:t>
      </w:r>
      <w:r>
        <w:rPr>
          <w:rFonts w:ascii="Arial" w:cs="Arial" w:eastAsia="Arial" w:hAnsi="Arial"/>
          <w:sz w:val="16"/>
          <w:szCs w:val="16"/>
          <w:color w:val="auto"/>
        </w:rPr>
        <w:t>In accordance with the Joint Rights Agreement and this Article 6, each Party will assign to the other Party an</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interest in the Collaboration Inventions as necessary to effectuate ownership of the Collaboration Inventions as set forth in Section 6.1(c) and the Joint Rights Agreement. Each Party shall require its employees, Affiliates and other Third Parties to assign to such Party any Collaboration Inventions conceived, reduced to practice, discovered or otherwise created by such employees or other parties, and to cooperate with such Party in connection with obtaining patent protection therefor. The Parties will cooperate with each other to effectuate ownership of the Collaboration Inventions as set forth in Section 6.1(c) and the Joint Rights Agreement, including by executing and recording documents.</w:t>
      </w:r>
    </w:p>
    <w:p>
      <w:pPr>
        <w:spacing w:after="0" w:line="200" w:lineRule="exact"/>
        <w:rPr>
          <w:rFonts w:ascii="Arial" w:cs="Arial" w:eastAsia="Arial" w:hAnsi="Arial"/>
          <w:sz w:val="16"/>
          <w:szCs w:val="16"/>
          <w:b w:val="1"/>
          <w:bCs w:val="1"/>
          <w:color w:val="auto"/>
        </w:rPr>
      </w:pPr>
    </w:p>
    <w:p>
      <w:pPr>
        <w:spacing w:after="0" w:line="356" w:lineRule="exact"/>
        <w:rPr>
          <w:rFonts w:ascii="Arial" w:cs="Arial" w:eastAsia="Arial" w:hAnsi="Arial"/>
          <w:sz w:val="16"/>
          <w:szCs w:val="16"/>
          <w:b w:val="1"/>
          <w:bCs w:val="1"/>
          <w:color w:val="auto"/>
        </w:rPr>
      </w:pPr>
    </w:p>
    <w:p>
      <w:pPr>
        <w:ind w:left="5640" w:hanging="102"/>
        <w:spacing w:after="0"/>
        <w:tabs>
          <w:tab w:leader="none" w:pos="564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3"/>
        <w:spacing w:after="0"/>
        <w:tabs>
          <w:tab w:leader="none" w:pos="1342"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Use of Jointly Owned Inventions.</w:t>
      </w:r>
    </w:p>
    <w:p>
      <w:pPr>
        <w:spacing w:after="0" w:line="206" w:lineRule="exact"/>
        <w:rPr>
          <w:sz w:val="20"/>
          <w:szCs w:val="20"/>
          <w:color w:val="auto"/>
        </w:rPr>
      </w:pPr>
    </w:p>
    <w:p>
      <w:pPr>
        <w:ind w:left="1623" w:hanging="308"/>
        <w:spacing w:after="0"/>
        <w:tabs>
          <w:tab w:leader="none" w:pos="1623"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Subject to other provisions of Article 6 (including Section 6.2(b) and Section 6.4) and the Joint Rights Agreement, [*]</w:t>
      </w:r>
    </w:p>
    <w:p>
      <w:pPr>
        <w:spacing w:after="0" w:line="205" w:lineRule="exact"/>
        <w:rPr>
          <w:rFonts w:ascii="Arial" w:cs="Arial" w:eastAsia="Arial" w:hAnsi="Arial"/>
          <w:sz w:val="16"/>
          <w:szCs w:val="16"/>
          <w:b w:val="1"/>
          <w:bCs w:val="1"/>
          <w:color w:val="auto"/>
        </w:rPr>
      </w:pPr>
    </w:p>
    <w:p>
      <w:pPr>
        <w:ind w:left="143" w:right="40" w:firstLine="1172"/>
        <w:spacing w:after="0" w:line="288" w:lineRule="auto"/>
        <w:tabs>
          <w:tab w:leader="none" w:pos="1591"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w:t>
      </w:r>
      <w:r>
        <w:rPr>
          <w:rFonts w:ascii="Arial" w:cs="Arial" w:eastAsia="Arial" w:hAnsi="Arial"/>
          <w:sz w:val="16"/>
          <w:szCs w:val="16"/>
          <w:color w:val="auto"/>
        </w:rPr>
        <w:t>[*]. Notwithstanding anything to the contrary in the foregoing, a Party may assign or license to a Third Party [*] in conjunction with such</w:t>
      </w:r>
      <w:r>
        <w:rPr>
          <w:rFonts w:ascii="Arial" w:cs="Arial" w:eastAsia="Arial" w:hAnsi="Arial"/>
          <w:sz w:val="16"/>
          <w:szCs w:val="16"/>
          <w:b w:val="1"/>
          <w:bCs w:val="1"/>
          <w:color w:val="auto"/>
        </w:rPr>
        <w:t xml:space="preserve"> </w:t>
      </w:r>
      <w:r>
        <w:rPr>
          <w:rFonts w:ascii="Arial" w:cs="Arial" w:eastAsia="Arial" w:hAnsi="Arial"/>
          <w:sz w:val="16"/>
          <w:szCs w:val="16"/>
          <w:color w:val="auto"/>
        </w:rPr>
        <w:t>Party’s assignment or license, respectively, to such Third Party of all of its right, title and interest in and to such Party’s Compound.</w:t>
      </w:r>
    </w:p>
    <w:p>
      <w:pPr>
        <w:spacing w:after="0" w:line="143" w:lineRule="exact"/>
        <w:rPr>
          <w:sz w:val="20"/>
          <w:szCs w:val="20"/>
          <w:color w:val="auto"/>
        </w:rPr>
      </w:pPr>
    </w:p>
    <w:tbl>
      <w:tblPr>
        <w:tblLayout w:type="fixed"/>
        <w:tblInd w:w="583" w:type="dxa"/>
        <w:tblCellMar>
          <w:top w:w="0" w:type="dxa"/>
          <w:left w:w="0" w:type="dxa"/>
          <w:bottom w:w="0" w:type="dxa"/>
          <w:right w:w="0" w:type="dxa"/>
        </w:tblCellMar>
      </w:tblPr>
      <w:tr>
        <w:trPr>
          <w:trHeight w:val="211"/>
        </w:trPr>
        <w:tc>
          <w:tcPr>
            <w:tcW w:w="460" w:type="dxa"/>
            <w:vAlign w:val="bottom"/>
          </w:tcPr>
          <w:p>
            <w:pPr>
              <w:jc w:val="right"/>
              <w:ind w:right="179"/>
              <w:spacing w:after="0"/>
              <w:rPr>
                <w:sz w:val="20"/>
                <w:szCs w:val="20"/>
                <w:color w:val="auto"/>
              </w:rPr>
            </w:pPr>
            <w:r>
              <w:rPr>
                <w:rFonts w:ascii="Arial" w:cs="Arial" w:eastAsia="Arial" w:hAnsi="Arial"/>
                <w:sz w:val="16"/>
                <w:szCs w:val="16"/>
                <w:b w:val="1"/>
                <w:bCs w:val="1"/>
                <w:color w:val="auto"/>
                <w:w w:val="80"/>
              </w:rPr>
              <w:t>6.3</w:t>
            </w:r>
          </w:p>
        </w:tc>
        <w:tc>
          <w:tcPr>
            <w:tcW w:w="2900" w:type="dxa"/>
            <w:vAlign w:val="bottom"/>
          </w:tcPr>
          <w:p>
            <w:pPr>
              <w:ind w:left="320"/>
              <w:spacing w:after="0"/>
              <w:rPr>
                <w:sz w:val="20"/>
                <w:szCs w:val="20"/>
                <w:color w:val="auto"/>
              </w:rPr>
            </w:pPr>
            <w:r>
              <w:rPr>
                <w:rFonts w:ascii="Arial" w:cs="Arial" w:eastAsia="Arial" w:hAnsi="Arial"/>
                <w:sz w:val="16"/>
                <w:szCs w:val="16"/>
                <w:b w:val="1"/>
                <w:bCs w:val="1"/>
                <w:color w:val="auto"/>
              </w:rPr>
              <w:t>Covenant Not To Sue.</w:t>
            </w:r>
          </w:p>
        </w:tc>
      </w:tr>
      <w:tr>
        <w:trPr>
          <w:trHeight w:val="390"/>
        </w:trPr>
        <w:tc>
          <w:tcPr>
            <w:tcW w:w="460" w:type="dxa"/>
            <w:vAlign w:val="bottom"/>
          </w:tcPr>
          <w:p>
            <w:pPr>
              <w:spacing w:after="0"/>
              <w:rPr>
                <w:sz w:val="24"/>
                <w:szCs w:val="24"/>
                <w:color w:val="auto"/>
              </w:rPr>
            </w:pPr>
          </w:p>
        </w:tc>
        <w:tc>
          <w:tcPr>
            <w:tcW w:w="2900" w:type="dxa"/>
            <w:vAlign w:val="bottom"/>
          </w:tcPr>
          <w:p>
            <w:pPr>
              <w:ind w:left="280"/>
              <w:spacing w:after="0"/>
              <w:rPr>
                <w:sz w:val="20"/>
                <w:szCs w:val="20"/>
                <w:color w:val="auto"/>
              </w:rPr>
            </w:pPr>
            <w:r>
              <w:rPr>
                <w:rFonts w:ascii="Arial" w:cs="Arial" w:eastAsia="Arial" w:hAnsi="Arial"/>
                <w:sz w:val="16"/>
                <w:szCs w:val="16"/>
                <w:b w:val="1"/>
                <w:bCs w:val="1"/>
                <w:color w:val="auto"/>
              </w:rPr>
              <w:t xml:space="preserve">(a)  Covenant Not to Sue. </w:t>
            </w:r>
            <w:r>
              <w:rPr>
                <w:rFonts w:ascii="Arial" w:cs="Arial" w:eastAsia="Arial" w:hAnsi="Arial"/>
                <w:sz w:val="16"/>
                <w:szCs w:val="16"/>
                <w:color w:val="auto"/>
              </w:rPr>
              <w:t>[*]</w:t>
            </w:r>
          </w:p>
        </w:tc>
      </w:tr>
      <w:tr>
        <w:trPr>
          <w:trHeight w:val="390"/>
        </w:trPr>
        <w:tc>
          <w:tcPr>
            <w:tcW w:w="460" w:type="dxa"/>
            <w:vAlign w:val="bottom"/>
          </w:tcPr>
          <w:p>
            <w:pPr>
              <w:jc w:val="right"/>
              <w:ind w:right="179"/>
              <w:spacing w:after="0"/>
              <w:rPr>
                <w:sz w:val="20"/>
                <w:szCs w:val="20"/>
                <w:color w:val="auto"/>
              </w:rPr>
            </w:pPr>
            <w:r>
              <w:rPr>
                <w:rFonts w:ascii="Arial" w:cs="Arial" w:eastAsia="Arial" w:hAnsi="Arial"/>
                <w:sz w:val="16"/>
                <w:szCs w:val="16"/>
                <w:b w:val="1"/>
                <w:bCs w:val="1"/>
                <w:color w:val="auto"/>
                <w:w w:val="80"/>
              </w:rPr>
              <w:t>6.4</w:t>
            </w:r>
          </w:p>
        </w:tc>
        <w:tc>
          <w:tcPr>
            <w:tcW w:w="2900" w:type="dxa"/>
            <w:vAlign w:val="bottom"/>
          </w:tcPr>
          <w:p>
            <w:pPr>
              <w:ind w:left="320"/>
              <w:spacing w:after="0"/>
              <w:rPr>
                <w:sz w:val="20"/>
                <w:szCs w:val="20"/>
                <w:color w:val="auto"/>
              </w:rPr>
            </w:pPr>
            <w:r>
              <w:rPr>
                <w:rFonts w:ascii="Arial" w:cs="Arial" w:eastAsia="Arial" w:hAnsi="Arial"/>
                <w:sz w:val="16"/>
                <w:szCs w:val="16"/>
                <w:b w:val="1"/>
                <w:bCs w:val="1"/>
                <w:color w:val="auto"/>
                <w:w w:val="89"/>
              </w:rPr>
              <w:t>Patent Prosecution and Maintenance.</w:t>
            </w:r>
          </w:p>
        </w:tc>
      </w:tr>
    </w:tbl>
    <w:p>
      <w:pPr>
        <w:spacing w:after="0" w:line="179" w:lineRule="exact"/>
        <w:rPr>
          <w:sz w:val="20"/>
          <w:szCs w:val="20"/>
          <w:color w:val="auto"/>
        </w:rPr>
      </w:pPr>
    </w:p>
    <w:p>
      <w:pPr>
        <w:ind w:left="1623" w:hanging="308"/>
        <w:spacing w:after="0"/>
        <w:tabs>
          <w:tab w:leader="none" w:pos="1623" w:val="left"/>
        </w:tabs>
        <w:numPr>
          <w:ilvl w:val="1"/>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definitions in this Section 6.1 are for purposes of Article 6 (and as referenced in Article 1):</w:t>
      </w:r>
    </w:p>
    <w:p>
      <w:pPr>
        <w:spacing w:after="0" w:line="205" w:lineRule="exact"/>
        <w:rPr>
          <w:rFonts w:ascii="Arial" w:cs="Arial" w:eastAsia="Arial" w:hAnsi="Arial"/>
          <w:sz w:val="16"/>
          <w:szCs w:val="16"/>
          <w:b w:val="1"/>
          <w:bCs w:val="1"/>
          <w:color w:val="auto"/>
        </w:rPr>
      </w:pPr>
    </w:p>
    <w:p>
      <w:pPr>
        <w:ind w:left="2443" w:hanging="689"/>
        <w:spacing w:after="0"/>
        <w:tabs>
          <w:tab w:leader="none" w:pos="2443" w:val="left"/>
        </w:tabs>
        <w:numPr>
          <w:ilvl w:val="2"/>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Outside Patent Counsel</w:t>
      </w:r>
      <w:r>
        <w:rPr>
          <w:rFonts w:ascii="Arial" w:cs="Arial" w:eastAsia="Arial" w:hAnsi="Arial"/>
          <w:sz w:val="16"/>
          <w:szCs w:val="16"/>
          <w:color w:val="auto"/>
        </w:rPr>
        <w:t>” means outside patent counsel agreed to in writing by Genentech and BioLineRx.</w:t>
      </w:r>
    </w:p>
    <w:p>
      <w:pPr>
        <w:spacing w:after="0" w:line="108" w:lineRule="exact"/>
        <w:rPr>
          <w:rFonts w:ascii="Arial" w:cs="Arial" w:eastAsia="Arial" w:hAnsi="Arial"/>
          <w:sz w:val="16"/>
          <w:szCs w:val="16"/>
          <w:b w:val="1"/>
          <w:bCs w:val="1"/>
          <w:color w:val="auto"/>
        </w:rPr>
      </w:pPr>
    </w:p>
    <w:p>
      <w:pPr>
        <w:ind w:left="2443" w:hanging="689"/>
        <w:spacing w:after="0"/>
        <w:tabs>
          <w:tab w:leader="none" w:pos="2443" w:val="left"/>
        </w:tabs>
        <w:numPr>
          <w:ilvl w:val="2"/>
          <w:numId w:val="1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Prosecution and Maintenance</w:t>
      </w:r>
      <w:r>
        <w:rPr>
          <w:rFonts w:ascii="Arial" w:cs="Arial" w:eastAsia="Arial" w:hAnsi="Arial"/>
          <w:sz w:val="16"/>
          <w:szCs w:val="16"/>
          <w:color w:val="auto"/>
        </w:rPr>
        <w:t>” or “</w:t>
      </w:r>
      <w:r>
        <w:rPr>
          <w:rFonts w:ascii="Arial" w:cs="Arial" w:eastAsia="Arial" w:hAnsi="Arial"/>
          <w:sz w:val="16"/>
          <w:szCs w:val="16"/>
          <w:b w:val="1"/>
          <w:bCs w:val="1"/>
          <w:color w:val="auto"/>
        </w:rPr>
        <w:t>Prosecute and Maintain</w:t>
      </w:r>
      <w:r>
        <w:rPr>
          <w:rFonts w:ascii="Arial" w:cs="Arial" w:eastAsia="Arial" w:hAnsi="Arial"/>
          <w:sz w:val="16"/>
          <w:szCs w:val="16"/>
          <w:color w:val="auto"/>
        </w:rPr>
        <w:t>,” with regard to a given Patent, means [*]</w:t>
      </w:r>
    </w:p>
    <w:p>
      <w:pPr>
        <w:spacing w:after="0" w:line="108" w:lineRule="exact"/>
        <w:rPr>
          <w:rFonts w:ascii="Arial" w:cs="Arial" w:eastAsia="Arial" w:hAnsi="Arial"/>
          <w:sz w:val="16"/>
          <w:szCs w:val="16"/>
          <w:b w:val="1"/>
          <w:bCs w:val="1"/>
          <w:color w:val="auto"/>
        </w:rPr>
      </w:pPr>
    </w:p>
    <w:p>
      <w:pPr>
        <w:ind w:left="143" w:right="320" w:firstLine="1172"/>
        <w:spacing w:after="0" w:line="324" w:lineRule="auto"/>
        <w:tabs>
          <w:tab w:leader="none" w:pos="1591" w:val="left"/>
        </w:tabs>
        <w:numPr>
          <w:ilvl w:val="1"/>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Solely Owned Inventions. </w:t>
      </w:r>
      <w:r>
        <w:rPr>
          <w:rFonts w:ascii="Arial" w:cs="Arial" w:eastAsia="Arial" w:hAnsi="Arial"/>
          <w:sz w:val="15"/>
          <w:szCs w:val="15"/>
          <w:color w:val="auto"/>
        </w:rPr>
        <w:t>Each Party, in its sole discretion and [*] has the right (but not the obligation) to Prosecute and Maintain any Patents for</w:t>
      </w:r>
      <w:r>
        <w:rPr>
          <w:rFonts w:ascii="Arial" w:cs="Arial" w:eastAsia="Arial" w:hAnsi="Arial"/>
          <w:sz w:val="15"/>
          <w:szCs w:val="15"/>
          <w:b w:val="1"/>
          <w:bCs w:val="1"/>
          <w:color w:val="auto"/>
        </w:rPr>
        <w:t xml:space="preserve"> </w:t>
      </w:r>
      <w:r>
        <w:rPr>
          <w:rFonts w:ascii="Arial" w:cs="Arial" w:eastAsia="Arial" w:hAnsi="Arial"/>
          <w:sz w:val="15"/>
          <w:szCs w:val="15"/>
          <w:color w:val="auto"/>
        </w:rPr>
        <w:t>Collaboration Inventions that such Party solely owns, including the right to use Study Data and Sample Data in such Prosecution and Maintenance.</w:t>
      </w:r>
    </w:p>
    <w:p>
      <w:pPr>
        <w:spacing w:after="0" w:line="118" w:lineRule="exact"/>
        <w:rPr>
          <w:rFonts w:ascii="Arial" w:cs="Arial" w:eastAsia="Arial" w:hAnsi="Arial"/>
          <w:sz w:val="15"/>
          <w:szCs w:val="15"/>
          <w:b w:val="1"/>
          <w:bCs w:val="1"/>
          <w:color w:val="auto"/>
        </w:rPr>
      </w:pPr>
    </w:p>
    <w:p>
      <w:pPr>
        <w:jc w:val="both"/>
        <w:ind w:left="143" w:right="280" w:firstLine="1172"/>
        <w:spacing w:after="0" w:line="271" w:lineRule="auto"/>
        <w:tabs>
          <w:tab w:leader="none" w:pos="1613" w:val="left"/>
        </w:tabs>
        <w:numPr>
          <w:ilvl w:val="1"/>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Jointly Owned Inventions. </w:t>
      </w:r>
      <w:r>
        <w:rPr>
          <w:rFonts w:ascii="Arial" w:cs="Arial" w:eastAsia="Arial" w:hAnsi="Arial"/>
          <w:sz w:val="16"/>
          <w:szCs w:val="16"/>
          <w:color w:val="auto"/>
        </w:rPr>
        <w:t>The provisions of this Section 6.4(c) and the Joint Rights Agreement apply to the Prosecution and Maintenance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for Jointly Owned Inventions (each, a “</w:t>
      </w:r>
      <w:r>
        <w:rPr>
          <w:rFonts w:ascii="Arial" w:cs="Arial" w:eastAsia="Arial" w:hAnsi="Arial"/>
          <w:sz w:val="16"/>
          <w:szCs w:val="16"/>
          <w:b w:val="1"/>
          <w:bCs w:val="1"/>
          <w:color w:val="auto"/>
        </w:rPr>
        <w:t>Joint Patent</w:t>
      </w:r>
      <w:r>
        <w:rPr>
          <w:rFonts w:ascii="Arial" w:cs="Arial" w:eastAsia="Arial" w:hAnsi="Arial"/>
          <w:sz w:val="16"/>
          <w:szCs w:val="16"/>
          <w:color w:val="auto"/>
        </w:rPr>
        <w:t>”), and in the event of a conflict or inconsistency, such Prosecution and Maintenance of Joint Patents shall be governed by the Joint Rights Agreement.</w:t>
      </w:r>
    </w:p>
    <w:p>
      <w:pPr>
        <w:spacing w:after="0" w:line="156" w:lineRule="exact"/>
        <w:rPr>
          <w:rFonts w:ascii="Arial" w:cs="Arial" w:eastAsia="Arial" w:hAnsi="Arial"/>
          <w:sz w:val="16"/>
          <w:szCs w:val="16"/>
          <w:b w:val="1"/>
          <w:bCs w:val="1"/>
          <w:color w:val="auto"/>
        </w:rPr>
      </w:pPr>
    </w:p>
    <w:p>
      <w:pPr>
        <w:ind w:left="3" w:right="300" w:firstLine="1751"/>
        <w:spacing w:after="0" w:line="271" w:lineRule="auto"/>
        <w:tabs>
          <w:tab w:leader="none" w:pos="2437" w:val="left"/>
        </w:tabs>
        <w:numPr>
          <w:ilvl w:val="2"/>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Prosecution and Maintenance. </w:t>
      </w:r>
      <w:r>
        <w:rPr>
          <w:rFonts w:ascii="Arial" w:cs="Arial" w:eastAsia="Arial" w:hAnsi="Arial"/>
          <w:sz w:val="16"/>
          <w:szCs w:val="16"/>
          <w:color w:val="auto"/>
        </w:rPr>
        <w:t>The Parties shall [*]. Notwithstanding anything to the contrary herein, in the event that, for all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particular activities, one Party wants to retain Outside Patent Counsel and the other Party does not want to retain Outside Patent Counsel, Outside Patent Counsel shall be retained for such activities; provided, however, [*]</w:t>
      </w:r>
    </w:p>
    <w:p>
      <w:pPr>
        <w:spacing w:after="0" w:line="58" w:lineRule="exact"/>
        <w:rPr>
          <w:rFonts w:ascii="Arial" w:cs="Arial" w:eastAsia="Arial" w:hAnsi="Arial"/>
          <w:sz w:val="16"/>
          <w:szCs w:val="16"/>
          <w:b w:val="1"/>
          <w:bCs w:val="1"/>
          <w:color w:val="auto"/>
        </w:rPr>
      </w:pPr>
    </w:p>
    <w:p>
      <w:pPr>
        <w:ind w:left="2443" w:hanging="689"/>
        <w:spacing w:after="0"/>
        <w:tabs>
          <w:tab w:leader="none" w:pos="2443" w:val="left"/>
        </w:tabs>
        <w:numPr>
          <w:ilvl w:val="2"/>
          <w:numId w:val="16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Cooperation. </w:t>
      </w:r>
      <w:r>
        <w:rPr>
          <w:rFonts w:ascii="Arial" w:cs="Arial" w:eastAsia="Arial" w:hAnsi="Arial"/>
          <w:sz w:val="14"/>
          <w:szCs w:val="14"/>
          <w:color w:val="auto"/>
        </w:rPr>
        <w:t>Each Party shall cooperate with and assist the other Party in the Prosecution and Maintenance of any Joint Patent, including</w:t>
      </w:r>
    </w:p>
    <w:p>
      <w:pPr>
        <w:spacing w:after="0" w:line="49" w:lineRule="exact"/>
        <w:rPr>
          <w:rFonts w:ascii="Arial" w:cs="Arial" w:eastAsia="Arial" w:hAnsi="Arial"/>
          <w:sz w:val="14"/>
          <w:szCs w:val="14"/>
          <w:b w:val="1"/>
          <w:bCs w:val="1"/>
          <w:color w:val="auto"/>
        </w:rPr>
      </w:pPr>
    </w:p>
    <w:p>
      <w:pPr>
        <w:ind w:left="3" w:right="180" w:hanging="3"/>
        <w:spacing w:after="0" w:line="261" w:lineRule="auto"/>
        <w:tabs>
          <w:tab w:leader="none" w:pos="26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consulting with the other Party after receiving any substantial action or development in the Prosecution and Maintenance of such Patent and (B) making its relevant scientists and scientific records reasonably available. In addition, each Party shall sign and deliver, or use commercially reasonable efforts to have signed and delivered, at no charge to the other Party, all documents necessary in connection with such Prosecution and Maintenance.</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43" w:hanging="102"/>
        <w:spacing w:after="0"/>
        <w:tabs>
          <w:tab w:leader="none" w:pos="5643" w:val="left"/>
        </w:tabs>
        <w:numPr>
          <w:ilvl w:val="3"/>
          <w:numId w:val="168"/>
        </w:numPr>
        <w:rPr>
          <w:rFonts w:ascii="Arial" w:cs="Arial" w:eastAsia="Arial" w:hAnsi="Arial"/>
          <w:sz w:val="16"/>
          <w:szCs w:val="16"/>
          <w:color w:val="auto"/>
        </w:rPr>
      </w:pPr>
      <w:r>
        <w:rPr>
          <w:rFonts w:ascii="Arial" w:cs="Arial" w:eastAsia="Arial" w:hAnsi="Arial"/>
          <w:sz w:val="16"/>
          <w:szCs w:val="16"/>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color w:val="auto"/>
        </w:rPr>
        <w:t>CONFIDENTIAL</w:t>
      </w:r>
    </w:p>
    <w:p>
      <w:pPr>
        <w:spacing w:after="0" w:line="104" w:lineRule="exact"/>
        <w:rPr>
          <w:sz w:val="20"/>
          <w:szCs w:val="20"/>
          <w:color w:val="auto"/>
        </w:rPr>
      </w:pPr>
    </w:p>
    <w:p>
      <w:pPr>
        <w:ind w:left="2443" w:hanging="689"/>
        <w:spacing w:after="0"/>
        <w:tabs>
          <w:tab w:leader="none" w:pos="2443" w:val="left"/>
        </w:tabs>
        <w:numPr>
          <w:ilvl w:val="2"/>
          <w:numId w:val="16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Instructions to Outside Patent Counsel. </w:t>
      </w:r>
      <w:r>
        <w:rPr>
          <w:rFonts w:ascii="Arial" w:cs="Arial" w:eastAsia="Arial" w:hAnsi="Arial"/>
          <w:sz w:val="15"/>
          <w:szCs w:val="15"/>
          <w:color w:val="auto"/>
        </w:rPr>
        <w:t>With respect to any Joint Patent, the Outside Patent Counsel (if any) shall be instructed to</w:t>
      </w:r>
    </w:p>
    <w:p>
      <w:pPr>
        <w:spacing w:after="0" w:line="38" w:lineRule="exact"/>
        <w:rPr>
          <w:rFonts w:ascii="Arial" w:cs="Arial" w:eastAsia="Arial" w:hAnsi="Arial"/>
          <w:sz w:val="15"/>
          <w:szCs w:val="15"/>
          <w:b w:val="1"/>
          <w:bCs w:val="1"/>
          <w:color w:val="auto"/>
        </w:rPr>
      </w:pPr>
    </w:p>
    <w:p>
      <w:pPr>
        <w:ind w:left="3" w:right="260" w:hanging="3"/>
        <w:spacing w:after="0" w:line="261" w:lineRule="auto"/>
        <w:tabs>
          <w:tab w:leader="none" w:pos="26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keep the Parties informed regarding the Prosecution and Maintenance thereof; (B) promptly furnish to each Party a copy of such Joint Patent and copies of documents relevant to such Prosecution and Maintenance, including copies of correspondence with any patent office, foreign associates and outside counsel; and (C) act on the Parties’ instructions relating to such Prosecution and Maintenance.</w:t>
      </w:r>
    </w:p>
    <w:p>
      <w:pPr>
        <w:spacing w:after="0" w:line="65" w:lineRule="exact"/>
        <w:rPr>
          <w:rFonts w:ascii="Arial" w:cs="Arial" w:eastAsia="Arial" w:hAnsi="Arial"/>
          <w:sz w:val="16"/>
          <w:szCs w:val="16"/>
          <w:color w:val="auto"/>
        </w:rPr>
      </w:pPr>
    </w:p>
    <w:p>
      <w:pPr>
        <w:ind w:left="2483" w:hanging="729"/>
        <w:spacing w:after="0"/>
        <w:tabs>
          <w:tab w:leader="none" w:pos="2483" w:val="left"/>
        </w:tabs>
        <w:numPr>
          <w:ilvl w:val="2"/>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Costs. </w:t>
      </w:r>
      <w:r>
        <w:rPr>
          <w:rFonts w:ascii="Arial" w:cs="Arial" w:eastAsia="Arial" w:hAnsi="Arial"/>
          <w:sz w:val="16"/>
          <w:szCs w:val="16"/>
          <w:color w:val="auto"/>
        </w:rPr>
        <w:t>Except as provided in Section 6.4(c)(v) or as otherwise mutually agreed by the Parties in writing, the Parties [*]</w:t>
      </w:r>
    </w:p>
    <w:p>
      <w:pPr>
        <w:spacing w:after="0" w:line="108" w:lineRule="exact"/>
        <w:rPr>
          <w:rFonts w:ascii="Arial" w:cs="Arial" w:eastAsia="Arial" w:hAnsi="Arial"/>
          <w:sz w:val="16"/>
          <w:szCs w:val="16"/>
          <w:b w:val="1"/>
          <w:bCs w:val="1"/>
          <w:color w:val="auto"/>
        </w:rPr>
      </w:pPr>
    </w:p>
    <w:p>
      <w:pPr>
        <w:ind w:left="3" w:firstLine="1751"/>
        <w:spacing w:after="0" w:line="275" w:lineRule="auto"/>
        <w:tabs>
          <w:tab w:leader="none" w:pos="2464" w:val="left"/>
        </w:tabs>
        <w:numPr>
          <w:ilvl w:val="2"/>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Assignment to One Party. </w:t>
      </w:r>
      <w:r>
        <w:rPr>
          <w:rFonts w:ascii="Arial" w:cs="Arial" w:eastAsia="Arial" w:hAnsi="Arial"/>
          <w:sz w:val="15"/>
          <w:szCs w:val="15"/>
          <w:color w:val="auto"/>
        </w:rPr>
        <w:t>In the event that one Party (for purposes of this Section 6.4, the “</w:t>
      </w:r>
      <w:r>
        <w:rPr>
          <w:rFonts w:ascii="Arial" w:cs="Arial" w:eastAsia="Arial" w:hAnsi="Arial"/>
          <w:sz w:val="15"/>
          <w:szCs w:val="15"/>
          <w:b w:val="1"/>
          <w:bCs w:val="1"/>
          <w:color w:val="auto"/>
        </w:rPr>
        <w:t>Filing Party</w:t>
      </w:r>
      <w:r>
        <w:rPr>
          <w:rFonts w:ascii="Arial" w:cs="Arial" w:eastAsia="Arial" w:hAnsi="Arial"/>
          <w:sz w:val="15"/>
          <w:szCs w:val="15"/>
          <w:color w:val="auto"/>
        </w:rPr>
        <w:t>”) wishes to file a patent</w:t>
      </w:r>
      <w:r>
        <w:rPr>
          <w:rFonts w:ascii="Arial" w:cs="Arial" w:eastAsia="Arial" w:hAnsi="Arial"/>
          <w:sz w:val="15"/>
          <w:szCs w:val="15"/>
          <w:b w:val="1"/>
          <w:bCs w:val="1"/>
          <w:color w:val="auto"/>
        </w:rPr>
        <w:t xml:space="preserve"> </w:t>
      </w:r>
      <w:r>
        <w:rPr>
          <w:rFonts w:ascii="Arial" w:cs="Arial" w:eastAsia="Arial" w:hAnsi="Arial"/>
          <w:sz w:val="15"/>
          <w:szCs w:val="15"/>
          <w:color w:val="auto"/>
        </w:rPr>
        <w:t>application for a given Jointly Owned Invention and the other Party (for purposes of this Section 6.4, the “</w:t>
      </w:r>
      <w:r>
        <w:rPr>
          <w:rFonts w:ascii="Arial" w:cs="Arial" w:eastAsia="Arial" w:hAnsi="Arial"/>
          <w:sz w:val="15"/>
          <w:szCs w:val="15"/>
          <w:b w:val="1"/>
          <w:bCs w:val="1"/>
          <w:color w:val="auto"/>
        </w:rPr>
        <w:t>Non-Filing Party</w:t>
      </w:r>
      <w:r>
        <w:rPr>
          <w:rFonts w:ascii="Arial" w:cs="Arial" w:eastAsia="Arial" w:hAnsi="Arial"/>
          <w:sz w:val="15"/>
          <w:szCs w:val="15"/>
          <w:color w:val="auto"/>
        </w:rPr>
        <w:t>”) does not wish to file such patent application in any countries or in particular countries, the Non-Filing Party shall execute such documents and perform such acts, at the Filing Party’s expense, as may be reasonably necessary to effect an assignment of such Jointly Owned Invention (including applicable patent applications) to the Filing Party in all applicable countries, in a timely manner, to allow the Filing Party to Prosecute and Maintain such patent applications, at the Filing Party’s expense. Likewise, if a Party (for purposes of this Section 6.4, the “</w:t>
      </w:r>
      <w:r>
        <w:rPr>
          <w:rFonts w:ascii="Arial" w:cs="Arial" w:eastAsia="Arial" w:hAnsi="Arial"/>
          <w:sz w:val="15"/>
          <w:szCs w:val="15"/>
          <w:b w:val="1"/>
          <w:bCs w:val="1"/>
          <w:color w:val="auto"/>
        </w:rPr>
        <w:t>Opting-Out</w:t>
      </w:r>
      <w:r>
        <w:rPr>
          <w:rFonts w:ascii="Arial" w:cs="Arial" w:eastAsia="Arial" w:hAnsi="Arial"/>
          <w:sz w:val="15"/>
          <w:szCs w:val="15"/>
          <w:color w:val="auto"/>
        </w:rPr>
        <w:t xml:space="preserve"> </w:t>
      </w:r>
      <w:r>
        <w:rPr>
          <w:rFonts w:ascii="Arial" w:cs="Arial" w:eastAsia="Arial" w:hAnsi="Arial"/>
          <w:sz w:val="15"/>
          <w:szCs w:val="15"/>
          <w:b w:val="1"/>
          <w:bCs w:val="1"/>
          <w:color w:val="auto"/>
        </w:rPr>
        <w:t>Party</w:t>
      </w:r>
      <w:r>
        <w:rPr>
          <w:rFonts w:ascii="Arial" w:cs="Arial" w:eastAsia="Arial" w:hAnsi="Arial"/>
          <w:sz w:val="15"/>
          <w:szCs w:val="15"/>
          <w:color w:val="auto"/>
        </w:rPr>
        <w:t>”) wishes to discontinue the Prosecution and Maintenance of a patent application for a given Jointly Owned Invention in any countries or in particular countries, the other</w:t>
      </w:r>
      <w:r>
        <w:rPr>
          <w:rFonts w:ascii="Arial" w:cs="Arial" w:eastAsia="Arial" w:hAnsi="Arial"/>
          <w:sz w:val="15"/>
          <w:szCs w:val="15"/>
          <w:b w:val="1"/>
          <w:bCs w:val="1"/>
          <w:color w:val="auto"/>
        </w:rPr>
        <w:t xml:space="preserve"> </w:t>
      </w:r>
      <w:r>
        <w:rPr>
          <w:rFonts w:ascii="Arial" w:cs="Arial" w:eastAsia="Arial" w:hAnsi="Arial"/>
          <w:sz w:val="15"/>
          <w:szCs w:val="15"/>
          <w:color w:val="auto"/>
        </w:rPr>
        <w:t>Party, at its sole option (for purposes of this Section 6.4, the “</w:t>
      </w:r>
      <w:r>
        <w:rPr>
          <w:rFonts w:ascii="Arial" w:cs="Arial" w:eastAsia="Arial" w:hAnsi="Arial"/>
          <w:sz w:val="15"/>
          <w:szCs w:val="15"/>
          <w:b w:val="1"/>
          <w:bCs w:val="1"/>
          <w:color w:val="auto"/>
        </w:rPr>
        <w:t>Continuing Party</w:t>
      </w:r>
      <w:r>
        <w:rPr>
          <w:rFonts w:ascii="Arial" w:cs="Arial" w:eastAsia="Arial" w:hAnsi="Arial"/>
          <w:sz w:val="15"/>
          <w:szCs w:val="15"/>
          <w:color w:val="auto"/>
        </w:rPr>
        <w:t>”), may continue such Prosecution and Maintenance. In such event, the Opting-Out Party shall execute such documents and perform such acts, at the Continuing Party’s expense, as may be reasonably necessary to effect an assignment of such Jointly Owned Invention (including applicable patent applications) to the Continuing Party in all applicable countries, in a timely manner, to allow the Continuing Party to Prosecute and Maintain such patent applications, at the Continuing Party’s expense. The Non-Filing Party and the Opting-Out Party (as applicable) shall be entitled to receive copies of all patent applications filed and all related Prosecution and Maintenance documents. Any Jointly Owned Invention (including applicable patent applications) so assigned shall thereafter be owned solely by the Filing Party or Continuing Party (as applicable), and the Non-Filing Party or the Opting-Out Party (as applicable) [*]</w:t>
      </w:r>
    </w:p>
    <w:p>
      <w:pPr>
        <w:spacing w:after="0" w:line="63" w:lineRule="exact"/>
        <w:rPr>
          <w:rFonts w:ascii="Arial" w:cs="Arial" w:eastAsia="Arial" w:hAnsi="Arial"/>
          <w:sz w:val="15"/>
          <w:szCs w:val="15"/>
          <w:b w:val="1"/>
          <w:bCs w:val="1"/>
          <w:color w:val="auto"/>
        </w:rPr>
      </w:pPr>
    </w:p>
    <w:p>
      <w:pPr>
        <w:ind w:left="143" w:right="140" w:firstLine="1172"/>
        <w:spacing w:after="0" w:line="288" w:lineRule="auto"/>
        <w:tabs>
          <w:tab w:leader="none" w:pos="1591" w:val="left"/>
        </w:tabs>
        <w:numPr>
          <w:ilvl w:val="1"/>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Patent Prosecution. </w:t>
      </w:r>
      <w:r>
        <w:rPr>
          <w:rFonts w:ascii="Arial" w:cs="Arial" w:eastAsia="Arial" w:hAnsi="Arial"/>
          <w:sz w:val="16"/>
          <w:szCs w:val="16"/>
          <w:color w:val="auto"/>
        </w:rPr>
        <w:t>Notwithstanding anything to the contrary in Section 5.1(b) and Section 5.2(b), and except as expressly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 6.4(b) and Section 6.4(c), without the prior written consent of the other Party:</w:t>
      </w:r>
    </w:p>
    <w:p>
      <w:pPr>
        <w:spacing w:after="0" w:line="146" w:lineRule="exact"/>
        <w:rPr>
          <w:rFonts w:ascii="Arial" w:cs="Arial" w:eastAsia="Arial" w:hAnsi="Arial"/>
          <w:sz w:val="16"/>
          <w:szCs w:val="16"/>
          <w:b w:val="1"/>
          <w:bCs w:val="1"/>
          <w:color w:val="auto"/>
        </w:rPr>
      </w:pPr>
    </w:p>
    <w:p>
      <w:pPr>
        <w:ind w:left="2443" w:hanging="689"/>
        <w:spacing w:after="0"/>
        <w:tabs>
          <w:tab w:leader="none" w:pos="2443" w:val="left"/>
        </w:tabs>
        <w:numPr>
          <w:ilvl w:val="2"/>
          <w:numId w:val="171"/>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108" w:lineRule="exact"/>
        <w:rPr>
          <w:rFonts w:ascii="Arial" w:cs="Arial" w:eastAsia="Arial" w:hAnsi="Arial"/>
          <w:sz w:val="16"/>
          <w:szCs w:val="16"/>
          <w:b w:val="1"/>
          <w:bCs w:val="1"/>
          <w:color w:val="auto"/>
        </w:rPr>
      </w:pPr>
    </w:p>
    <w:p>
      <w:pPr>
        <w:ind w:left="2443" w:hanging="689"/>
        <w:spacing w:after="0"/>
        <w:tabs>
          <w:tab w:leader="none" w:pos="2443" w:val="left"/>
        </w:tabs>
        <w:numPr>
          <w:ilvl w:val="2"/>
          <w:numId w:val="171"/>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108" w:lineRule="exact"/>
        <w:rPr>
          <w:rFonts w:ascii="Arial" w:cs="Arial" w:eastAsia="Arial" w:hAnsi="Arial"/>
          <w:sz w:val="16"/>
          <w:szCs w:val="16"/>
          <w:b w:val="1"/>
          <w:bCs w:val="1"/>
          <w:color w:val="auto"/>
        </w:rPr>
      </w:pPr>
    </w:p>
    <w:p>
      <w:pPr>
        <w:ind w:left="2443" w:hanging="689"/>
        <w:spacing w:after="0"/>
        <w:tabs>
          <w:tab w:leader="none" w:pos="2443" w:val="left"/>
        </w:tabs>
        <w:numPr>
          <w:ilvl w:val="2"/>
          <w:numId w:val="171"/>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108" w:lineRule="exact"/>
        <w:rPr>
          <w:rFonts w:ascii="Arial" w:cs="Arial" w:eastAsia="Arial" w:hAnsi="Arial"/>
          <w:sz w:val="16"/>
          <w:szCs w:val="16"/>
          <w:b w:val="1"/>
          <w:bCs w:val="1"/>
          <w:color w:val="auto"/>
        </w:rPr>
      </w:pPr>
    </w:p>
    <w:p>
      <w:pPr>
        <w:ind w:left="2483" w:hanging="729"/>
        <w:spacing w:after="0"/>
        <w:tabs>
          <w:tab w:leader="none" w:pos="2483" w:val="left"/>
        </w:tabs>
        <w:numPr>
          <w:ilvl w:val="2"/>
          <w:numId w:val="171"/>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200" w:lineRule="exact"/>
        <w:rPr>
          <w:rFonts w:ascii="Arial" w:cs="Arial" w:eastAsia="Arial" w:hAnsi="Arial"/>
          <w:sz w:val="16"/>
          <w:szCs w:val="16"/>
          <w:b w:val="1"/>
          <w:bCs w:val="1"/>
          <w:color w:val="auto"/>
        </w:rPr>
      </w:pPr>
    </w:p>
    <w:p>
      <w:pPr>
        <w:spacing w:after="0" w:line="261" w:lineRule="exact"/>
        <w:rPr>
          <w:rFonts w:ascii="Arial" w:cs="Arial" w:eastAsia="Arial" w:hAnsi="Arial"/>
          <w:sz w:val="16"/>
          <w:szCs w:val="16"/>
          <w:b w:val="1"/>
          <w:bCs w:val="1"/>
          <w:color w:val="auto"/>
        </w:rPr>
      </w:pPr>
    </w:p>
    <w:p>
      <w:pPr>
        <w:ind w:left="5643" w:hanging="102"/>
        <w:spacing w:after="0"/>
        <w:tabs>
          <w:tab w:leader="none" w:pos="5643" w:val="left"/>
        </w:tabs>
        <w:numPr>
          <w:ilvl w:val="3"/>
          <w:numId w:val="171"/>
        </w:numPr>
        <w:rPr>
          <w:rFonts w:ascii="Arial" w:cs="Arial" w:eastAsia="Arial" w:hAnsi="Arial"/>
          <w:sz w:val="16"/>
          <w:szCs w:val="16"/>
          <w:color w:val="auto"/>
        </w:rPr>
      </w:pPr>
      <w:r>
        <w:rPr>
          <w:rFonts w:ascii="Arial" w:cs="Arial" w:eastAsia="Arial" w:hAnsi="Arial"/>
          <w:sz w:val="16"/>
          <w:szCs w:val="16"/>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211" w:name="page212"/>
    <w:bookmarkEnd w:id="211"/>
    <w:tbl>
      <w:tblPr>
        <w:tblLayout w:type="fixed"/>
        <w:tblInd w:w="58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380" w:type="dxa"/>
            <w:vAlign w:val="bottom"/>
          </w:tcPr>
          <w:p>
            <w:pPr>
              <w:ind w:left="9180"/>
              <w:spacing w:after="0"/>
              <w:rPr>
                <w:sz w:val="20"/>
                <w:szCs w:val="20"/>
                <w:color w:val="auto"/>
              </w:rPr>
            </w:pPr>
            <w:r>
              <w:rPr>
                <w:rFonts w:ascii="Arial" w:cs="Arial" w:eastAsia="Arial" w:hAnsi="Arial"/>
                <w:sz w:val="16"/>
                <w:szCs w:val="16"/>
                <w:color w:val="auto"/>
              </w:rPr>
              <w:t>CONFIDENTIAL</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6.5</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w w:val="94"/>
              </w:rPr>
              <w:t xml:space="preserve">Patent Enforcement and Defense. </w:t>
            </w:r>
            <w:r>
              <w:rPr>
                <w:rFonts w:ascii="Arial" w:cs="Arial" w:eastAsia="Arial" w:hAnsi="Arial"/>
                <w:sz w:val="16"/>
                <w:szCs w:val="16"/>
                <w:color w:val="auto"/>
                <w:w w:val="94"/>
              </w:rPr>
              <w:t>The rights and obligations of each Party with respect to the enforcement and defense of a given Joint Patent for a</w:t>
            </w:r>
          </w:p>
        </w:tc>
      </w:tr>
    </w:tbl>
    <w:p>
      <w:pPr>
        <w:jc w:val="both"/>
        <w:ind w:right="20"/>
        <w:spacing w:after="0" w:line="286" w:lineRule="auto"/>
        <w:rPr>
          <w:sz w:val="20"/>
          <w:szCs w:val="20"/>
          <w:color w:val="auto"/>
        </w:rPr>
      </w:pPr>
      <w:r>
        <w:rPr>
          <w:rFonts w:ascii="Arial" w:cs="Arial" w:eastAsia="Arial" w:hAnsi="Arial"/>
          <w:sz w:val="15"/>
          <w:szCs w:val="15"/>
          <w:color w:val="auto"/>
        </w:rPr>
        <w:t>Jointly Owned Invention (including settling related claims, suits or actions) shall be governed by the Joint Rights Agreement. In the event that a Party takes action to enforce or defend a given Joint Patent, the other Party, at the acting Party’s expense, shall provide all reasonable assistance and cooperation, including, by way of example, being joined as a party to the action, providing any necessary powers of attorney and executing any other required documents or instruments for such purposes.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5180" w:type="dxa"/>
            <w:vAlign w:val="bottom"/>
          </w:tcPr>
          <w:p>
            <w:pPr>
              <w:jc w:val="center"/>
              <w:ind w:left="4059"/>
              <w:spacing w:after="0"/>
              <w:rPr>
                <w:sz w:val="20"/>
                <w:szCs w:val="20"/>
                <w:color w:val="auto"/>
              </w:rPr>
            </w:pPr>
            <w:r>
              <w:rPr>
                <w:rFonts w:ascii="Arial" w:cs="Arial" w:eastAsia="Arial" w:hAnsi="Arial"/>
                <w:sz w:val="16"/>
                <w:szCs w:val="16"/>
                <w:b w:val="1"/>
                <w:bCs w:val="1"/>
                <w:color w:val="auto"/>
                <w:w w:val="94"/>
              </w:rPr>
              <w:t>Article 7</w:t>
            </w:r>
          </w:p>
        </w:tc>
      </w:tr>
      <w:tr>
        <w:trPr>
          <w:trHeight w:val="211"/>
        </w:trPr>
        <w:tc>
          <w:tcPr>
            <w:tcW w:w="480" w:type="dxa"/>
            <w:vAlign w:val="bottom"/>
          </w:tcPr>
          <w:p>
            <w:pPr>
              <w:spacing w:after="0"/>
              <w:rPr>
                <w:sz w:val="18"/>
                <w:szCs w:val="18"/>
                <w:color w:val="auto"/>
              </w:rPr>
            </w:pPr>
          </w:p>
        </w:tc>
        <w:tc>
          <w:tcPr>
            <w:tcW w:w="5180" w:type="dxa"/>
            <w:vAlign w:val="bottom"/>
          </w:tcPr>
          <w:p>
            <w:pPr>
              <w:jc w:val="center"/>
              <w:ind w:left="4059"/>
              <w:spacing w:after="0"/>
              <w:rPr>
                <w:sz w:val="20"/>
                <w:szCs w:val="20"/>
                <w:color w:val="auto"/>
              </w:rPr>
            </w:pPr>
            <w:r>
              <w:rPr>
                <w:rFonts w:ascii="Arial" w:cs="Arial" w:eastAsia="Arial" w:hAnsi="Arial"/>
                <w:sz w:val="16"/>
                <w:szCs w:val="16"/>
                <w:b w:val="1"/>
                <w:bCs w:val="1"/>
                <w:color w:val="auto"/>
                <w:w w:val="93"/>
              </w:rPr>
              <w:t>Confidentiality</w:t>
            </w:r>
          </w:p>
        </w:tc>
      </w:tr>
      <w:tr>
        <w:trPr>
          <w:trHeight w:val="329"/>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7.1</w:t>
            </w:r>
          </w:p>
        </w:tc>
        <w:tc>
          <w:tcPr>
            <w:tcW w:w="5180" w:type="dxa"/>
            <w:vAlign w:val="bottom"/>
          </w:tcPr>
          <w:p>
            <w:pPr>
              <w:ind w:left="300"/>
              <w:spacing w:after="0"/>
              <w:rPr>
                <w:sz w:val="20"/>
                <w:szCs w:val="20"/>
                <w:color w:val="auto"/>
              </w:rPr>
            </w:pPr>
            <w:r>
              <w:rPr>
                <w:rFonts w:ascii="Arial" w:cs="Arial" w:eastAsia="Arial" w:hAnsi="Arial"/>
                <w:sz w:val="16"/>
                <w:szCs w:val="16"/>
                <w:b w:val="1"/>
                <w:bCs w:val="1"/>
                <w:color w:val="auto"/>
              </w:rPr>
              <w:t>Disclosure and Use of Confidential Information.</w:t>
            </w:r>
          </w:p>
        </w:tc>
      </w:tr>
    </w:tbl>
    <w:p>
      <w:pPr>
        <w:spacing w:after="0" w:line="179" w:lineRule="exact"/>
        <w:rPr>
          <w:sz w:val="20"/>
          <w:szCs w:val="20"/>
          <w:color w:val="auto"/>
        </w:rPr>
      </w:pPr>
    </w:p>
    <w:p>
      <w:pPr>
        <w:ind w:left="140" w:right="80" w:firstLine="1172"/>
        <w:spacing w:after="0" w:line="281" w:lineRule="auto"/>
        <w:tabs>
          <w:tab w:leader="none" w:pos="1620"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Rights and Obligations. </w:t>
      </w:r>
      <w:r>
        <w:rPr>
          <w:rFonts w:ascii="Arial" w:cs="Arial" w:eastAsia="Arial" w:hAnsi="Arial"/>
          <w:sz w:val="15"/>
          <w:szCs w:val="15"/>
          <w:color w:val="auto"/>
        </w:rPr>
        <w:t>Except to the extent expressly authorized by this Agreement, each Party (for purposes of this Article 7, the “</w:t>
      </w:r>
      <w:r>
        <w:rPr>
          <w:rFonts w:ascii="Arial" w:cs="Arial" w:eastAsia="Arial" w:hAnsi="Arial"/>
          <w:sz w:val="15"/>
          <w:szCs w:val="15"/>
          <w:b w:val="1"/>
          <w:bCs w:val="1"/>
          <w:color w:val="auto"/>
        </w:rPr>
        <w:t>Receiving Party</w:t>
      </w:r>
      <w:r>
        <w:rPr>
          <w:rFonts w:ascii="Arial" w:cs="Arial" w:eastAsia="Arial" w:hAnsi="Arial"/>
          <w:sz w:val="15"/>
          <w:szCs w:val="15"/>
          <w:color w:val="auto"/>
        </w:rPr>
        <w:t>”) in possession of Confidential Information of the other Party (for purposes of Article 7, the “</w:t>
      </w:r>
      <w:r>
        <w:rPr>
          <w:rFonts w:ascii="Arial" w:cs="Arial" w:eastAsia="Arial" w:hAnsi="Arial"/>
          <w:sz w:val="15"/>
          <w:szCs w:val="15"/>
          <w:b w:val="1"/>
          <w:bCs w:val="1"/>
          <w:color w:val="auto"/>
        </w:rPr>
        <w:t>Disclosing Party</w:t>
      </w:r>
      <w:r>
        <w:rPr>
          <w:rFonts w:ascii="Arial" w:cs="Arial" w:eastAsia="Arial" w:hAnsi="Arial"/>
          <w:sz w:val="15"/>
          <w:szCs w:val="15"/>
          <w:color w:val="auto"/>
        </w:rPr>
        <w:t>”)will : (i) hold in confidence and not disclose the</w:t>
      </w:r>
      <w:r>
        <w:rPr>
          <w:rFonts w:ascii="Arial" w:cs="Arial" w:eastAsia="Arial" w:hAnsi="Arial"/>
          <w:sz w:val="15"/>
          <w:szCs w:val="15"/>
          <w:b w:val="1"/>
          <w:bCs w:val="1"/>
          <w:color w:val="auto"/>
        </w:rPr>
        <w:t xml:space="preserve"> </w:t>
      </w:r>
      <w:r>
        <w:rPr>
          <w:rFonts w:ascii="Arial" w:cs="Arial" w:eastAsia="Arial" w:hAnsi="Arial"/>
          <w:sz w:val="15"/>
          <w:szCs w:val="15"/>
          <w:color w:val="auto"/>
        </w:rPr>
        <w:t>Disclosing Party’s Confidential Information to any Third Party and (ii) only use (or permit the use of) the Disclosing Party’s Confidential Information in connection with activities contemplated by this Agreement (including exercising rights granted hereunder). Except as otherwise expressly provided in this Agreement: (A) each Party has the right to use and disclose Confidential Information that is the Confidential Information solely of such Party for any purpose and (B) each Party shall treat Confidential Information that is the Confidential Information jointly of Parties as it treats Confidential Information that is Confidential Information solely of the other Party.</w:t>
      </w:r>
    </w:p>
    <w:p>
      <w:pPr>
        <w:spacing w:after="0" w:line="152" w:lineRule="exact"/>
        <w:rPr>
          <w:rFonts w:ascii="Arial" w:cs="Arial" w:eastAsia="Arial" w:hAnsi="Arial"/>
          <w:sz w:val="15"/>
          <w:szCs w:val="15"/>
          <w:b w:val="1"/>
          <w:bCs w:val="1"/>
          <w:color w:val="auto"/>
        </w:rPr>
      </w:pPr>
    </w:p>
    <w:p>
      <w:pPr>
        <w:ind w:left="140" w:right="100" w:firstLine="1172"/>
        <w:spacing w:after="0" w:line="288" w:lineRule="auto"/>
        <w:tabs>
          <w:tab w:leader="none" w:pos="1588"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Exceptions. </w:t>
      </w:r>
      <w:r>
        <w:rPr>
          <w:rFonts w:ascii="Arial" w:cs="Arial" w:eastAsia="Arial" w:hAnsi="Arial"/>
          <w:sz w:val="16"/>
          <w:szCs w:val="16"/>
          <w:color w:val="auto"/>
        </w:rPr>
        <w:t>The obligations of the Receiving Party set forth in Section 7.1(a) shall not apply to the Disclosing Party’s Confidential Information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that the Receiving Party establishes by written evidence that such Confidential Information:</w:t>
      </w:r>
    </w:p>
    <w:p>
      <w:pPr>
        <w:spacing w:after="0" w:line="146" w:lineRule="exact"/>
        <w:rPr>
          <w:rFonts w:ascii="Arial" w:cs="Arial" w:eastAsia="Arial" w:hAnsi="Arial"/>
          <w:sz w:val="16"/>
          <w:szCs w:val="16"/>
          <w:b w:val="1"/>
          <w:bCs w:val="1"/>
          <w:color w:val="auto"/>
        </w:rPr>
      </w:pPr>
    </w:p>
    <w:p>
      <w:pPr>
        <w:ind w:left="2440" w:hanging="689"/>
        <w:spacing w:after="0"/>
        <w:tabs>
          <w:tab w:leader="none" w:pos="2440" w:val="left"/>
        </w:tabs>
        <w:numPr>
          <w:ilvl w:val="1"/>
          <w:numId w:val="172"/>
        </w:numPr>
        <w:rPr>
          <w:rFonts w:ascii="Arial" w:cs="Arial" w:eastAsia="Arial" w:hAnsi="Arial"/>
          <w:sz w:val="14"/>
          <w:szCs w:val="14"/>
          <w:b w:val="1"/>
          <w:bCs w:val="1"/>
          <w:color w:val="auto"/>
        </w:rPr>
      </w:pPr>
      <w:r>
        <w:rPr>
          <w:rFonts w:ascii="Arial" w:cs="Arial" w:eastAsia="Arial" w:hAnsi="Arial"/>
          <w:sz w:val="14"/>
          <w:szCs w:val="14"/>
          <w:color w:val="auto"/>
        </w:rPr>
        <w:t>was already known to the Receiving Party, other than under an obligation of confidentiality, at the time of its disclosure by the Disclosing</w:t>
      </w:r>
    </w:p>
    <w:p>
      <w:pPr>
        <w:spacing w:after="0" w:line="45"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color w:val="auto"/>
        </w:rPr>
        <w:t>Party;</w:t>
      </w:r>
    </w:p>
    <w:p>
      <w:pPr>
        <w:spacing w:after="0" w:line="96" w:lineRule="exact"/>
        <w:rPr>
          <w:rFonts w:ascii="Arial" w:cs="Arial" w:eastAsia="Arial" w:hAnsi="Arial"/>
          <w:sz w:val="14"/>
          <w:szCs w:val="14"/>
          <w:b w:val="1"/>
          <w:bCs w:val="1"/>
          <w:color w:val="auto"/>
        </w:rPr>
      </w:pPr>
    </w:p>
    <w:p>
      <w:pPr>
        <w:ind w:left="2440" w:hanging="689"/>
        <w:spacing w:after="0"/>
        <w:tabs>
          <w:tab w:leader="none" w:pos="2440"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was generally available to the public or otherwise part of the public domain at the time of its disclosure by the Disclosing Party;</w:t>
      </w:r>
    </w:p>
    <w:p>
      <w:pPr>
        <w:spacing w:after="0" w:line="108" w:lineRule="exact"/>
        <w:rPr>
          <w:rFonts w:ascii="Arial" w:cs="Arial" w:eastAsia="Arial" w:hAnsi="Arial"/>
          <w:sz w:val="16"/>
          <w:szCs w:val="16"/>
          <w:b w:val="1"/>
          <w:bCs w:val="1"/>
          <w:color w:val="auto"/>
        </w:rPr>
      </w:pPr>
    </w:p>
    <w:p>
      <w:pPr>
        <w:ind w:right="160" w:firstLine="1751"/>
        <w:spacing w:after="0" w:line="283" w:lineRule="auto"/>
        <w:tabs>
          <w:tab w:leader="none" w:pos="2443"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became generally available to the public or otherwise part of the public domain, other than through any act or omission of the Receiving Party or its disclosees in breach of this Agreement, after its disclosure by the Disclosing Party;</w:t>
      </w:r>
    </w:p>
    <w:p>
      <w:pPr>
        <w:spacing w:after="0" w:line="53" w:lineRule="exact"/>
        <w:rPr>
          <w:rFonts w:ascii="Arial" w:cs="Arial" w:eastAsia="Arial" w:hAnsi="Arial"/>
          <w:sz w:val="16"/>
          <w:szCs w:val="16"/>
          <w:b w:val="1"/>
          <w:bCs w:val="1"/>
          <w:color w:val="auto"/>
        </w:rPr>
      </w:pPr>
    </w:p>
    <w:p>
      <w:pPr>
        <w:ind w:left="2480" w:hanging="729"/>
        <w:spacing w:after="0"/>
        <w:tabs>
          <w:tab w:leader="none" w:pos="2480"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was rightfully disclosed to the Receiving Party, other than under an obligation of confidentiality, by a Third Party;</w:t>
      </w:r>
    </w:p>
    <w:p>
      <w:pPr>
        <w:spacing w:after="0" w:line="108" w:lineRule="exact"/>
        <w:rPr>
          <w:rFonts w:ascii="Arial" w:cs="Arial" w:eastAsia="Arial" w:hAnsi="Arial"/>
          <w:sz w:val="16"/>
          <w:szCs w:val="16"/>
          <w:b w:val="1"/>
          <w:bCs w:val="1"/>
          <w:color w:val="auto"/>
        </w:rPr>
      </w:pPr>
    </w:p>
    <w:p>
      <w:pPr>
        <w:ind w:left="2460" w:hanging="709"/>
        <w:spacing w:after="0"/>
        <w:tabs>
          <w:tab w:leader="none" w:pos="2460" w:val="left"/>
        </w:tabs>
        <w:numPr>
          <w:ilvl w:val="1"/>
          <w:numId w:val="172"/>
        </w:numPr>
        <w:rPr>
          <w:rFonts w:ascii="Arial" w:cs="Arial" w:eastAsia="Arial" w:hAnsi="Arial"/>
          <w:sz w:val="15"/>
          <w:szCs w:val="15"/>
          <w:b w:val="1"/>
          <w:bCs w:val="1"/>
          <w:color w:val="auto"/>
        </w:rPr>
      </w:pPr>
      <w:r>
        <w:rPr>
          <w:rFonts w:ascii="Arial" w:cs="Arial" w:eastAsia="Arial" w:hAnsi="Arial"/>
          <w:sz w:val="15"/>
          <w:szCs w:val="15"/>
          <w:color w:val="auto"/>
        </w:rPr>
        <w:t>was subsequently developed by or on behalf of the Receiving Party without use of the Disclosing Party’s Confidential Information; or</w:t>
      </w:r>
    </w:p>
    <w:p>
      <w:pPr>
        <w:spacing w:after="0" w:line="119" w:lineRule="exact"/>
        <w:rPr>
          <w:rFonts w:ascii="Arial" w:cs="Arial" w:eastAsia="Arial" w:hAnsi="Arial"/>
          <w:sz w:val="15"/>
          <w:szCs w:val="15"/>
          <w:b w:val="1"/>
          <w:bCs w:val="1"/>
          <w:color w:val="auto"/>
        </w:rPr>
      </w:pPr>
    </w:p>
    <w:p>
      <w:pPr>
        <w:ind w:left="2480" w:hanging="729"/>
        <w:spacing w:after="0"/>
        <w:tabs>
          <w:tab w:leader="none" w:pos="2480" w:val="left"/>
        </w:tabs>
        <w:numPr>
          <w:ilvl w:val="1"/>
          <w:numId w:val="172"/>
        </w:numPr>
        <w:rPr>
          <w:rFonts w:ascii="Arial" w:cs="Arial" w:eastAsia="Arial" w:hAnsi="Arial"/>
          <w:sz w:val="16"/>
          <w:szCs w:val="16"/>
          <w:b w:val="1"/>
          <w:bCs w:val="1"/>
          <w:color w:val="auto"/>
        </w:rPr>
      </w:pPr>
      <w:r>
        <w:rPr>
          <w:rFonts w:ascii="Arial" w:cs="Arial" w:eastAsia="Arial" w:hAnsi="Arial"/>
          <w:sz w:val="16"/>
          <w:szCs w:val="16"/>
          <w:color w:val="auto"/>
        </w:rPr>
        <w:t>is no longer subject to the provisions of Section 7.1(a) by the specific prior written consent of the Disclosing Party.</w:t>
      </w:r>
    </w:p>
    <w:p>
      <w:pPr>
        <w:spacing w:after="0" w:line="200" w:lineRule="exact"/>
        <w:rPr>
          <w:rFonts w:ascii="Arial" w:cs="Arial" w:eastAsia="Arial" w:hAnsi="Arial"/>
          <w:sz w:val="16"/>
          <w:szCs w:val="16"/>
          <w:b w:val="1"/>
          <w:bCs w:val="1"/>
          <w:color w:val="auto"/>
        </w:rPr>
      </w:pPr>
    </w:p>
    <w:p>
      <w:pPr>
        <w:spacing w:after="0" w:line="261" w:lineRule="exact"/>
        <w:rPr>
          <w:rFonts w:ascii="Arial" w:cs="Arial" w:eastAsia="Arial" w:hAnsi="Arial"/>
          <w:sz w:val="16"/>
          <w:szCs w:val="16"/>
          <w:b w:val="1"/>
          <w:bCs w:val="1"/>
          <w:color w:val="auto"/>
        </w:rPr>
      </w:pPr>
    </w:p>
    <w:p>
      <w:pPr>
        <w:ind w:left="5640" w:hanging="102"/>
        <w:spacing w:after="0"/>
        <w:tabs>
          <w:tab w:leader="none" w:pos="564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4"/>
          <w:szCs w:val="14"/>
          <w:b w:val="1"/>
          <w:bCs w:val="1"/>
          <w:color w:val="auto"/>
        </w:rPr>
        <w:t>Authorized Disclosures.</w:t>
      </w:r>
    </w:p>
    <w:p>
      <w:pPr>
        <w:spacing w:after="0" w:line="206" w:lineRule="exact"/>
        <w:rPr>
          <w:sz w:val="20"/>
          <w:szCs w:val="20"/>
          <w:color w:val="auto"/>
        </w:rPr>
      </w:pPr>
    </w:p>
    <w:p>
      <w:pPr>
        <w:ind w:right="40" w:firstLine="1172"/>
        <w:spacing w:after="0" w:line="262" w:lineRule="auto"/>
        <w:tabs>
          <w:tab w:leader="none" w:pos="148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Legal Compliance. </w:t>
      </w:r>
      <w:r>
        <w:rPr>
          <w:rFonts w:ascii="Arial" w:cs="Arial" w:eastAsia="Arial" w:hAnsi="Arial"/>
          <w:sz w:val="16"/>
          <w:szCs w:val="16"/>
          <w:color w:val="auto"/>
        </w:rPr>
        <w:t>A Party may disclose the other Party’s Confidential Information if such disclosure is required by law, rule or regulation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to comply with the order of a court or governmental regulations), but only to the extent such disclosure is reasonably necessary for such compliance; provided, however, except for disclosures otherwise permitted under Section 7.2, or as otherwise required or necessitated by law, such Party shall provide prompt written notice of such disclosure requirement to the other Party and provide reasonable assistance to enable such other Party to seek a protective order or otherwise limit or prevent such disclosure (in each case, to the extent it is legally permitted to do so).</w:t>
      </w:r>
    </w:p>
    <w:p>
      <w:pPr>
        <w:spacing w:after="0" w:line="164" w:lineRule="exact"/>
        <w:rPr>
          <w:rFonts w:ascii="Arial" w:cs="Arial" w:eastAsia="Arial" w:hAnsi="Arial"/>
          <w:sz w:val="16"/>
          <w:szCs w:val="16"/>
          <w:b w:val="1"/>
          <w:bCs w:val="1"/>
          <w:color w:val="auto"/>
        </w:rPr>
      </w:pPr>
    </w:p>
    <w:p>
      <w:pPr>
        <w:ind w:right="280" w:firstLine="1172"/>
        <w:spacing w:after="0" w:line="271" w:lineRule="auto"/>
        <w:tabs>
          <w:tab w:leader="none" w:pos="1448"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Authorities. </w:t>
      </w:r>
      <w:r>
        <w:rPr>
          <w:rFonts w:ascii="Arial" w:cs="Arial" w:eastAsia="Arial" w:hAnsi="Arial"/>
          <w:sz w:val="16"/>
          <w:szCs w:val="16"/>
          <w:color w:val="auto"/>
        </w:rPr>
        <w:t>A Party may disclose the other Party’s Confidential Information to Regulatory Authorities to the extent such disclosure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comply with applicable governmental regulations or is in connection with such Party’s filings, submissions and communications with Regulatory Authorities regarding such Party’s Compound, the Combination or the Study.</w:t>
      </w:r>
    </w:p>
    <w:p>
      <w:pPr>
        <w:spacing w:after="0" w:line="156" w:lineRule="exact"/>
        <w:rPr>
          <w:rFonts w:ascii="Arial" w:cs="Arial" w:eastAsia="Arial" w:hAnsi="Arial"/>
          <w:sz w:val="16"/>
          <w:szCs w:val="16"/>
          <w:b w:val="1"/>
          <w:bCs w:val="1"/>
          <w:color w:val="auto"/>
        </w:rPr>
      </w:pPr>
    </w:p>
    <w:p>
      <w:pPr>
        <w:ind w:right="340" w:firstLine="1172"/>
        <w:spacing w:after="0" w:line="288" w:lineRule="auto"/>
        <w:tabs>
          <w:tab w:leader="none" w:pos="1471"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Patent Prosecution. </w:t>
      </w:r>
      <w:r>
        <w:rPr>
          <w:rFonts w:ascii="Arial" w:cs="Arial" w:eastAsia="Arial" w:hAnsi="Arial"/>
          <w:sz w:val="16"/>
          <w:szCs w:val="16"/>
          <w:color w:val="auto"/>
        </w:rPr>
        <w:t>The prosecution of patent applications for Collaboration Inventions, which are the sole or joint Confidential Information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the Parties, is governed by Section 6.4.</w:t>
      </w:r>
    </w:p>
    <w:p>
      <w:pPr>
        <w:spacing w:after="0" w:line="142" w:lineRule="exact"/>
        <w:rPr>
          <w:rFonts w:ascii="Arial" w:cs="Arial" w:eastAsia="Arial" w:hAnsi="Arial"/>
          <w:sz w:val="16"/>
          <w:szCs w:val="16"/>
          <w:b w:val="1"/>
          <w:bCs w:val="1"/>
          <w:color w:val="auto"/>
        </w:rPr>
      </w:pPr>
    </w:p>
    <w:p>
      <w:pPr>
        <w:ind w:right="240" w:firstLine="1172"/>
        <w:spacing w:after="0" w:line="288" w:lineRule="auto"/>
        <w:tabs>
          <w:tab w:leader="none" w:pos="1448"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Publications and Presentations. </w:t>
      </w:r>
      <w:r>
        <w:rPr>
          <w:rFonts w:ascii="Arial" w:cs="Arial" w:eastAsia="Arial" w:hAnsi="Arial"/>
          <w:sz w:val="16"/>
          <w:szCs w:val="16"/>
          <w:color w:val="auto"/>
        </w:rPr>
        <w:t>The publication and presentation of Study Data and Sample Data, including provisions regarding the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 a Party contained in such a disclosure, is governed by Section 8.2.</w:t>
      </w:r>
    </w:p>
    <w:p>
      <w:pPr>
        <w:spacing w:after="0" w:line="142" w:lineRule="exact"/>
        <w:rPr>
          <w:rFonts w:ascii="Arial" w:cs="Arial" w:eastAsia="Arial" w:hAnsi="Arial"/>
          <w:sz w:val="16"/>
          <w:szCs w:val="16"/>
          <w:b w:val="1"/>
          <w:bCs w:val="1"/>
          <w:color w:val="auto"/>
        </w:rPr>
      </w:pPr>
    </w:p>
    <w:p>
      <w:pPr>
        <w:ind w:right="40" w:firstLine="1172"/>
        <w:spacing w:after="0" w:line="262" w:lineRule="auto"/>
        <w:tabs>
          <w:tab w:leader="none" w:pos="1471"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Subcontractors. </w:t>
      </w:r>
      <w:r>
        <w:rPr>
          <w:rFonts w:ascii="Arial" w:cs="Arial" w:eastAsia="Arial" w:hAnsi="Arial"/>
          <w:sz w:val="16"/>
          <w:szCs w:val="16"/>
          <w:color w:val="auto"/>
        </w:rPr>
        <w:t>A Party may disclose the other Party’s Confidential Information to subcontractors to the extent such disclosure is required to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the Study(ies) or to otherwise fulfill its obligations under this Agreement; provided, however, any such subcontractors must be contractually bound in writing by obligations substantially similar to those set forth in Section 7.1 and Section 7.3. By way of example, but not limitation, Sponsor may, subject to the foregoing, disclose Non-Sponsor’s Confidential Information and the Protocol to CROs, prospective and actual Participating Sites, IRBs, Investigators, the Data Review Committee and any advisory boards related to the Sponsor’s Study(ies).</w:t>
      </w:r>
    </w:p>
    <w:p>
      <w:pPr>
        <w:spacing w:after="0" w:line="164" w:lineRule="exact"/>
        <w:rPr>
          <w:rFonts w:ascii="Arial" w:cs="Arial" w:eastAsia="Arial" w:hAnsi="Arial"/>
          <w:sz w:val="16"/>
          <w:szCs w:val="16"/>
          <w:b w:val="1"/>
          <w:bCs w:val="1"/>
          <w:color w:val="auto"/>
        </w:rPr>
      </w:pPr>
    </w:p>
    <w:p>
      <w:pPr>
        <w:ind w:right="40" w:firstLine="1172"/>
        <w:spacing w:after="0" w:line="327" w:lineRule="auto"/>
        <w:tabs>
          <w:tab w:leader="none" w:pos="1493" w:val="left"/>
        </w:tabs>
        <w:numPr>
          <w:ilvl w:val="0"/>
          <w:numId w:val="17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Affiliates; Professional Advisors; Other Third Parties. </w:t>
      </w:r>
      <w:r>
        <w:rPr>
          <w:rFonts w:ascii="Arial" w:cs="Arial" w:eastAsia="Arial" w:hAnsi="Arial"/>
          <w:sz w:val="14"/>
          <w:szCs w:val="14"/>
          <w:color w:val="auto"/>
        </w:rPr>
        <w:t>A Party may disclose the other Party’s Confidential Information, on a confidential basis and</w:t>
      </w:r>
      <w:r>
        <w:rPr>
          <w:rFonts w:ascii="Arial" w:cs="Arial" w:eastAsia="Arial" w:hAnsi="Arial"/>
          <w:sz w:val="14"/>
          <w:szCs w:val="14"/>
          <w:b w:val="1"/>
          <w:bCs w:val="1"/>
          <w:color w:val="auto"/>
        </w:rPr>
        <w:t xml:space="preserve"> </w:t>
      </w:r>
      <w:r>
        <w:rPr>
          <w:rFonts w:ascii="Arial" w:cs="Arial" w:eastAsia="Arial" w:hAnsi="Arial"/>
          <w:sz w:val="14"/>
          <w:szCs w:val="14"/>
          <w:color w:val="auto"/>
        </w:rPr>
        <w:t>to the extent reasonably necessary, to its Affiliates, board members, accountants, attorneys, auditors and other professional, scientific and medical advisors for the sole purpose of enabling such disclosees to provide advice to such Party in connection with the research, development or commercialization of such Party’s Compound. [*]</w:t>
      </w:r>
    </w:p>
    <w:p>
      <w:pPr>
        <w:spacing w:after="0" w:line="125" w:lineRule="exact"/>
        <w:rPr>
          <w:rFonts w:ascii="Arial" w:cs="Arial" w:eastAsia="Arial" w:hAnsi="Arial"/>
          <w:sz w:val="14"/>
          <w:szCs w:val="14"/>
          <w:b w:val="1"/>
          <w:bCs w:val="1"/>
          <w:color w:val="auto"/>
        </w:rPr>
      </w:pPr>
    </w:p>
    <w:p>
      <w:pPr>
        <w:ind w:left="5500" w:hanging="102"/>
        <w:spacing w:after="0"/>
        <w:tabs>
          <w:tab w:leader="none" w:pos="55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45720</wp:posOffset>
            </wp:positionV>
            <wp:extent cx="725995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00"/>
          </w:cols>
          <w:pgMar w:left="380" w:top="127" w:right="219" w:bottom="1440" w:gutter="0" w:footer="0" w:header="0"/>
        </w:sectPr>
      </w:pPr>
    </w:p>
    <w:bookmarkStart w:id="213" w:name="page214"/>
    <w:bookmarkEnd w:id="213"/>
    <w:tbl>
      <w:tblPr>
        <w:tblLayout w:type="fixed"/>
        <w:tblInd w:w="58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380" w:type="dxa"/>
            <w:vAlign w:val="bottom"/>
          </w:tcPr>
          <w:p>
            <w:pPr>
              <w:ind w:left="9180"/>
              <w:spacing w:after="0"/>
              <w:rPr>
                <w:sz w:val="20"/>
                <w:szCs w:val="20"/>
                <w:color w:val="auto"/>
              </w:rPr>
            </w:pPr>
            <w:r>
              <w:rPr>
                <w:rFonts w:ascii="Arial" w:cs="Arial" w:eastAsia="Arial" w:hAnsi="Arial"/>
                <w:sz w:val="16"/>
                <w:szCs w:val="16"/>
                <w:color w:val="auto"/>
              </w:rPr>
              <w:t>CONFIDENTIAL</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7.3</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rPr>
              <w:t xml:space="preserve">Continuing Obligation. </w:t>
            </w:r>
            <w:r>
              <w:rPr>
                <w:rFonts w:ascii="Arial" w:cs="Arial" w:eastAsia="Arial" w:hAnsi="Arial"/>
                <w:sz w:val="16"/>
                <w:szCs w:val="16"/>
                <w:color w:val="auto"/>
              </w:rPr>
              <w:t>Article 7 shall survive the expiration or termination of this Agreement for a period of [*]</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7.4</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w w:val="94"/>
              </w:rPr>
              <w:t xml:space="preserve">Prior Agreements. </w:t>
            </w:r>
            <w:r>
              <w:rPr>
                <w:rFonts w:ascii="Arial" w:cs="Arial" w:eastAsia="Arial" w:hAnsi="Arial"/>
                <w:sz w:val="16"/>
                <w:szCs w:val="16"/>
                <w:color w:val="auto"/>
                <w:w w:val="94"/>
              </w:rPr>
              <w:t>BioLineRx and Hoffman-La Roche Inc. (covering the Roche Group, including Genentech) are parties to that certain Non-Disclosure</w:t>
            </w:r>
          </w:p>
        </w:tc>
      </w:tr>
    </w:tbl>
    <w:p>
      <w:pPr>
        <w:ind w:right="60"/>
        <w:spacing w:after="0" w:line="302" w:lineRule="auto"/>
        <w:rPr>
          <w:sz w:val="20"/>
          <w:szCs w:val="20"/>
          <w:color w:val="auto"/>
        </w:rPr>
      </w:pPr>
      <w:r>
        <w:rPr>
          <w:rFonts w:ascii="Arial" w:cs="Arial" w:eastAsia="Arial" w:hAnsi="Arial"/>
          <w:sz w:val="15"/>
          <w:szCs w:val="15"/>
          <w:color w:val="auto"/>
        </w:rPr>
        <w:t>Agreement, effective [*] (for purposes of this Section, “</w:t>
      </w:r>
      <w:r>
        <w:rPr>
          <w:rFonts w:ascii="Arial" w:cs="Arial" w:eastAsia="Arial" w:hAnsi="Arial"/>
          <w:sz w:val="15"/>
          <w:szCs w:val="15"/>
          <w:b w:val="1"/>
          <w:bCs w:val="1"/>
          <w:color w:val="auto"/>
        </w:rPr>
        <w:t>CDA</w:t>
      </w:r>
      <w:r>
        <w:rPr>
          <w:rFonts w:ascii="Arial" w:cs="Arial" w:eastAsia="Arial" w:hAnsi="Arial"/>
          <w:sz w:val="15"/>
          <w:szCs w:val="15"/>
          <w:color w:val="auto"/>
        </w:rPr>
        <w:t>”). As of the Effective Date (of this Agreement), all “Information” (as defined in the CDA) that the Parties (to this Agreement) exchanged under the CDA shall be deemed Confidential Information under this Agreement and shall no longer be governed by the CDA.</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9400" w:type="dxa"/>
            <w:vAlign w:val="bottom"/>
          </w:tcPr>
          <w:p>
            <w:pPr>
              <w:jc w:val="center"/>
              <w:spacing w:after="0"/>
              <w:rPr>
                <w:sz w:val="20"/>
                <w:szCs w:val="20"/>
                <w:color w:val="auto"/>
              </w:rPr>
            </w:pPr>
            <w:r>
              <w:rPr>
                <w:rFonts w:ascii="Arial" w:cs="Arial" w:eastAsia="Arial" w:hAnsi="Arial"/>
                <w:sz w:val="16"/>
                <w:szCs w:val="16"/>
                <w:b w:val="1"/>
                <w:bCs w:val="1"/>
                <w:color w:val="auto"/>
                <w:w w:val="94"/>
              </w:rPr>
              <w:t>Article 8</w:t>
            </w:r>
          </w:p>
        </w:tc>
      </w:tr>
      <w:tr>
        <w:trPr>
          <w:trHeight w:val="211"/>
        </w:trPr>
        <w:tc>
          <w:tcPr>
            <w:tcW w:w="480" w:type="dxa"/>
            <w:vAlign w:val="bottom"/>
          </w:tcPr>
          <w:p>
            <w:pPr>
              <w:spacing w:after="0"/>
              <w:rPr>
                <w:sz w:val="18"/>
                <w:szCs w:val="18"/>
                <w:color w:val="auto"/>
              </w:rPr>
            </w:pPr>
          </w:p>
        </w:tc>
        <w:tc>
          <w:tcPr>
            <w:tcW w:w="94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Public Disclosures; Use of Names</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8.1</w:t>
            </w:r>
          </w:p>
        </w:tc>
        <w:tc>
          <w:tcPr>
            <w:tcW w:w="9400" w:type="dxa"/>
            <w:vAlign w:val="bottom"/>
          </w:tcPr>
          <w:p>
            <w:pPr>
              <w:ind w:left="300"/>
              <w:spacing w:after="0"/>
              <w:rPr>
                <w:sz w:val="20"/>
                <w:szCs w:val="20"/>
                <w:color w:val="auto"/>
              </w:rPr>
            </w:pPr>
            <w:r>
              <w:rPr>
                <w:rFonts w:ascii="Arial" w:cs="Arial" w:eastAsia="Arial" w:hAnsi="Arial"/>
                <w:sz w:val="16"/>
                <w:szCs w:val="16"/>
                <w:b w:val="1"/>
                <w:bCs w:val="1"/>
                <w:color w:val="auto"/>
                <w:w w:val="92"/>
              </w:rPr>
              <w:t xml:space="preserve">Clinical Trials Registries. </w:t>
            </w:r>
            <w:r>
              <w:rPr>
                <w:rFonts w:ascii="Arial" w:cs="Arial" w:eastAsia="Arial" w:hAnsi="Arial"/>
                <w:sz w:val="16"/>
                <w:szCs w:val="16"/>
                <w:color w:val="auto"/>
                <w:w w:val="92"/>
              </w:rPr>
              <w:t>Sponsor is the “responsible party” as that term is used in Title VIII Section 801 of the Food Drug Administration</w:t>
            </w:r>
          </w:p>
        </w:tc>
      </w:tr>
    </w:tbl>
    <w:p>
      <w:pPr>
        <w:ind w:right="340"/>
        <w:spacing w:after="0" w:line="268" w:lineRule="auto"/>
        <w:rPr>
          <w:sz w:val="20"/>
          <w:szCs w:val="20"/>
          <w:color w:val="auto"/>
        </w:rPr>
      </w:pPr>
      <w:r>
        <w:rPr>
          <w:rFonts w:ascii="Arial" w:cs="Arial" w:eastAsia="Arial" w:hAnsi="Arial"/>
          <w:sz w:val="16"/>
          <w:szCs w:val="16"/>
          <w:color w:val="auto"/>
        </w:rPr>
        <w:t>Amendments Act 2007 (known as FDAAA 801) and, as such, will timely post the required Study information on ClinicalTrials.gov, and on other clinical trials registries as required by Applicable Law.</w:t>
      </w:r>
    </w:p>
    <w:p>
      <w:pPr>
        <w:spacing w:after="0" w:line="158" w:lineRule="exact"/>
        <w:rPr>
          <w:sz w:val="20"/>
          <w:szCs w:val="20"/>
          <w:color w:val="auto"/>
        </w:rPr>
      </w:pPr>
    </w:p>
    <w:p>
      <w:pPr>
        <w:ind w:right="40" w:firstLine="584"/>
        <w:spacing w:after="0" w:line="274" w:lineRule="auto"/>
        <w:rPr>
          <w:sz w:val="20"/>
          <w:szCs w:val="20"/>
          <w:color w:val="auto"/>
        </w:rPr>
      </w:pPr>
      <w:r>
        <w:rPr>
          <w:rFonts w:ascii="Arial" w:cs="Arial" w:eastAsia="Arial" w:hAnsi="Arial"/>
          <w:sz w:val="15"/>
          <w:szCs w:val="15"/>
          <w:b w:val="1"/>
          <w:bCs w:val="1"/>
          <w:color w:val="auto"/>
        </w:rPr>
        <w:t xml:space="preserve">8.2 Publications and Presentations. </w:t>
      </w:r>
      <w:r>
        <w:rPr>
          <w:rFonts w:ascii="Arial" w:cs="Arial" w:eastAsia="Arial" w:hAnsi="Arial"/>
          <w:sz w:val="15"/>
          <w:szCs w:val="15"/>
          <w:color w:val="auto"/>
        </w:rPr>
        <w:t>Sponsor may publish or present the final results of the Sponsor’s Study(ies) (in accordance with this Section 8.2),</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such results are positive or negative in any respect, such as with respect to the Combination or either Compound. Authorship of publications or presentations of any Study Data or Sample Data shall be determined in accordance with appropriate scientific and academic standards and customs. In the event that either Party (for purposes of this Section 8.2, the “</w:t>
      </w:r>
      <w:r>
        <w:rPr>
          <w:rFonts w:ascii="Arial" w:cs="Arial" w:eastAsia="Arial" w:hAnsi="Arial"/>
          <w:sz w:val="15"/>
          <w:szCs w:val="15"/>
          <w:b w:val="1"/>
          <w:bCs w:val="1"/>
          <w:color w:val="auto"/>
        </w:rPr>
        <w:t>Publishing Party</w:t>
      </w:r>
      <w:r>
        <w:rPr>
          <w:rFonts w:ascii="Arial" w:cs="Arial" w:eastAsia="Arial" w:hAnsi="Arial"/>
          <w:sz w:val="15"/>
          <w:szCs w:val="15"/>
          <w:color w:val="auto"/>
        </w:rPr>
        <w:t>”) wishes to publish or present any Study Data or Sample Data (whether final or partial), the Publishing Party shall submit to the other Party (for purposes of this Section 8.2, the “</w:t>
      </w:r>
      <w:r>
        <w:rPr>
          <w:rFonts w:ascii="Arial" w:cs="Arial" w:eastAsia="Arial" w:hAnsi="Arial"/>
          <w:sz w:val="15"/>
          <w:szCs w:val="15"/>
          <w:b w:val="1"/>
          <w:bCs w:val="1"/>
          <w:color w:val="auto"/>
        </w:rPr>
        <w:t>Reviewing Party</w:t>
      </w:r>
      <w:r>
        <w:rPr>
          <w:rFonts w:ascii="Arial" w:cs="Arial" w:eastAsia="Arial" w:hAnsi="Arial"/>
          <w:sz w:val="15"/>
          <w:szCs w:val="15"/>
          <w:color w:val="auto"/>
        </w:rPr>
        <w:t>”) all materials related to the proposed publication or presentation (including posters, abstracts, manuscripts and written descriptions of oral presentations) at least [*] (or [*] in the case of abstracts) prior to the date of submission for publication or the date of presentation, whichever is earlier, of any of such submitted materials. The Reviewing Party shall review such submitted materials and respond to the Publishing Party as soon as reasonably possible, but in any case within [*] (or [*] in the case of abstracts) of receipt thereof. The Publishing Party will be permitted to publish or present such Study Data or Sample Data, but shall give reasonable consideration to any requests by the Reviewing Party; provided, however, at the request of the Reviewing Party, the Publishing Party shall (i) delete from such proposed publication or presentation Confidential Information of the Reviewing Party (including Sample Data owned solely or jointly by the Reviewing Party), provided that the Publishing Party shall have no obligation to delete any Study Data; and/or (ii) if such proposed publication or presentation contains patentable subject matter owned solely or jointly by the Reviewing Party, delay such proposed publication or presentation, for an additional [*] to permit the Reviewing Party to prepare and file a patent application. The Publishing Party shall comply with all applicable requirements regarding disclosure of industry support (financial or otherwise) in connection with any publications and presentations. For clarity, the provisions of this Section 8.2 only apply to publications or presentations of Study Data or Sample Data and do not apply to any other publications or presentations by a Party, including with respect to results from such Party’s development activities outside of the Study(ies).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4"/>
          <w:szCs w:val="14"/>
          <w:b w:val="1"/>
          <w:bCs w:val="1"/>
          <w:color w:val="auto"/>
        </w:rPr>
        <w:t>Press Releases and Other Public Disclosures.</w:t>
      </w:r>
    </w:p>
    <w:p>
      <w:pPr>
        <w:spacing w:after="0" w:line="206" w:lineRule="exact"/>
        <w:rPr>
          <w:sz w:val="20"/>
          <w:szCs w:val="20"/>
          <w:color w:val="auto"/>
        </w:rPr>
      </w:pPr>
    </w:p>
    <w:p>
      <w:pPr>
        <w:jc w:val="both"/>
        <w:ind w:right="140" w:firstLine="1172"/>
        <w:spacing w:after="0" w:line="271" w:lineRule="auto"/>
        <w:tabs>
          <w:tab w:leader="none" w:pos="148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Generally. </w:t>
      </w:r>
      <w:r>
        <w:rPr>
          <w:rFonts w:ascii="Arial" w:cs="Arial" w:eastAsia="Arial" w:hAnsi="Arial"/>
          <w:sz w:val="16"/>
          <w:szCs w:val="16"/>
          <w:color w:val="auto"/>
        </w:rPr>
        <w:t>For purposes of this Section 8.3, the term “</w:t>
      </w:r>
      <w:r>
        <w:rPr>
          <w:rFonts w:ascii="Arial" w:cs="Arial" w:eastAsia="Arial" w:hAnsi="Arial"/>
          <w:sz w:val="16"/>
          <w:szCs w:val="16"/>
          <w:b w:val="1"/>
          <w:bCs w:val="1"/>
          <w:color w:val="auto"/>
        </w:rPr>
        <w:t>Disclosure</w:t>
      </w:r>
      <w:r>
        <w:rPr>
          <w:rFonts w:ascii="Arial" w:cs="Arial" w:eastAsia="Arial" w:hAnsi="Arial"/>
          <w:sz w:val="16"/>
          <w:szCs w:val="16"/>
          <w:color w:val="auto"/>
        </w:rPr>
        <w:t>” means a press release or other public disclosure concerning this Agreement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that is not a publication or presentation under Section 8.2, including the terms and conditions of this Agreement and the Protocol(s). The provisions of Section 8.3 are in addition to the provisions of Article 7.</w:t>
      </w:r>
    </w:p>
    <w:p>
      <w:pPr>
        <w:spacing w:after="0" w:line="156" w:lineRule="exact"/>
        <w:rPr>
          <w:rFonts w:ascii="Arial" w:cs="Arial" w:eastAsia="Arial" w:hAnsi="Arial"/>
          <w:sz w:val="16"/>
          <w:szCs w:val="16"/>
          <w:b w:val="1"/>
          <w:bCs w:val="1"/>
          <w:color w:val="auto"/>
        </w:rPr>
      </w:pPr>
    </w:p>
    <w:p>
      <w:pPr>
        <w:ind w:right="120" w:firstLine="1172"/>
        <w:spacing w:after="0" w:line="281" w:lineRule="auto"/>
        <w:tabs>
          <w:tab w:leader="none" w:pos="1448"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Review and Approval. </w:t>
      </w:r>
      <w:r>
        <w:rPr>
          <w:rFonts w:ascii="Arial" w:cs="Arial" w:eastAsia="Arial" w:hAnsi="Arial"/>
          <w:sz w:val="15"/>
          <w:szCs w:val="15"/>
          <w:color w:val="auto"/>
        </w:rPr>
        <w:t>Each Party agrees that the other Party shall have no less than [*] (before the date of a proposed Disclosure) to review and</w:t>
      </w:r>
      <w:r>
        <w:rPr>
          <w:rFonts w:ascii="Arial" w:cs="Arial" w:eastAsia="Arial" w:hAnsi="Arial"/>
          <w:sz w:val="15"/>
          <w:szCs w:val="15"/>
          <w:b w:val="1"/>
          <w:bCs w:val="1"/>
          <w:color w:val="auto"/>
        </w:rPr>
        <w:t xml:space="preserve"> </w:t>
      </w:r>
      <w:r>
        <w:rPr>
          <w:rFonts w:ascii="Arial" w:cs="Arial" w:eastAsia="Arial" w:hAnsi="Arial"/>
          <w:sz w:val="15"/>
          <w:szCs w:val="15"/>
          <w:color w:val="auto"/>
        </w:rPr>
        <w:t>provide comments regarding any proposed Disclosure (subject to Section 8.3(d)), unless a shorter review time is agreed to in writing by both Parties. Except for Disclosures covered by other provisions of this Section 8.3, if a Party desires to make a Disclosure, it shall obtain the other Party’s prior written approval for the proposed Disclosure. Disclosures include public communications that contain previously disclosed information; provided, however, neither Party shall be required to obtain the other Party’s approval to repeat any information regarding the subject matter or terms of this Agreement that has already been publicly disclosed by such Party, or by the other Party, in accordance with this Section 8.3, provided such information remains accurate at such time.</w:t>
      </w:r>
    </w:p>
    <w:p>
      <w:pPr>
        <w:spacing w:after="0" w:line="152" w:lineRule="exact"/>
        <w:rPr>
          <w:rFonts w:ascii="Arial" w:cs="Arial" w:eastAsia="Arial" w:hAnsi="Arial"/>
          <w:sz w:val="15"/>
          <w:szCs w:val="15"/>
          <w:b w:val="1"/>
          <w:bCs w:val="1"/>
          <w:color w:val="auto"/>
        </w:rPr>
      </w:pPr>
    </w:p>
    <w:p>
      <w:pPr>
        <w:ind w:left="1480" w:hanging="308"/>
        <w:spacing w:after="0"/>
        <w:tabs>
          <w:tab w:leader="none" w:pos="1480"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Press Release by BioLineRx. </w:t>
      </w:r>
      <w:r>
        <w:rPr>
          <w:rFonts w:ascii="Arial" w:cs="Arial" w:eastAsia="Arial" w:hAnsi="Arial"/>
          <w:sz w:val="15"/>
          <w:szCs w:val="15"/>
          <w:color w:val="auto"/>
        </w:rPr>
        <w:t>On or immediately after the Effective Date, BioLineRx shall be permitted to issue the press release in Exhibit C.</w:t>
      </w:r>
    </w:p>
    <w:p>
      <w:pPr>
        <w:spacing w:after="0" w:line="217" w:lineRule="exact"/>
        <w:rPr>
          <w:rFonts w:ascii="Arial" w:cs="Arial" w:eastAsia="Arial" w:hAnsi="Arial"/>
          <w:sz w:val="15"/>
          <w:szCs w:val="15"/>
          <w:b w:val="1"/>
          <w:bCs w:val="1"/>
          <w:color w:val="auto"/>
        </w:rPr>
      </w:pPr>
    </w:p>
    <w:p>
      <w:pPr>
        <w:ind w:right="40" w:firstLine="1172"/>
        <w:spacing w:after="0" w:line="284" w:lineRule="auto"/>
        <w:tabs>
          <w:tab w:leader="none" w:pos="1448"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Disclosure Required by Law. </w:t>
      </w:r>
      <w:r>
        <w:rPr>
          <w:rFonts w:ascii="Arial" w:cs="Arial" w:eastAsia="Arial" w:hAnsi="Arial"/>
          <w:sz w:val="15"/>
          <w:szCs w:val="15"/>
          <w:color w:val="auto"/>
        </w:rPr>
        <w:t>In the event that one Party reasonably concludes, based on the opinion of legal counsel, that a Disclosure is required by</w:t>
      </w:r>
      <w:r>
        <w:rPr>
          <w:rFonts w:ascii="Arial" w:cs="Arial" w:eastAsia="Arial" w:hAnsi="Arial"/>
          <w:sz w:val="15"/>
          <w:szCs w:val="15"/>
          <w:b w:val="1"/>
          <w:bCs w:val="1"/>
          <w:color w:val="auto"/>
        </w:rPr>
        <w:t xml:space="preserve"> </w:t>
      </w:r>
      <w:r>
        <w:rPr>
          <w:rFonts w:ascii="Arial" w:cs="Arial" w:eastAsia="Arial" w:hAnsi="Arial"/>
          <w:sz w:val="15"/>
          <w:szCs w:val="15"/>
          <w:color w:val="auto"/>
        </w:rPr>
        <w:t>law, rule or regulation (including the disclosure requirements of the Securities and Exchange Commission or the securities exchange or other stock market on which such Party’s securities are traded (for purposes of this Section 8.3, collectively, an “</w:t>
      </w:r>
      <w:r>
        <w:rPr>
          <w:rFonts w:ascii="Arial" w:cs="Arial" w:eastAsia="Arial" w:hAnsi="Arial"/>
          <w:sz w:val="15"/>
          <w:szCs w:val="15"/>
          <w:b w:val="1"/>
          <w:bCs w:val="1"/>
          <w:color w:val="auto"/>
        </w:rPr>
        <w:t>Exchange</w:t>
      </w:r>
      <w:r>
        <w:rPr>
          <w:rFonts w:ascii="Arial" w:cs="Arial" w:eastAsia="Arial" w:hAnsi="Arial"/>
          <w:sz w:val="15"/>
          <w:szCs w:val="15"/>
          <w:color w:val="auto"/>
        </w:rPr>
        <w:t>”)), such Party shall provide the other Party with such advance written notice of this Disclosure as it reasonably can, but shall not be required to obtain approval therefor. Each Party shall obtain its own legal advice with regard to its compliance with securities laws, rules and regulations, and will not rely on any statements made by the other Party relating to such securities laws, rules and regulations.</w:t>
      </w:r>
    </w:p>
    <w:p>
      <w:pPr>
        <w:spacing w:after="0" w:line="148" w:lineRule="exact"/>
        <w:rPr>
          <w:rFonts w:ascii="Arial" w:cs="Arial" w:eastAsia="Arial" w:hAnsi="Arial"/>
          <w:sz w:val="15"/>
          <w:szCs w:val="15"/>
          <w:b w:val="1"/>
          <w:bCs w:val="1"/>
          <w:color w:val="auto"/>
        </w:rPr>
      </w:pPr>
    </w:p>
    <w:p>
      <w:pPr>
        <w:ind w:right="60" w:firstLine="1172"/>
        <w:spacing w:after="0" w:line="284" w:lineRule="auto"/>
        <w:tabs>
          <w:tab w:leader="none" w:pos="1471" w:val="left"/>
        </w:tabs>
        <w:numPr>
          <w:ilvl w:val="0"/>
          <w:numId w:val="1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Filing of Agreement. </w:t>
      </w:r>
      <w:r>
        <w:rPr>
          <w:rFonts w:ascii="Arial" w:cs="Arial" w:eastAsia="Arial" w:hAnsi="Arial"/>
          <w:sz w:val="15"/>
          <w:szCs w:val="15"/>
          <w:color w:val="auto"/>
        </w:rPr>
        <w:t>The Parties acknowledge that either or both Parties may be obligated under the disclosure requirements of an Exchange to file a</w:t>
      </w:r>
      <w:r>
        <w:rPr>
          <w:rFonts w:ascii="Arial" w:cs="Arial" w:eastAsia="Arial" w:hAnsi="Arial"/>
          <w:sz w:val="15"/>
          <w:szCs w:val="15"/>
          <w:b w:val="1"/>
          <w:bCs w:val="1"/>
          <w:color w:val="auto"/>
        </w:rPr>
        <w:t xml:space="preserve"> </w:t>
      </w:r>
      <w:r>
        <w:rPr>
          <w:rFonts w:ascii="Arial" w:cs="Arial" w:eastAsia="Arial" w:hAnsi="Arial"/>
          <w:sz w:val="15"/>
          <w:szCs w:val="15"/>
          <w:color w:val="auto"/>
        </w:rPr>
        <w:t>copy of this Agreement with such Exchange. Each Party shall be entitled to make such a required filing, provided that it uses commercially reasonable efforts to request confidential treatment of the commercial terms and sensitive technical terms of this Agreement, to the extent such confidential treatment is reasonably available to such Party. The filing Party shall provide to the other Party a copy of this Agreement marked to show the provisions for which the filing Party intends to seek confidential treatment no less than [*] before the date of the proposed filing, for such other Party’s review and comment, [*]</w:t>
      </w:r>
    </w:p>
    <w:p>
      <w:pPr>
        <w:spacing w:after="0" w:line="152" w:lineRule="exact"/>
        <w:rPr>
          <w:rFonts w:ascii="Arial" w:cs="Arial" w:eastAsia="Arial" w:hAnsi="Arial"/>
          <w:sz w:val="15"/>
          <w:szCs w:val="15"/>
          <w:b w:val="1"/>
          <w:bCs w:val="1"/>
          <w:color w:val="auto"/>
        </w:rPr>
      </w:pPr>
    </w:p>
    <w:p>
      <w:pPr>
        <w:ind w:left="5500" w:hanging="102"/>
        <w:spacing w:after="0"/>
        <w:tabs>
          <w:tab w:leader="none" w:pos="55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45720</wp:posOffset>
            </wp:positionV>
            <wp:extent cx="725995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00"/>
          </w:cols>
          <w:pgMar w:left="380" w:top="127" w:right="219" w:bottom="1440" w:gutter="0" w:footer="0" w:header="0"/>
        </w:sectPr>
      </w:pPr>
    </w:p>
    <w:bookmarkStart w:id="215" w:name="page216"/>
    <w:bookmarkEnd w:id="215"/>
    <w:tbl>
      <w:tblPr>
        <w:tblLayout w:type="fixed"/>
        <w:tblInd w:w="58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0380" w:type="dxa"/>
            <w:vAlign w:val="bottom"/>
          </w:tcPr>
          <w:p>
            <w:pPr>
              <w:ind w:left="9180"/>
              <w:spacing w:after="0"/>
              <w:rPr>
                <w:sz w:val="20"/>
                <w:szCs w:val="20"/>
                <w:color w:val="auto"/>
              </w:rPr>
            </w:pPr>
            <w:r>
              <w:rPr>
                <w:rFonts w:ascii="Arial" w:cs="Arial" w:eastAsia="Arial" w:hAnsi="Arial"/>
                <w:sz w:val="16"/>
                <w:szCs w:val="16"/>
                <w:color w:val="auto"/>
              </w:rPr>
              <w:t>CONFIDENTIAL</w:t>
            </w:r>
          </w:p>
        </w:tc>
      </w:tr>
      <w:tr>
        <w:trPr>
          <w:trHeight w:val="390"/>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8.4</w:t>
            </w:r>
          </w:p>
        </w:tc>
        <w:tc>
          <w:tcPr>
            <w:tcW w:w="10380" w:type="dxa"/>
            <w:vAlign w:val="bottom"/>
          </w:tcPr>
          <w:p>
            <w:pPr>
              <w:ind w:left="300"/>
              <w:spacing w:after="0"/>
              <w:rPr>
                <w:sz w:val="20"/>
                <w:szCs w:val="20"/>
                <w:color w:val="auto"/>
              </w:rPr>
            </w:pPr>
            <w:r>
              <w:rPr>
                <w:rFonts w:ascii="Arial" w:cs="Arial" w:eastAsia="Arial" w:hAnsi="Arial"/>
                <w:sz w:val="16"/>
                <w:szCs w:val="16"/>
                <w:b w:val="1"/>
                <w:bCs w:val="1"/>
                <w:color w:val="auto"/>
                <w:w w:val="92"/>
              </w:rPr>
              <w:t xml:space="preserve">Use of Names. </w:t>
            </w:r>
            <w:r>
              <w:rPr>
                <w:rFonts w:ascii="Arial" w:cs="Arial" w:eastAsia="Arial" w:hAnsi="Arial"/>
                <w:sz w:val="16"/>
                <w:szCs w:val="16"/>
                <w:color w:val="auto"/>
                <w:w w:val="92"/>
              </w:rPr>
              <w:t>Each Party will identify the other Party and acknowledge its support in any press release and any publication or presentation of any Study</w:t>
            </w:r>
          </w:p>
        </w:tc>
      </w:tr>
    </w:tbl>
    <w:p>
      <w:pPr>
        <w:ind w:right="80"/>
        <w:spacing w:after="0" w:line="315" w:lineRule="auto"/>
        <w:rPr>
          <w:sz w:val="20"/>
          <w:szCs w:val="20"/>
          <w:color w:val="auto"/>
        </w:rPr>
      </w:pPr>
      <w:r>
        <w:rPr>
          <w:rFonts w:ascii="Arial" w:cs="Arial" w:eastAsia="Arial" w:hAnsi="Arial"/>
          <w:sz w:val="14"/>
          <w:szCs w:val="14"/>
          <w:color w:val="auto"/>
        </w:rPr>
        <w:t>Data or Sample Data (which shall be in accordance with other provisions of this Agreement, including Section 8.2). Except as otherwise expressly provided in this Agreement, no right, express or implied, is granted by the Agreement to use in any manner the name of “BioLineRx,” “Genentech,” “Roche” or any other trade name or trademark of the other Party (or its Affiliates) in any public statement or for commercial, marketing or other promotional purpose, without the other Party’s prior written consent.</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0060" w:type="dxa"/>
            <w:vAlign w:val="bottom"/>
          </w:tcPr>
          <w:p>
            <w:pPr>
              <w:jc w:val="center"/>
              <w:ind w:right="659"/>
              <w:spacing w:after="0"/>
              <w:rPr>
                <w:sz w:val="20"/>
                <w:szCs w:val="20"/>
                <w:color w:val="auto"/>
              </w:rPr>
            </w:pPr>
            <w:r>
              <w:rPr>
                <w:rFonts w:ascii="Arial" w:cs="Arial" w:eastAsia="Arial" w:hAnsi="Arial"/>
                <w:sz w:val="16"/>
                <w:szCs w:val="16"/>
                <w:b w:val="1"/>
                <w:bCs w:val="1"/>
                <w:color w:val="auto"/>
                <w:w w:val="94"/>
              </w:rPr>
              <w:t>Article 9</w:t>
            </w:r>
          </w:p>
        </w:tc>
      </w:tr>
      <w:tr>
        <w:trPr>
          <w:trHeight w:val="211"/>
        </w:trPr>
        <w:tc>
          <w:tcPr>
            <w:tcW w:w="480" w:type="dxa"/>
            <w:vAlign w:val="bottom"/>
          </w:tcPr>
          <w:p>
            <w:pPr>
              <w:spacing w:after="0"/>
              <w:rPr>
                <w:sz w:val="18"/>
                <w:szCs w:val="18"/>
                <w:color w:val="auto"/>
              </w:rPr>
            </w:pPr>
          </w:p>
        </w:tc>
        <w:tc>
          <w:tcPr>
            <w:tcW w:w="10060" w:type="dxa"/>
            <w:vAlign w:val="bottom"/>
          </w:tcPr>
          <w:p>
            <w:pPr>
              <w:jc w:val="center"/>
              <w:ind w:right="679"/>
              <w:spacing w:after="0"/>
              <w:rPr>
                <w:sz w:val="20"/>
                <w:szCs w:val="20"/>
                <w:color w:val="auto"/>
              </w:rPr>
            </w:pPr>
            <w:r>
              <w:rPr>
                <w:rFonts w:ascii="Arial" w:cs="Arial" w:eastAsia="Arial" w:hAnsi="Arial"/>
                <w:sz w:val="16"/>
                <w:szCs w:val="16"/>
                <w:b w:val="1"/>
                <w:bCs w:val="1"/>
                <w:color w:val="auto"/>
                <w:w w:val="90"/>
              </w:rPr>
              <w:t>Human Subjects</w:t>
            </w:r>
          </w:p>
        </w:tc>
      </w:tr>
      <w:tr>
        <w:trPr>
          <w:trHeight w:val="329"/>
        </w:trPr>
        <w:tc>
          <w:tcPr>
            <w:tcW w:w="480" w:type="dxa"/>
            <w:vAlign w:val="bottom"/>
          </w:tcPr>
          <w:p>
            <w:pPr>
              <w:jc w:val="right"/>
              <w:ind w:right="199"/>
              <w:spacing w:after="0"/>
              <w:rPr>
                <w:sz w:val="20"/>
                <w:szCs w:val="20"/>
                <w:color w:val="auto"/>
              </w:rPr>
            </w:pPr>
            <w:r>
              <w:rPr>
                <w:rFonts w:ascii="Arial" w:cs="Arial" w:eastAsia="Arial" w:hAnsi="Arial"/>
                <w:sz w:val="16"/>
                <w:szCs w:val="16"/>
                <w:b w:val="1"/>
                <w:bCs w:val="1"/>
                <w:color w:val="auto"/>
                <w:w w:val="80"/>
              </w:rPr>
              <w:t>9.1</w:t>
            </w:r>
          </w:p>
        </w:tc>
        <w:tc>
          <w:tcPr>
            <w:tcW w:w="10060" w:type="dxa"/>
            <w:vAlign w:val="bottom"/>
          </w:tcPr>
          <w:p>
            <w:pPr>
              <w:ind w:left="300"/>
              <w:spacing w:after="0"/>
              <w:rPr>
                <w:sz w:val="20"/>
                <w:szCs w:val="20"/>
                <w:color w:val="auto"/>
              </w:rPr>
            </w:pPr>
            <w:r>
              <w:rPr>
                <w:rFonts w:ascii="Arial" w:cs="Arial" w:eastAsia="Arial" w:hAnsi="Arial"/>
                <w:sz w:val="16"/>
                <w:szCs w:val="16"/>
                <w:b w:val="1"/>
                <w:bCs w:val="1"/>
                <w:color w:val="auto"/>
                <w:w w:val="92"/>
              </w:rPr>
              <w:t xml:space="preserve">Informed Consent. </w:t>
            </w:r>
            <w:r>
              <w:rPr>
                <w:rFonts w:ascii="Arial" w:cs="Arial" w:eastAsia="Arial" w:hAnsi="Arial"/>
                <w:sz w:val="16"/>
                <w:szCs w:val="16"/>
                <w:color w:val="auto"/>
                <w:w w:val="92"/>
              </w:rPr>
              <w:t>Sponsor shall obtain the informed consent of all Subjects participating in the Sponsor’s Study(ies), in accordance with Applicable</w:t>
            </w:r>
          </w:p>
        </w:tc>
      </w:tr>
    </w:tbl>
    <w:p>
      <w:pPr>
        <w:ind w:right="20"/>
        <w:spacing w:after="0" w:line="261" w:lineRule="auto"/>
        <w:rPr>
          <w:sz w:val="20"/>
          <w:szCs w:val="20"/>
          <w:color w:val="auto"/>
        </w:rPr>
      </w:pPr>
      <w:r>
        <w:rPr>
          <w:rFonts w:ascii="Arial" w:cs="Arial" w:eastAsia="Arial" w:hAnsi="Arial"/>
          <w:sz w:val="16"/>
          <w:szCs w:val="16"/>
          <w:color w:val="auto"/>
        </w:rPr>
        <w:t>Law. The informed consent form shall (a) include risks and discomforts associated with the Non-Sponsor Compound substantially similar to those identified in the safety information made available to Sponsor by Non-Sponsor and (b) include consent from such Subjects to collect and use the Samples for research and development of the Sponsor Compound, the Non-Sponsor Compound, the Combination, biomarkers and any other research.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9.2</w:t>
            </w:r>
          </w:p>
        </w:tc>
        <w:tc>
          <w:tcPr>
            <w:tcW w:w="10300" w:type="dxa"/>
            <w:vAlign w:val="bottom"/>
          </w:tcPr>
          <w:p>
            <w:pPr>
              <w:ind w:left="300"/>
              <w:spacing w:after="0"/>
              <w:rPr>
                <w:sz w:val="20"/>
                <w:szCs w:val="20"/>
                <w:color w:val="auto"/>
              </w:rPr>
            </w:pPr>
            <w:r>
              <w:rPr>
                <w:rFonts w:ascii="Arial" w:cs="Arial" w:eastAsia="Arial" w:hAnsi="Arial"/>
                <w:sz w:val="16"/>
                <w:szCs w:val="16"/>
                <w:b w:val="1"/>
                <w:bCs w:val="1"/>
                <w:color w:val="auto"/>
                <w:w w:val="92"/>
              </w:rPr>
              <w:t xml:space="preserve">IRB Approval. </w:t>
            </w:r>
            <w:r>
              <w:rPr>
                <w:rFonts w:ascii="Arial" w:cs="Arial" w:eastAsia="Arial" w:hAnsi="Arial"/>
                <w:sz w:val="16"/>
                <w:szCs w:val="16"/>
                <w:color w:val="auto"/>
                <w:w w:val="92"/>
              </w:rPr>
              <w:t>Sponsor shall obtain IRB review and approval of the Protocol(s) for the Sponsor’s Study(ies) and the informed consent form to be used in</w:t>
            </w:r>
          </w:p>
        </w:tc>
      </w:tr>
      <w:tr>
        <w:trPr>
          <w:trHeight w:val="207"/>
        </w:trPr>
        <w:tc>
          <w:tcPr>
            <w:tcW w:w="11360" w:type="dxa"/>
            <w:vAlign w:val="bottom"/>
            <w:gridSpan w:val="2"/>
          </w:tcPr>
          <w:p>
            <w:pPr>
              <w:spacing w:after="0"/>
              <w:rPr>
                <w:sz w:val="20"/>
                <w:szCs w:val="20"/>
                <w:color w:val="auto"/>
              </w:rPr>
            </w:pPr>
            <w:r>
              <w:rPr>
                <w:rFonts w:ascii="Arial" w:cs="Arial" w:eastAsia="Arial" w:hAnsi="Arial"/>
                <w:sz w:val="16"/>
                <w:szCs w:val="16"/>
                <w:color w:val="auto"/>
              </w:rPr>
              <w:t>such Study(ies) in accordance with Applicable Law.</w:t>
            </w:r>
          </w:p>
        </w:tc>
      </w:tr>
      <w:tr>
        <w:trPr>
          <w:trHeight w:val="390"/>
        </w:trPr>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9.3</w:t>
            </w:r>
          </w:p>
        </w:tc>
        <w:tc>
          <w:tcPr>
            <w:tcW w:w="10300" w:type="dxa"/>
            <w:vAlign w:val="bottom"/>
          </w:tcPr>
          <w:p>
            <w:pPr>
              <w:ind w:left="300"/>
              <w:spacing w:after="0"/>
              <w:rPr>
                <w:sz w:val="20"/>
                <w:szCs w:val="20"/>
                <w:color w:val="auto"/>
              </w:rPr>
            </w:pPr>
            <w:r>
              <w:rPr>
                <w:rFonts w:ascii="Arial" w:cs="Arial" w:eastAsia="Arial" w:hAnsi="Arial"/>
                <w:sz w:val="16"/>
                <w:szCs w:val="16"/>
                <w:b w:val="1"/>
                <w:bCs w:val="1"/>
                <w:color w:val="auto"/>
                <w:w w:val="95"/>
              </w:rPr>
              <w:t>Patient Privacy and Data Protection</w:t>
            </w:r>
            <w:r>
              <w:rPr>
                <w:rFonts w:ascii="Arial" w:cs="Arial" w:eastAsia="Arial" w:hAnsi="Arial"/>
                <w:sz w:val="16"/>
                <w:szCs w:val="16"/>
                <w:color w:val="auto"/>
                <w:w w:val="95"/>
              </w:rPr>
              <w:t>. Each Party shall comply with Applicable Law relating to patient privacy and data protection. Such compliance</w:t>
            </w:r>
          </w:p>
        </w:tc>
      </w:tr>
    </w:tbl>
    <w:p>
      <w:pPr>
        <w:ind w:right="60"/>
        <w:spacing w:after="0" w:line="256" w:lineRule="auto"/>
        <w:rPr>
          <w:sz w:val="20"/>
          <w:szCs w:val="20"/>
          <w:color w:val="auto"/>
        </w:rPr>
      </w:pPr>
      <w:r>
        <w:rPr>
          <w:rFonts w:ascii="Arial" w:cs="Arial" w:eastAsia="Arial" w:hAnsi="Arial"/>
          <w:sz w:val="16"/>
          <w:szCs w:val="16"/>
          <w:color w:val="auto"/>
        </w:rPr>
        <w:t>includes obtaining, in a manner consistent with HIPAA, authorization from each Subject to provide such Subject’s Protected Health Information (or “PHI” as that term is defined in HIPAA) to Sponsor, and its representatives, collaborators (including Non-Sponsor and its Affiliates) and licensees for the purposes of (a) conducting the given Study(ies) and performing the Sample Analyses; (b) conducting research directly related to the health condition under investigation pursuant to the relevant Protocol and related diseases; (c) using the Genentech Compound and the BioLineRx Compound in disease therapy or diagnosis; and (d) inspecting records and/or facilities relevant to such Study(ies). Each Party shall not disclose, in any publication, information that would reveal the identity of a Subject (such as name, photograph, social security number, telephone number or address), without the written consent of such Subject.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Subcontracting; Records</w:t>
      </w:r>
    </w:p>
    <w:p>
      <w:pPr>
        <w:spacing w:after="0" w:line="117" w:lineRule="exact"/>
        <w:rPr>
          <w:sz w:val="20"/>
          <w:szCs w:val="20"/>
          <w:color w:val="auto"/>
        </w:rPr>
      </w:pPr>
    </w:p>
    <w:p>
      <w:pPr>
        <w:ind w:right="60" w:firstLine="584"/>
        <w:spacing w:after="0" w:line="262" w:lineRule="auto"/>
        <w:rPr>
          <w:sz w:val="20"/>
          <w:szCs w:val="20"/>
          <w:color w:val="auto"/>
        </w:rPr>
      </w:pPr>
      <w:r>
        <w:rPr>
          <w:rFonts w:ascii="Arial" w:cs="Arial" w:eastAsia="Arial" w:hAnsi="Arial"/>
          <w:sz w:val="16"/>
          <w:szCs w:val="16"/>
          <w:b w:val="1"/>
          <w:bCs w:val="1"/>
          <w:color w:val="auto"/>
        </w:rPr>
        <w:t xml:space="preserve">10.1 Subcontracting. </w:t>
      </w:r>
      <w:r>
        <w:rPr>
          <w:rFonts w:ascii="Arial" w:cs="Arial" w:eastAsia="Arial" w:hAnsi="Arial"/>
          <w:sz w:val="16"/>
          <w:szCs w:val="16"/>
          <w:color w:val="auto"/>
        </w:rPr>
        <w:t>In addition to the right to perform its obligations through its Affiliates (as set forth in Section 16.3), each Party shall have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 any portion (but not all) of its obligations under this Agreement to a subcontractor, provided that such Party shall remain solely and fully liable for the performance of such subcontractors. Each Party shall ensure that each of its subcontractors performs its obligations pursuant to the terms of this Agreement, including the Exhibits. Each Party shall use commercially reasonable efforts to obtain and maintain copies of documents relating to the obligations performed by such subcontractors that are held by or under the control of such subcontractors and that are required to be provided to the other Party under this Agreement.</w:t>
      </w:r>
    </w:p>
    <w:p>
      <w:pPr>
        <w:spacing w:after="0" w:line="165" w:lineRule="exact"/>
        <w:rPr>
          <w:sz w:val="20"/>
          <w:szCs w:val="20"/>
          <w:color w:val="auto"/>
        </w:rPr>
      </w:pPr>
    </w:p>
    <w:p>
      <w:pPr>
        <w:ind w:right="140" w:firstLine="584"/>
        <w:spacing w:after="0" w:line="288" w:lineRule="auto"/>
        <w:rPr>
          <w:sz w:val="20"/>
          <w:szCs w:val="20"/>
          <w:color w:val="auto"/>
        </w:rPr>
      </w:pPr>
      <w:r>
        <w:rPr>
          <w:rFonts w:ascii="Arial" w:cs="Arial" w:eastAsia="Arial" w:hAnsi="Arial"/>
          <w:sz w:val="16"/>
          <w:szCs w:val="16"/>
          <w:b w:val="1"/>
          <w:bCs w:val="1"/>
          <w:color w:val="auto"/>
        </w:rPr>
        <w:t xml:space="preserve">10.2 Records. </w:t>
      </w:r>
      <w:r>
        <w:rPr>
          <w:rFonts w:ascii="Arial" w:cs="Arial" w:eastAsia="Arial" w:hAnsi="Arial"/>
          <w:sz w:val="16"/>
          <w:szCs w:val="16"/>
          <w:color w:val="auto"/>
        </w:rPr>
        <w:t>In addition to providing Study Data to Non-Sponsor under Section 5.1(a), Sponsor shall permit, and shall use commercially reasonable efforts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that [*]</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color w:val="auto"/>
        </w:rPr>
        <w:t>CONFIDENTIAL</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Compliance With Laws</w:t>
      </w:r>
    </w:p>
    <w:p>
      <w:pPr>
        <w:spacing w:after="0" w:line="129" w:lineRule="exact"/>
        <w:rPr>
          <w:sz w:val="20"/>
          <w:szCs w:val="20"/>
          <w:color w:val="auto"/>
        </w:rPr>
      </w:pPr>
    </w:p>
    <w:p>
      <w:pPr>
        <w:ind w:firstLine="584"/>
        <w:spacing w:after="0" w:line="259" w:lineRule="auto"/>
        <w:rPr>
          <w:sz w:val="20"/>
          <w:szCs w:val="20"/>
          <w:color w:val="auto"/>
        </w:rPr>
      </w:pPr>
      <w:r>
        <w:rPr>
          <w:rFonts w:ascii="Arial" w:cs="Arial" w:eastAsia="Arial" w:hAnsi="Arial"/>
          <w:sz w:val="16"/>
          <w:szCs w:val="16"/>
          <w:b w:val="1"/>
          <w:bCs w:val="1"/>
          <w:color w:val="auto"/>
        </w:rPr>
        <w:t xml:space="preserve">11.1 Compliance With Laws and Policies. </w:t>
      </w:r>
      <w:r>
        <w:rPr>
          <w:rFonts w:ascii="Arial" w:cs="Arial" w:eastAsia="Arial" w:hAnsi="Arial"/>
          <w:sz w:val="16"/>
          <w:szCs w:val="16"/>
          <w:color w:val="auto"/>
        </w:rPr>
        <w:t>Each Party shall perform activities under this Agreement in compliance with Applicable Law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good business ethics and the ethics and other corporate policies applicable to such Party. Specifically, each Party covenants that it, its directors, employees, officers, and anyone acting on its behalf, shall not, in connection with the performance of this Agreement, directly or indirectly, make, promise, authorize, ratify or offer to make, or take any act in furtherance of any payment or transfer of anything of value for the purpose of influencing, inducing or rewarding any act, omission or decision to secure an improper advantage; or improperly assisting it in obtaining or retaining business for it or the other Party, or in any way with the purpose or effect of public or commercial bribery. Other provisions of the Agreement require compliance with specified areas of Applicable Law and such other provisions do not limit the scope of compliance required of the Parties under this Section 11.1.</w:t>
      </w:r>
    </w:p>
    <w:p>
      <w:pPr>
        <w:spacing w:after="0" w:line="169" w:lineRule="exact"/>
        <w:rPr>
          <w:sz w:val="20"/>
          <w:szCs w:val="20"/>
          <w:color w:val="auto"/>
        </w:rPr>
      </w:pPr>
    </w:p>
    <w:p>
      <w:pPr>
        <w:ind w:right="20" w:firstLine="584"/>
        <w:spacing w:after="0" w:line="261" w:lineRule="auto"/>
        <w:rPr>
          <w:sz w:val="20"/>
          <w:szCs w:val="20"/>
          <w:color w:val="auto"/>
        </w:rPr>
      </w:pPr>
      <w:r>
        <w:rPr>
          <w:rFonts w:ascii="Arial" w:cs="Arial" w:eastAsia="Arial" w:hAnsi="Arial"/>
          <w:sz w:val="16"/>
          <w:szCs w:val="16"/>
          <w:b w:val="1"/>
          <w:bCs w:val="1"/>
          <w:color w:val="auto"/>
        </w:rPr>
        <w:t xml:space="preserve">11.2 Debarment. </w:t>
      </w:r>
      <w:r>
        <w:rPr>
          <w:rFonts w:ascii="Arial" w:cs="Arial" w:eastAsia="Arial" w:hAnsi="Arial"/>
          <w:sz w:val="16"/>
          <w:szCs w:val="16"/>
          <w:color w:val="auto"/>
        </w:rPr>
        <w:t>Sponsor shall require each Project Participant in Sponsor’s Study(ies) to (a) represent and warrant or (b) represent and certify, in either case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that neither such Project Participant nor anyone employed by such Project Participant has been debarred under 21 USC § 335a, disqualified under 21 CFR § 312.70 or § 812.119, sanctioned by a Federal Health Care Program (as defined in 42 USC § 1320a-7b(f)), including the federal Medicare or a state Medicaid program, or debarred, suspended, excluded or otherwise declared ineligible from any other similar regional, national, federal or state agency or program. If a Project Participant receives notice of debarment, suspension, sanction, exclusion, ineligibility or disqualification under the foregoing-referenced statutes, Sponsor shall promptly notify Non-Sponsor in writing, and the Parties shall agree upon appropriate action to address the matter.</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 Termination</w:t>
      </w:r>
    </w:p>
    <w:p>
      <w:pPr>
        <w:spacing w:after="0" w:line="129" w:lineRule="exact"/>
        <w:rPr>
          <w:sz w:val="20"/>
          <w:szCs w:val="20"/>
          <w:color w:val="auto"/>
        </w:rPr>
      </w:pPr>
    </w:p>
    <w:p>
      <w:pPr>
        <w:jc w:val="both"/>
        <w:ind w:right="220" w:firstLine="584"/>
        <w:spacing w:after="0" w:line="271" w:lineRule="auto"/>
        <w:rPr>
          <w:sz w:val="20"/>
          <w:szCs w:val="20"/>
          <w:color w:val="auto"/>
        </w:rPr>
      </w:pPr>
      <w:r>
        <w:rPr>
          <w:rFonts w:ascii="Arial" w:cs="Arial" w:eastAsia="Arial" w:hAnsi="Arial"/>
          <w:sz w:val="16"/>
          <w:szCs w:val="16"/>
          <w:b w:val="1"/>
          <w:bCs w:val="1"/>
          <w:color w:val="auto"/>
        </w:rPr>
        <w:t>12.1 Term</w:t>
      </w:r>
      <w:r>
        <w:rPr>
          <w:rFonts w:ascii="Arial" w:cs="Arial" w:eastAsia="Arial" w:hAnsi="Arial"/>
          <w:sz w:val="16"/>
          <w:szCs w:val="16"/>
          <w:color w:val="auto"/>
        </w:rPr>
        <w:t>. This Agreement shall be effective as of the Effective Date. Unless sooner terminated as provided in this Article 12, this Agreement shall expire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day after </w:t>
      </w:r>
      <w:r>
        <w:rPr>
          <w:rFonts w:ascii="Arial" w:cs="Arial" w:eastAsia="Arial" w:hAnsi="Arial"/>
          <w:sz w:val="16"/>
          <w:szCs w:val="16"/>
          <w:i w:val="1"/>
          <w:iCs w:val="1"/>
          <w:color w:val="auto"/>
        </w:rPr>
        <w:t>all</w:t>
      </w:r>
      <w:r>
        <w:rPr>
          <w:rFonts w:ascii="Arial" w:cs="Arial" w:eastAsia="Arial" w:hAnsi="Arial"/>
          <w:sz w:val="16"/>
          <w:szCs w:val="16"/>
          <w:color w:val="auto"/>
        </w:rPr>
        <w:t xml:space="preserve"> of the following obligations are fulfilled for each Study: (a) Sponsor provides the Final Study Report to Non-Sponsor in accordance with Section 2.9(c) and each Party provides to the other Party the Sample Data in accordance with Section 5.2(a).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285" w:right="219" w:bottom="1440" w:gutter="0" w:footer="0" w:header="0"/>
        </w:sectPr>
      </w:pPr>
    </w:p>
    <w:bookmarkStart w:id="217" w:name="page218"/>
    <w:bookmarkEnd w:id="217"/>
    <w:p>
      <w:pPr>
        <w:ind w:left="10240"/>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right="20" w:firstLine="584"/>
        <w:spacing w:after="0" w:line="288" w:lineRule="auto"/>
        <w:rPr>
          <w:sz w:val="20"/>
          <w:szCs w:val="20"/>
          <w:color w:val="auto"/>
        </w:rPr>
      </w:pPr>
      <w:r>
        <w:rPr>
          <w:rFonts w:ascii="Arial" w:cs="Arial" w:eastAsia="Arial" w:hAnsi="Arial"/>
          <w:sz w:val="15"/>
          <w:szCs w:val="15"/>
          <w:b w:val="1"/>
          <w:bCs w:val="1"/>
          <w:color w:val="auto"/>
        </w:rPr>
        <w:t xml:space="preserve">12.2 Termination for Material Breach. </w:t>
      </w:r>
      <w:r>
        <w:rPr>
          <w:rFonts w:ascii="Arial" w:cs="Arial" w:eastAsia="Arial" w:hAnsi="Arial"/>
          <w:sz w:val="15"/>
          <w:szCs w:val="15"/>
          <w:color w:val="auto"/>
        </w:rPr>
        <w:t>Either Party may terminate this Agreement, by written notice delivered to the other Party, for any material breach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by the other Party, if such breach is not cured within [*] after the breaching Party receives notice of such breach from the non-breaching Party describing such breach and demanding its cure; provided, however, if such breach is not capable of being cured within [*] period, the cure period shall be extended for such amount of time that the Parties mutually agree in writing is reasonably necessary to cure such breach, so long as the breaching Party is using diligent efforts to do so.</w:t>
      </w:r>
    </w:p>
    <w:p>
      <w:pPr>
        <w:spacing w:after="0" w:line="146" w:lineRule="exact"/>
        <w:rPr>
          <w:sz w:val="20"/>
          <w:szCs w:val="20"/>
          <w:color w:val="auto"/>
        </w:rPr>
      </w:pPr>
    </w:p>
    <w:p>
      <w:pPr>
        <w:ind w:right="100" w:firstLine="584"/>
        <w:spacing w:after="0" w:line="288" w:lineRule="auto"/>
        <w:rPr>
          <w:sz w:val="20"/>
          <w:szCs w:val="20"/>
          <w:color w:val="auto"/>
        </w:rPr>
      </w:pPr>
      <w:r>
        <w:rPr>
          <w:rFonts w:ascii="Arial" w:cs="Arial" w:eastAsia="Arial" w:hAnsi="Arial"/>
          <w:sz w:val="16"/>
          <w:szCs w:val="16"/>
          <w:b w:val="1"/>
          <w:bCs w:val="1"/>
          <w:color w:val="auto"/>
        </w:rPr>
        <w:t>12.3 Termination for Other Reasons</w:t>
      </w:r>
      <w:r>
        <w:rPr>
          <w:rFonts w:ascii="Arial" w:cs="Arial" w:eastAsia="Arial" w:hAnsi="Arial"/>
          <w:sz w:val="16"/>
          <w:szCs w:val="16"/>
          <w:color w:val="auto"/>
        </w:rPr>
        <w:t>. Either Party may immediately suspend a given Study and/or all Studies, and/or upon [*] written notice to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this Agreement, if:</w:t>
      </w:r>
    </w:p>
    <w:p>
      <w:pPr>
        <w:spacing w:after="0" w:line="147" w:lineRule="exact"/>
        <w:rPr>
          <w:sz w:val="20"/>
          <w:szCs w:val="20"/>
          <w:color w:val="auto"/>
        </w:rPr>
      </w:pPr>
    </w:p>
    <w:p>
      <w:pPr>
        <w:ind w:left="140" w:right="20" w:firstLine="1172"/>
        <w:spacing w:after="0" w:line="282" w:lineRule="auto"/>
        <w:tabs>
          <w:tab w:leader="none" w:pos="1620" w:val="left"/>
        </w:tabs>
        <w:numPr>
          <w:ilvl w:val="0"/>
          <w:numId w:val="175"/>
        </w:numPr>
        <w:rPr>
          <w:rFonts w:ascii="Arial" w:cs="Arial" w:eastAsia="Arial" w:hAnsi="Arial"/>
          <w:sz w:val="15"/>
          <w:szCs w:val="15"/>
          <w:b w:val="1"/>
          <w:bCs w:val="1"/>
          <w:color w:val="auto"/>
        </w:rPr>
      </w:pPr>
      <w:r>
        <w:rPr>
          <w:rFonts w:ascii="Arial" w:cs="Arial" w:eastAsia="Arial" w:hAnsi="Arial"/>
          <w:sz w:val="15"/>
          <w:szCs w:val="15"/>
          <w:color w:val="auto"/>
        </w:rPr>
        <w:t>based on a review of Study Data or other Study-related information, such Party reasonably determines, using sound medical judgment, that a given Study or all Studies may unreasonably affect patient safety, then such Party may immediately suspend such Study(ies) by written notice of suspension delivered to the other Party; and within the [*] period after delivery of such written notice of suspension, the Parties will discuss in good faith potential amendments to the associated Protocol(s) or other means to address such patient safety issue(s); provided that if the Parties are unable to find a resolution to such patient safety issue(s) within [*] period, then either Party may terminate this Agreement upon delivery of written notice of termination to the other Party;</w:t>
      </w:r>
    </w:p>
    <w:p>
      <w:pPr>
        <w:spacing w:after="0" w:line="155" w:lineRule="exact"/>
        <w:rPr>
          <w:rFonts w:ascii="Arial" w:cs="Arial" w:eastAsia="Arial" w:hAnsi="Arial"/>
          <w:sz w:val="15"/>
          <w:szCs w:val="15"/>
          <w:b w:val="1"/>
          <w:bCs w:val="1"/>
          <w:color w:val="auto"/>
        </w:rPr>
      </w:pPr>
    </w:p>
    <w:p>
      <w:pPr>
        <w:ind w:left="1600" w:hanging="288"/>
        <w:spacing w:after="0"/>
        <w:tabs>
          <w:tab w:leader="none" w:pos="1600"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any Regulatory Authority or IRB withdraws the authorization and/or approval to conduct a given Study or all Studies;</w:t>
      </w:r>
    </w:p>
    <w:p>
      <w:pPr>
        <w:spacing w:after="0" w:line="205" w:lineRule="exact"/>
        <w:rPr>
          <w:rFonts w:ascii="Arial" w:cs="Arial" w:eastAsia="Arial" w:hAnsi="Arial"/>
          <w:sz w:val="16"/>
          <w:szCs w:val="16"/>
          <w:b w:val="1"/>
          <w:bCs w:val="1"/>
          <w:color w:val="auto"/>
        </w:rPr>
      </w:pPr>
    </w:p>
    <w:p>
      <w:pPr>
        <w:ind w:left="1620" w:hanging="308"/>
        <w:spacing w:after="0"/>
        <w:tabs>
          <w:tab w:leader="none" w:pos="1620" w:val="left"/>
        </w:tabs>
        <w:numPr>
          <w:ilvl w:val="0"/>
          <w:numId w:val="175"/>
        </w:numPr>
        <w:rPr>
          <w:rFonts w:ascii="Arial" w:cs="Arial" w:eastAsia="Arial" w:hAnsi="Arial"/>
          <w:sz w:val="15"/>
          <w:szCs w:val="15"/>
          <w:b w:val="1"/>
          <w:bCs w:val="1"/>
          <w:color w:val="auto"/>
        </w:rPr>
      </w:pPr>
      <w:r>
        <w:rPr>
          <w:rFonts w:ascii="Arial" w:cs="Arial" w:eastAsia="Arial" w:hAnsi="Arial"/>
          <w:sz w:val="15"/>
          <w:szCs w:val="15"/>
          <w:color w:val="auto"/>
        </w:rPr>
        <w:t>any Regulatory Authority takes any action, or raises any objection, that prevents such Party from supplying its Compound for purposes of the</w:t>
      </w:r>
    </w:p>
    <w:p>
      <w:pPr>
        <w:spacing w:after="0" w:line="34" w:lineRule="exact"/>
        <w:rPr>
          <w:rFonts w:ascii="Arial" w:cs="Arial" w:eastAsia="Arial" w:hAnsi="Arial"/>
          <w:sz w:val="15"/>
          <w:szCs w:val="15"/>
          <w:b w:val="1"/>
          <w:bCs w:val="1"/>
          <w:color w:val="auto"/>
        </w:rPr>
      </w:pPr>
    </w:p>
    <w:p>
      <w:pPr>
        <w:ind w:left="140"/>
        <w:spacing w:after="0"/>
        <w:rPr>
          <w:rFonts w:ascii="Arial" w:cs="Arial" w:eastAsia="Arial" w:hAnsi="Arial"/>
          <w:sz w:val="15"/>
          <w:szCs w:val="15"/>
          <w:b w:val="1"/>
          <w:bCs w:val="1"/>
          <w:color w:val="auto"/>
        </w:rPr>
      </w:pPr>
      <w:r>
        <w:rPr>
          <w:rFonts w:ascii="Arial" w:cs="Arial" w:eastAsia="Arial" w:hAnsi="Arial"/>
          <w:sz w:val="16"/>
          <w:szCs w:val="16"/>
          <w:color w:val="auto"/>
        </w:rPr>
        <w:t>Study(ies);</w:t>
      </w:r>
    </w:p>
    <w:p>
      <w:pPr>
        <w:spacing w:after="0" w:line="193" w:lineRule="exact"/>
        <w:rPr>
          <w:rFonts w:ascii="Arial" w:cs="Arial" w:eastAsia="Arial" w:hAnsi="Arial"/>
          <w:sz w:val="15"/>
          <w:szCs w:val="15"/>
          <w:b w:val="1"/>
          <w:bCs w:val="1"/>
          <w:color w:val="auto"/>
        </w:rPr>
      </w:pPr>
    </w:p>
    <w:p>
      <w:pPr>
        <w:ind w:left="1600" w:hanging="288"/>
        <w:spacing w:after="0"/>
        <w:tabs>
          <w:tab w:leader="none" w:pos="1600"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the other Party breaches the representation and warranty under Section 13.1(c); or</w:t>
      </w:r>
    </w:p>
    <w:p>
      <w:pPr>
        <w:spacing w:after="0" w:line="205" w:lineRule="exact"/>
        <w:rPr>
          <w:rFonts w:ascii="Arial" w:cs="Arial" w:eastAsia="Arial" w:hAnsi="Arial"/>
          <w:sz w:val="16"/>
          <w:szCs w:val="16"/>
          <w:b w:val="1"/>
          <w:bCs w:val="1"/>
          <w:color w:val="auto"/>
        </w:rPr>
      </w:pPr>
    </w:p>
    <w:p>
      <w:pPr>
        <w:ind w:left="140" w:right="260" w:firstLine="1172"/>
        <w:spacing w:after="0" w:line="268" w:lineRule="auto"/>
        <w:tabs>
          <w:tab w:leader="none" w:pos="1611"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such Party determines, in its sole discretion, to discontinue all development of its Compound, for medical, scientific, business or legal reasons, provided that if Non-Sponsor is the terminating Party under this clause (e), it shall use commercially reasonable efforts to fulfill its Manufacturing and Supply obligations under Section 4.2 after such termination.</w:t>
      </w:r>
    </w:p>
    <w:p>
      <w:pPr>
        <w:spacing w:after="0" w:line="163"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auto"/>
        </w:rPr>
        <w:t>Prior to termination of the Agreement under clauses (a), (b) and (c) of this Section 12.3, the Joint Development Committee shall meet and seek to resolve the situation (other than by termination) to the reasonable satisfaction of the terminating Party. In addition, clauses (b) and (c) of this Section 12.3 will only apply to suspending the Study(ies) at Participating Sites under the jurisdiction of the applicable Regulatory Authority or IRB, and will not be cause for terminating the Agreement, unless such or similar actions are taken by the FDA, EMA or substantially all applicable Regulatory Authorities or IRBs (in which cases, the Agreement may be terminated).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4"/>
          <w:szCs w:val="14"/>
          <w:b w:val="1"/>
          <w:bCs w:val="1"/>
          <w:color w:val="auto"/>
        </w:rPr>
        <w:t>Termination due to Force Majeure Event.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Party not affected by a force majeure event shall have the right to terminate this Agreement as set forth in Section 16.5.</w:t>
      </w:r>
    </w:p>
    <w:p>
      <w:pPr>
        <w:spacing w:after="0" w:line="20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12.5</w:t>
      </w:r>
      <w:r>
        <w:rPr>
          <w:sz w:val="20"/>
          <w:szCs w:val="20"/>
          <w:color w:val="auto"/>
        </w:rPr>
        <w:tab/>
      </w:r>
      <w:r>
        <w:rPr>
          <w:rFonts w:ascii="Arial" w:cs="Arial" w:eastAsia="Arial" w:hAnsi="Arial"/>
          <w:sz w:val="14"/>
          <w:szCs w:val="14"/>
          <w:b w:val="1"/>
          <w:bCs w:val="1"/>
          <w:color w:val="auto"/>
        </w:rPr>
        <w:t>Effects of Termination or Expiration.</w:t>
      </w:r>
    </w:p>
    <w:p>
      <w:pPr>
        <w:spacing w:after="0" w:line="206" w:lineRule="exact"/>
        <w:rPr>
          <w:sz w:val="20"/>
          <w:szCs w:val="20"/>
          <w:color w:val="auto"/>
        </w:rPr>
      </w:pPr>
    </w:p>
    <w:p>
      <w:pPr>
        <w:ind w:left="140" w:right="20" w:firstLine="1172"/>
        <w:spacing w:after="0" w:line="281" w:lineRule="auto"/>
        <w:tabs>
          <w:tab w:leader="none" w:pos="1620"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Study Wind-Down; Return or Destruction of Compound, Tangible Materials, and Samples. </w:t>
      </w:r>
      <w:r>
        <w:rPr>
          <w:rFonts w:ascii="Arial" w:cs="Arial" w:eastAsia="Arial" w:hAnsi="Arial"/>
          <w:sz w:val="15"/>
          <w:szCs w:val="15"/>
          <w:color w:val="auto"/>
        </w:rPr>
        <w:t>Following termination of this Agreement under</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12.2 or Section 12.3, the Parties shall cooperate to ensure the orderly wind-down of Study(ies) activities, taking into consideration the safety and welfare of Subjects. Upon expiration or termination of this Agreement, each Party (as the Receiving Party) and its Affiliates shall promptly return or destroy the other Party’s Compound (in accordance with Section 4.2(c)), and destroy Tangible Materials, and Samples of the Disclosing Party furnished to such Party. Further, each Receiving Party shall cease use, and Receiving Party shall cause its disclosees to cease use, of the Disclosing Party’s Confidential Information, and shall store the Disclosing Party’s Confidential Information in a secure location, and in a manner that will protect it from prohibited uses by Receiving Party and its disclosees.</w:t>
      </w:r>
    </w:p>
    <w:p>
      <w:pPr>
        <w:spacing w:after="0" w:line="152" w:lineRule="exact"/>
        <w:rPr>
          <w:rFonts w:ascii="Arial" w:cs="Arial" w:eastAsia="Arial" w:hAnsi="Arial"/>
          <w:sz w:val="15"/>
          <w:szCs w:val="15"/>
          <w:b w:val="1"/>
          <w:bCs w:val="1"/>
          <w:color w:val="auto"/>
        </w:rPr>
      </w:pPr>
    </w:p>
    <w:p>
      <w:pPr>
        <w:ind w:left="140" w:right="80" w:firstLine="1172"/>
        <w:spacing w:after="0" w:line="297" w:lineRule="auto"/>
        <w:tabs>
          <w:tab w:leader="none" w:pos="1588"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Accrued Rights and Obligations. </w:t>
      </w:r>
      <w:r>
        <w:rPr>
          <w:rFonts w:ascii="Arial" w:cs="Arial" w:eastAsia="Arial" w:hAnsi="Arial"/>
          <w:sz w:val="15"/>
          <w:szCs w:val="15"/>
          <w:color w:val="auto"/>
        </w:rPr>
        <w:t>Except as otherwise expressly provided in this Agreement, termination of this Agreement shall not affect the rights</w:t>
      </w:r>
      <w:r>
        <w:rPr>
          <w:rFonts w:ascii="Arial" w:cs="Arial" w:eastAsia="Arial" w:hAnsi="Arial"/>
          <w:sz w:val="15"/>
          <w:szCs w:val="15"/>
          <w:b w:val="1"/>
          <w:bCs w:val="1"/>
          <w:color w:val="auto"/>
        </w:rPr>
        <w:t xml:space="preserve"> </w:t>
      </w:r>
      <w:r>
        <w:rPr>
          <w:rFonts w:ascii="Arial" w:cs="Arial" w:eastAsia="Arial" w:hAnsi="Arial"/>
          <w:sz w:val="15"/>
          <w:szCs w:val="15"/>
          <w:color w:val="auto"/>
        </w:rPr>
        <w:t>and obligations of the Parties that accrued prior to the effective date of such termination. Any right that a Party has to terminate this Agreement, and any rights that such Party has under this Article 12, shall be in addition to and not in lieu of all other rights or remedies that such Party may have at law or in equity or otherwise.</w:t>
      </w:r>
    </w:p>
    <w:p>
      <w:pPr>
        <w:spacing w:after="0" w:line="138" w:lineRule="exact"/>
        <w:rPr>
          <w:rFonts w:ascii="Arial" w:cs="Arial" w:eastAsia="Arial" w:hAnsi="Arial"/>
          <w:sz w:val="15"/>
          <w:szCs w:val="15"/>
          <w:b w:val="1"/>
          <w:bCs w:val="1"/>
          <w:color w:val="auto"/>
        </w:rPr>
      </w:pPr>
    </w:p>
    <w:p>
      <w:pPr>
        <w:ind w:left="1620" w:hanging="308"/>
        <w:spacing w:after="0"/>
        <w:tabs>
          <w:tab w:leader="none" w:pos="1620" w:val="left"/>
        </w:tabs>
        <w:numPr>
          <w:ilvl w:val="0"/>
          <w:numId w:val="17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Survival. </w:t>
      </w:r>
      <w:r>
        <w:rPr>
          <w:rFonts w:ascii="Arial" w:cs="Arial" w:eastAsia="Arial" w:hAnsi="Arial"/>
          <w:sz w:val="15"/>
          <w:szCs w:val="15"/>
          <w:color w:val="auto"/>
        </w:rPr>
        <w:t>Except as otherwise expressly provided in this Agreement, the following shall survive this Agreement’s expiration or termination for any</w:t>
      </w:r>
    </w:p>
    <w:p>
      <w:pPr>
        <w:spacing w:after="0" w:line="38" w:lineRule="exact"/>
        <w:rPr>
          <w:rFonts w:ascii="Arial" w:cs="Arial" w:eastAsia="Arial" w:hAnsi="Arial"/>
          <w:sz w:val="15"/>
          <w:szCs w:val="15"/>
          <w:b w:val="1"/>
          <w:bCs w:val="1"/>
          <w:color w:val="auto"/>
        </w:rPr>
      </w:pPr>
    </w:p>
    <w:p>
      <w:pPr>
        <w:ind w:left="140"/>
        <w:spacing w:after="0" w:line="300" w:lineRule="auto"/>
        <w:rPr>
          <w:rFonts w:ascii="Arial" w:cs="Arial" w:eastAsia="Arial" w:hAnsi="Arial"/>
          <w:sz w:val="15"/>
          <w:szCs w:val="15"/>
          <w:b w:val="1"/>
          <w:bCs w:val="1"/>
          <w:color w:val="auto"/>
        </w:rPr>
      </w:pPr>
      <w:r>
        <w:rPr>
          <w:rFonts w:ascii="Arial" w:cs="Arial" w:eastAsia="Arial" w:hAnsi="Arial"/>
          <w:sz w:val="14"/>
          <w:szCs w:val="14"/>
          <w:color w:val="auto"/>
        </w:rPr>
        <w:t>reason: Article 1 (Definitions), Section 2.7 (Regulatory Matters), Section 2.9(a) (Documentation), Section 2.12 (Additional Studies), Section 4.2(d) (Use of Compound), 4.2(c) (Remaining Compound), Article 5 (Study Data; Sample Analyses and Sample Data; Tangible Materials), Article 6 (Collaboration Inventions and Licenses), Article 7 (Confidentiality), Article 8 (Public Disclosures; Use of Names), Section 9.3 (Patient Privacy and Data Protection), Section 10.2 (Records), Section 12.5 (Effects of Termination), Article 13 (Representations and Warranties) and any representations and warranties in other Sections of the Agreement, Article 14 (Indemnification; Limitation on Liability; Insurance), Article 15 (Dispute Resolution) and Article 16 (Miscellaneous). To the extent applicable to a Section or Article that survives the expiration or termination of this Agreement, any other Sections and Articles that are (directly or indirectly) referenced in, or refer to, such surviving Section or Article shall survive.</w:t>
      </w:r>
    </w:p>
    <w:p>
      <w:pPr>
        <w:spacing w:after="0" w:line="144" w:lineRule="exact"/>
        <w:rPr>
          <w:rFonts w:ascii="Arial" w:cs="Arial" w:eastAsia="Arial" w:hAnsi="Arial"/>
          <w:sz w:val="15"/>
          <w:szCs w:val="15"/>
          <w:b w:val="1"/>
          <w:bCs w:val="1"/>
          <w:color w:val="auto"/>
        </w:rPr>
      </w:pPr>
    </w:p>
    <w:p>
      <w:pPr>
        <w:ind w:left="5640" w:hanging="102"/>
        <w:spacing w:after="0"/>
        <w:tabs>
          <w:tab w:leader="none" w:pos="56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6"/>
          <w:szCs w:val="16"/>
          <w:color w:val="auto"/>
        </w:rPr>
        <w:t>CONFIDENTIAL</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w:t>
      </w:r>
    </w:p>
    <w:p>
      <w:pPr>
        <w:spacing w:after="0" w:line="12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13.1</w:t>
      </w:r>
      <w:r>
        <w:rPr>
          <w:sz w:val="20"/>
          <w:szCs w:val="20"/>
          <w:color w:val="auto"/>
        </w:rPr>
        <w:tab/>
      </w:r>
      <w:r>
        <w:rPr>
          <w:rFonts w:ascii="Arial" w:cs="Arial" w:eastAsia="Arial" w:hAnsi="Arial"/>
          <w:sz w:val="14"/>
          <w:szCs w:val="14"/>
          <w:b w:val="1"/>
          <w:bCs w:val="1"/>
          <w:color w:val="auto"/>
        </w:rPr>
        <w:t xml:space="preserve">Mutual Representations and Warranties. </w:t>
      </w:r>
      <w:r>
        <w:rPr>
          <w:rFonts w:ascii="Arial" w:cs="Arial" w:eastAsia="Arial" w:hAnsi="Arial"/>
          <w:sz w:val="14"/>
          <w:szCs w:val="14"/>
          <w:color w:val="auto"/>
        </w:rPr>
        <w:t>Each Party represents and warrants to the other Party the following:</w:t>
      </w:r>
    </w:p>
    <w:p>
      <w:pPr>
        <w:spacing w:after="0" w:line="210" w:lineRule="exact"/>
        <w:rPr>
          <w:sz w:val="20"/>
          <w:szCs w:val="20"/>
          <w:color w:val="auto"/>
        </w:rPr>
      </w:pPr>
    </w:p>
    <w:p>
      <w:pPr>
        <w:ind w:left="140" w:right="220" w:firstLine="1172"/>
        <w:spacing w:after="0" w:line="283" w:lineRule="auto"/>
        <w:tabs>
          <w:tab w:leader="none" w:pos="1620" w:val="left"/>
        </w:tabs>
        <w:numPr>
          <w:ilvl w:val="0"/>
          <w:numId w:val="177"/>
        </w:numPr>
        <w:rPr>
          <w:rFonts w:ascii="Arial" w:cs="Arial" w:eastAsia="Arial" w:hAnsi="Arial"/>
          <w:sz w:val="16"/>
          <w:szCs w:val="16"/>
          <w:b w:val="1"/>
          <w:bCs w:val="1"/>
          <w:color w:val="auto"/>
        </w:rPr>
      </w:pPr>
      <w:r>
        <w:rPr>
          <w:rFonts w:ascii="Arial" w:cs="Arial" w:eastAsia="Arial" w:hAnsi="Arial"/>
          <w:sz w:val="16"/>
          <w:szCs w:val="16"/>
          <w:color w:val="auto"/>
        </w:rPr>
        <w:t>Such Party has the full right, power and authority, and has obtained all approvals, permits or consents necessary, to enter into this Agreement and to perform all of its obligations hereunder.</w:t>
      </w:r>
    </w:p>
    <w:p>
      <w:pPr>
        <w:spacing w:after="0" w:line="150" w:lineRule="exact"/>
        <w:rPr>
          <w:rFonts w:ascii="Arial" w:cs="Arial" w:eastAsia="Arial" w:hAnsi="Arial"/>
          <w:sz w:val="16"/>
          <w:szCs w:val="16"/>
          <w:b w:val="1"/>
          <w:bCs w:val="1"/>
          <w:color w:val="auto"/>
        </w:rPr>
      </w:pPr>
    </w:p>
    <w:p>
      <w:pPr>
        <w:ind w:left="140" w:right="660" w:firstLine="1172"/>
        <w:spacing w:after="0" w:line="283" w:lineRule="auto"/>
        <w:tabs>
          <w:tab w:leader="none" w:pos="1588" w:val="left"/>
        </w:tabs>
        <w:numPr>
          <w:ilvl w:val="0"/>
          <w:numId w:val="177"/>
        </w:numPr>
        <w:rPr>
          <w:rFonts w:ascii="Arial" w:cs="Arial" w:eastAsia="Arial" w:hAnsi="Arial"/>
          <w:sz w:val="16"/>
          <w:szCs w:val="16"/>
          <w:b w:val="1"/>
          <w:bCs w:val="1"/>
          <w:color w:val="auto"/>
        </w:rPr>
      </w:pPr>
      <w:r>
        <w:rPr>
          <w:rFonts w:ascii="Arial" w:cs="Arial" w:eastAsia="Arial" w:hAnsi="Arial"/>
          <w:sz w:val="16"/>
          <w:szCs w:val="16"/>
          <w:color w:val="auto"/>
        </w:rPr>
        <w:t>Subject to Section 2.6, such Party has not, prior to the Effective Date, entered into, and shall not, following the Effective Date, enter into, any agreement that conflicts with this Agreement or such Party’s obligations hereunder.</w:t>
      </w:r>
    </w:p>
    <w:p>
      <w:pPr>
        <w:spacing w:after="0" w:line="150" w:lineRule="exact"/>
        <w:rPr>
          <w:rFonts w:ascii="Arial" w:cs="Arial" w:eastAsia="Arial" w:hAnsi="Arial"/>
          <w:sz w:val="16"/>
          <w:szCs w:val="16"/>
          <w:b w:val="1"/>
          <w:bCs w:val="1"/>
          <w:color w:val="auto"/>
        </w:rPr>
      </w:pPr>
    </w:p>
    <w:p>
      <w:pPr>
        <w:ind w:left="1620" w:hanging="308"/>
        <w:spacing w:after="0"/>
        <w:tabs>
          <w:tab w:leader="none" w:pos="1620" w:val="left"/>
        </w:tabs>
        <w:numPr>
          <w:ilvl w:val="0"/>
          <w:numId w:val="177"/>
        </w:numPr>
        <w:rPr>
          <w:rFonts w:ascii="Arial" w:cs="Arial" w:eastAsia="Arial" w:hAnsi="Arial"/>
          <w:sz w:val="15"/>
          <w:szCs w:val="15"/>
          <w:b w:val="1"/>
          <w:bCs w:val="1"/>
          <w:color w:val="auto"/>
        </w:rPr>
      </w:pPr>
      <w:r>
        <w:rPr>
          <w:rFonts w:ascii="Arial" w:cs="Arial" w:eastAsia="Arial" w:hAnsi="Arial"/>
          <w:sz w:val="15"/>
          <w:szCs w:val="15"/>
          <w:color w:val="auto"/>
        </w:rPr>
        <w:t>Neither such Party nor anyone employed by it or engaged or otherwise used by it for performance of the Study(ies) has been debarred under</w:t>
      </w:r>
    </w:p>
    <w:p>
      <w:pPr>
        <w:spacing w:after="0" w:line="34" w:lineRule="exact"/>
        <w:rPr>
          <w:sz w:val="20"/>
          <w:szCs w:val="20"/>
          <w:color w:val="auto"/>
        </w:rPr>
      </w:pPr>
    </w:p>
    <w:p>
      <w:pPr>
        <w:jc w:val="both"/>
        <w:ind w:left="140" w:right="40"/>
        <w:spacing w:after="0" w:line="281" w:lineRule="auto"/>
        <w:rPr>
          <w:sz w:val="20"/>
          <w:szCs w:val="20"/>
          <w:color w:val="auto"/>
        </w:rPr>
      </w:pPr>
      <w:r>
        <w:rPr>
          <w:rFonts w:ascii="Arial" w:cs="Arial" w:eastAsia="Arial" w:hAnsi="Arial"/>
          <w:sz w:val="15"/>
          <w:szCs w:val="15"/>
          <w:color w:val="auto"/>
        </w:rPr>
        <w:t>21 USC § 335a, disqualified under 21 USC § 312.70 or § 812.119, sanctioned by a Federal Health Care Program (as defined in 42 USC § 1320a-7b(f)), including the federal Medicare or a state Medicaid program, or debarred, suspended, excluded or otherwise declared ineligible from any other similar regional, national, federal or state agency or program. If such Party receives notice of debarment, suspension, sanction, exclusion, ineligibility or disqualification under the foregoing-referenced statutes, such Party shall promptly notify the other Party in writing, and the Parties shall agree upon appropriate action to address the matter.</w:t>
      </w:r>
    </w:p>
    <w:p>
      <w:pPr>
        <w:spacing w:after="0" w:line="150"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13.2</w:t>
      </w:r>
      <w:r>
        <w:rPr>
          <w:sz w:val="20"/>
          <w:szCs w:val="20"/>
          <w:color w:val="auto"/>
        </w:rPr>
        <w:tab/>
      </w:r>
      <w:r>
        <w:rPr>
          <w:rFonts w:ascii="Arial" w:cs="Arial" w:eastAsia="Arial" w:hAnsi="Arial"/>
          <w:sz w:val="15"/>
          <w:szCs w:val="15"/>
          <w:b w:val="1"/>
          <w:bCs w:val="1"/>
          <w:color w:val="auto"/>
        </w:rPr>
        <w:t xml:space="preserve">Disclaimers. </w:t>
      </w:r>
      <w:r>
        <w:rPr>
          <w:rFonts w:ascii="Arial" w:cs="Arial" w:eastAsia="Arial" w:hAnsi="Arial"/>
          <w:sz w:val="15"/>
          <w:szCs w:val="15"/>
          <w:color w:val="auto"/>
        </w:rPr>
        <w:t>NEITHER PARTY REPRESENTS NOR WARRANTS THAT THE STUDY(IES) WILL BE SUCCESSFUL OR LEAD TO ANY</w:t>
      </w:r>
    </w:p>
    <w:p>
      <w:pPr>
        <w:spacing w:after="0" w:line="27"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PARTICULAR RESULT. EXCEPT AS OTHERWISE EXPRESSLY PROVIDED IN THIS AGREEMENT, (A) NEITHER PARTY MAKES ANY REPRESENTATION OR WARRANTY OF ANY KIND WITH RESPECT TO ITS RESPECTIVE COMPOUND, MATERIALS OR INFORMATION SUPPLIED BY IT TO THE OTHER PARTY HEREUNDER AND (B) EACH PARTY EXPRESSLY DISCLAIMS ALL WARRANTIES, EXPRESS OR IMPLIED, INCLUDING WARRANTIES OF MERCHANTABILITY, FITNESS FOR A PARTICULAR PURPOSE AND NON-INFRINGEMENT.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Limitation on Liability; Insurance</w:t>
      </w:r>
    </w:p>
    <w:p>
      <w:pPr>
        <w:spacing w:after="0" w:line="129"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14.1</w:t>
      </w:r>
      <w:r>
        <w:rPr>
          <w:sz w:val="20"/>
          <w:szCs w:val="20"/>
          <w:color w:val="auto"/>
        </w:rPr>
        <w:tab/>
      </w:r>
      <w:r>
        <w:rPr>
          <w:rFonts w:ascii="Arial" w:cs="Arial" w:eastAsia="Arial" w:hAnsi="Arial"/>
          <w:sz w:val="14"/>
          <w:szCs w:val="14"/>
          <w:b w:val="1"/>
          <w:bCs w:val="1"/>
          <w:color w:val="auto"/>
        </w:rPr>
        <w:t>Indemnification.</w:t>
      </w:r>
    </w:p>
    <w:p>
      <w:pPr>
        <w:spacing w:after="0" w:line="206" w:lineRule="exact"/>
        <w:rPr>
          <w:sz w:val="20"/>
          <w:szCs w:val="20"/>
          <w:color w:val="auto"/>
        </w:rPr>
      </w:pPr>
    </w:p>
    <w:p>
      <w:pPr>
        <w:ind w:left="1620" w:hanging="308"/>
        <w:spacing w:after="0"/>
        <w:tabs>
          <w:tab w:leader="none" w:pos="162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The following definitions are for purposes of this Section 14.1:</w:t>
      </w:r>
    </w:p>
    <w:p>
      <w:pPr>
        <w:spacing w:after="0" w:line="205" w:lineRule="exact"/>
        <w:rPr>
          <w:rFonts w:ascii="Arial" w:cs="Arial" w:eastAsia="Arial" w:hAnsi="Arial"/>
          <w:sz w:val="16"/>
          <w:szCs w:val="16"/>
          <w:b w:val="1"/>
          <w:bCs w:val="1"/>
          <w:color w:val="auto"/>
        </w:rPr>
      </w:pPr>
    </w:p>
    <w:p>
      <w:pPr>
        <w:ind w:left="2440" w:hanging="689"/>
        <w:spacing w:after="0"/>
        <w:tabs>
          <w:tab w:leader="none" w:pos="2440" w:val="left"/>
        </w:tabs>
        <w:numPr>
          <w:ilvl w:val="1"/>
          <w:numId w:val="178"/>
        </w:numPr>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4"/>
          <w:szCs w:val="14"/>
          <w:b w:val="1"/>
          <w:bCs w:val="1"/>
          <w:color w:val="auto"/>
        </w:rPr>
        <w:t>Claims</w:t>
      </w:r>
      <w:r>
        <w:rPr>
          <w:rFonts w:ascii="Arial" w:cs="Arial" w:eastAsia="Arial" w:hAnsi="Arial"/>
          <w:sz w:val="14"/>
          <w:szCs w:val="14"/>
          <w:color w:val="auto"/>
        </w:rPr>
        <w:t>” means claims, suits, actions, demands or other proceedings by any Third Party arising out of this Agreement or the Study(ies),</w:t>
      </w:r>
    </w:p>
    <w:p>
      <w:pPr>
        <w:spacing w:after="0" w:line="49"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color w:val="auto"/>
        </w:rPr>
        <w:t>including product liability claims.</w:t>
      </w:r>
    </w:p>
    <w:p>
      <w:pPr>
        <w:spacing w:after="0" w:line="200" w:lineRule="exact"/>
        <w:rPr>
          <w:rFonts w:ascii="Arial" w:cs="Arial" w:eastAsia="Arial" w:hAnsi="Arial"/>
          <w:sz w:val="14"/>
          <w:szCs w:val="14"/>
          <w:b w:val="1"/>
          <w:bCs w:val="1"/>
          <w:color w:val="auto"/>
        </w:rPr>
      </w:pPr>
    </w:p>
    <w:p>
      <w:pPr>
        <w:spacing w:after="0" w:line="249" w:lineRule="exact"/>
        <w:rPr>
          <w:rFonts w:ascii="Arial" w:cs="Arial" w:eastAsia="Arial" w:hAnsi="Arial"/>
          <w:sz w:val="14"/>
          <w:szCs w:val="14"/>
          <w:b w:val="1"/>
          <w:bCs w:val="1"/>
          <w:color w:val="auto"/>
        </w:rPr>
      </w:pPr>
    </w:p>
    <w:p>
      <w:pPr>
        <w:ind w:left="5640" w:hanging="102"/>
        <w:spacing w:after="0"/>
        <w:tabs>
          <w:tab w:leader="none" w:pos="5640" w:val="left"/>
        </w:tabs>
        <w:numPr>
          <w:ilvl w:val="2"/>
          <w:numId w:val="178"/>
        </w:numPr>
        <w:rPr>
          <w:rFonts w:ascii="Arial" w:cs="Arial" w:eastAsia="Arial" w:hAnsi="Arial"/>
          <w:sz w:val="16"/>
          <w:szCs w:val="16"/>
          <w:color w:val="auto"/>
        </w:rPr>
      </w:pPr>
      <w:r>
        <w:rPr>
          <w:rFonts w:ascii="Arial" w:cs="Arial" w:eastAsia="Arial" w:hAnsi="Arial"/>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286" w:right="2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6"/>
          <w:szCs w:val="16"/>
          <w:color w:val="auto"/>
        </w:rPr>
        <w:t>CONFIDENTIAL</w:t>
      </w:r>
    </w:p>
    <w:p>
      <w:pPr>
        <w:spacing w:after="0" w:line="177" w:lineRule="exact"/>
        <w:rPr>
          <w:sz w:val="20"/>
          <w:szCs w:val="20"/>
          <w:color w:val="auto"/>
        </w:rPr>
      </w:pPr>
    </w:p>
    <w:p>
      <w:pPr>
        <w:ind w:left="2443" w:hanging="689"/>
        <w:spacing w:after="0"/>
        <w:tabs>
          <w:tab w:leader="none" w:pos="2443" w:val="left"/>
        </w:tabs>
        <w:numPr>
          <w:ilvl w:val="0"/>
          <w:numId w:val="179"/>
        </w:numPr>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Indemnitee</w:t>
      </w:r>
      <w:r>
        <w:rPr>
          <w:rFonts w:ascii="Arial" w:cs="Arial" w:eastAsia="Arial" w:hAnsi="Arial"/>
          <w:sz w:val="14"/>
          <w:szCs w:val="14"/>
          <w:color w:val="auto"/>
        </w:rPr>
        <w:t>” means, as applicable, a BioLineRx Indemnitee (as defined in Section 14.1(b)(i)) or a Genentech Indemnitee (as defined in</w:t>
      </w:r>
    </w:p>
    <w:p>
      <w:pPr>
        <w:spacing w:after="0" w:line="50" w:lineRule="exact"/>
        <w:rPr>
          <w:sz w:val="20"/>
          <w:szCs w:val="20"/>
          <w:color w:val="auto"/>
        </w:rPr>
      </w:pPr>
    </w:p>
    <w:p>
      <w:pPr>
        <w:ind w:left="3"/>
        <w:spacing w:after="0"/>
        <w:rPr>
          <w:sz w:val="20"/>
          <w:szCs w:val="20"/>
          <w:color w:val="auto"/>
        </w:rPr>
      </w:pPr>
      <w:r>
        <w:rPr>
          <w:rFonts w:ascii="Arial" w:cs="Arial" w:eastAsia="Arial" w:hAnsi="Arial"/>
          <w:sz w:val="16"/>
          <w:szCs w:val="16"/>
          <w:color w:val="auto"/>
        </w:rPr>
        <w:t>Section 14.1(c)(i)).</w:t>
      </w:r>
    </w:p>
    <w:p>
      <w:pPr>
        <w:spacing w:after="0" w:line="92" w:lineRule="exact"/>
        <w:rPr>
          <w:sz w:val="20"/>
          <w:szCs w:val="20"/>
          <w:color w:val="auto"/>
        </w:rPr>
      </w:pPr>
    </w:p>
    <w:p>
      <w:pPr>
        <w:ind w:left="3" w:right="80" w:firstLine="1751"/>
        <w:spacing w:after="0" w:line="288" w:lineRule="auto"/>
        <w:tabs>
          <w:tab w:leader="none" w:pos="2445" w:val="left"/>
        </w:tabs>
        <w:numPr>
          <w:ilvl w:val="1"/>
          <w:numId w:val="18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any and all liabilities, damages, settlements, penalties, fines, costs or expenses (including, reasonable attorneys’ fees and other expenses of litigation) which may be assessed against an Indemnitee by final judgment, after exhaustion of all reasonable appeals.</w:t>
      </w:r>
    </w:p>
    <w:p>
      <w:pPr>
        <w:spacing w:after="0" w:line="45" w:lineRule="exact"/>
        <w:rPr>
          <w:rFonts w:ascii="Arial" w:cs="Arial" w:eastAsia="Arial" w:hAnsi="Arial"/>
          <w:sz w:val="16"/>
          <w:szCs w:val="16"/>
          <w:b w:val="1"/>
          <w:bCs w:val="1"/>
          <w:color w:val="auto"/>
        </w:rPr>
      </w:pPr>
    </w:p>
    <w:p>
      <w:pPr>
        <w:ind w:left="1603" w:hanging="288"/>
        <w:spacing w:after="0"/>
        <w:tabs>
          <w:tab w:leader="none" w:pos="1603"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by Genentech.</w:t>
      </w:r>
    </w:p>
    <w:p>
      <w:pPr>
        <w:spacing w:after="0" w:line="205" w:lineRule="exact"/>
        <w:rPr>
          <w:rFonts w:ascii="Arial" w:cs="Arial" w:eastAsia="Arial" w:hAnsi="Arial"/>
          <w:sz w:val="16"/>
          <w:szCs w:val="16"/>
          <w:b w:val="1"/>
          <w:bCs w:val="1"/>
          <w:color w:val="auto"/>
        </w:rPr>
      </w:pPr>
    </w:p>
    <w:p>
      <w:pPr>
        <w:ind w:left="3" w:right="100" w:firstLine="1751"/>
        <w:spacing w:after="0" w:line="262" w:lineRule="auto"/>
        <w:tabs>
          <w:tab w:leader="none" w:pos="2437" w:val="left"/>
        </w:tabs>
        <w:numPr>
          <w:ilvl w:val="1"/>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Scope. </w:t>
      </w:r>
      <w:r>
        <w:rPr>
          <w:rFonts w:ascii="Arial" w:cs="Arial" w:eastAsia="Arial" w:hAnsi="Arial"/>
          <w:sz w:val="16"/>
          <w:szCs w:val="16"/>
          <w:color w:val="auto"/>
        </w:rPr>
        <w:t>Genentech hereby agrees to indemnify, defend and hold harmless each of BioLineRx, its Affiliates and its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their officers, directors, employees, subcontractors and agents (for purposes of this Section 14.1, each, a “</w:t>
      </w:r>
      <w:r>
        <w:rPr>
          <w:rFonts w:ascii="Arial" w:cs="Arial" w:eastAsia="Arial" w:hAnsi="Arial"/>
          <w:sz w:val="16"/>
          <w:szCs w:val="16"/>
          <w:b w:val="1"/>
          <w:bCs w:val="1"/>
          <w:color w:val="auto"/>
        </w:rPr>
        <w:t>BioLineRx Indemnitee</w:t>
      </w:r>
      <w:r>
        <w:rPr>
          <w:rFonts w:ascii="Arial" w:cs="Arial" w:eastAsia="Arial" w:hAnsi="Arial"/>
          <w:sz w:val="16"/>
          <w:szCs w:val="16"/>
          <w:color w:val="auto"/>
        </w:rPr>
        <w:t>”) from and against Losses incurred in connection with Claims, to the extent such Losses (A) were directly caused by (1) the negligence or willful misconduct of any Genentech Indemnitees; (2) Genentech’s breach of any of its representations, warranties, covenants or obligations under this Agreement; or (3) Genentech’s breach of any Applicable Law pertaining to activities it performs under this Agreement or (B) were attributable to [*]</w:t>
      </w:r>
    </w:p>
    <w:p>
      <w:pPr>
        <w:spacing w:after="0" w:line="67" w:lineRule="exact"/>
        <w:rPr>
          <w:sz w:val="20"/>
          <w:szCs w:val="20"/>
          <w:color w:val="auto"/>
        </w:rPr>
      </w:pPr>
    </w:p>
    <w:p>
      <w:pPr>
        <w:ind w:left="3" w:right="60" w:firstLine="1751"/>
        <w:spacing w:after="0" w:line="296" w:lineRule="auto"/>
        <w:tabs>
          <w:tab w:leader="none" w:pos="2441" w:val="left"/>
        </w:tabs>
        <w:numPr>
          <w:ilvl w:val="2"/>
          <w:numId w:val="18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Procedures; Limitations. </w:t>
      </w:r>
      <w:r>
        <w:rPr>
          <w:rFonts w:ascii="Arial" w:cs="Arial" w:eastAsia="Arial" w:hAnsi="Arial"/>
          <w:sz w:val="14"/>
          <w:szCs w:val="14"/>
          <w:color w:val="auto"/>
        </w:rPr>
        <w:t>BioLineRx shall notify Genentech in writing of any Claim for which it seeks to exercise its rights under</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14.1(b)(i) as soon as reasonably possible after it receives notice of such Claim. If requested by BioLineRx, Genentech shall assume control of the defense thereof, with counsel mutually satisfactory to the Parties, including the right to settle or conclude such defense. BioLineRx shall (A) cooperate as reasonably requested (at the expense of Genentech) in the defense of such Claim; and (B) not settle such Claim without the express, prior written consent of Genentech. Genentech’s obligations under Section 14.1(b)</w:t>
      </w:r>
    </w:p>
    <w:p>
      <w:pPr>
        <w:ind w:left="3" w:right="80" w:hanging="3"/>
        <w:spacing w:after="0" w:line="286" w:lineRule="auto"/>
        <w:tabs>
          <w:tab w:leader="none" w:pos="196" w:val="left"/>
        </w:tabs>
        <w:numPr>
          <w:ilvl w:val="0"/>
          <w:numId w:val="183"/>
        </w:numPr>
        <w:rPr>
          <w:rFonts w:ascii="Arial" w:cs="Arial" w:eastAsia="Arial" w:hAnsi="Arial"/>
          <w:sz w:val="15"/>
          <w:szCs w:val="15"/>
          <w:color w:val="auto"/>
        </w:rPr>
      </w:pPr>
      <w:r>
        <w:rPr>
          <w:rFonts w:ascii="Arial" w:cs="Arial" w:eastAsia="Arial" w:hAnsi="Arial"/>
          <w:sz w:val="15"/>
          <w:szCs w:val="15"/>
          <w:color w:val="auto"/>
        </w:rPr>
        <w:t>shall not apply (1) to amounts paid in settlement of any Claims if such settlement is effected without Genentech’s consent or (2) to the extent any Losses were directly caused by (a1) the negligence or willful misconduct of any BioLineRx Indemnitees; (a2) BioLineRx’s breach of any of its representations, warranties, covenants or obligations under this Agreement; or (a3) BioLineRx’s breach of any Applicable Law pertaining to activities it performs under this Agreement.</w:t>
      </w:r>
    </w:p>
    <w:p>
      <w:pPr>
        <w:spacing w:after="0" w:line="49" w:lineRule="exact"/>
        <w:rPr>
          <w:rFonts w:ascii="Arial" w:cs="Arial" w:eastAsia="Arial" w:hAnsi="Arial"/>
          <w:sz w:val="15"/>
          <w:szCs w:val="15"/>
          <w:color w:val="auto"/>
        </w:rPr>
      </w:pPr>
    </w:p>
    <w:p>
      <w:pPr>
        <w:ind w:left="1623" w:hanging="308"/>
        <w:spacing w:after="0"/>
        <w:tabs>
          <w:tab w:leader="none" w:pos="1623" w:val="left"/>
        </w:tabs>
        <w:numPr>
          <w:ilvl w:val="1"/>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by BioLineRx.</w:t>
      </w:r>
    </w:p>
    <w:p>
      <w:pPr>
        <w:spacing w:after="0" w:line="205" w:lineRule="exact"/>
        <w:rPr>
          <w:rFonts w:ascii="Arial" w:cs="Arial" w:eastAsia="Arial" w:hAnsi="Arial"/>
          <w:sz w:val="16"/>
          <w:szCs w:val="16"/>
          <w:b w:val="1"/>
          <w:bCs w:val="1"/>
          <w:color w:val="auto"/>
        </w:rPr>
      </w:pPr>
    </w:p>
    <w:p>
      <w:pPr>
        <w:ind w:left="3" w:right="180" w:firstLine="1751"/>
        <w:spacing w:after="0" w:line="262" w:lineRule="auto"/>
        <w:tabs>
          <w:tab w:leader="none" w:pos="2437" w:val="left"/>
        </w:tabs>
        <w:numPr>
          <w:ilvl w:val="2"/>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Scope. </w:t>
      </w:r>
      <w:r>
        <w:rPr>
          <w:rFonts w:ascii="Arial" w:cs="Arial" w:eastAsia="Arial" w:hAnsi="Arial"/>
          <w:sz w:val="16"/>
          <w:szCs w:val="16"/>
          <w:color w:val="auto"/>
        </w:rPr>
        <w:t>BioLineRx hereby agrees to indemnify, defend (if requested by Genentech) and hold harmless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Genentech, its Affiliates and its and their officers, directors, employees, subcontractors and agents (for purposes of this Section 14.1, each, a “</w:t>
      </w:r>
      <w:r>
        <w:rPr>
          <w:rFonts w:ascii="Arial" w:cs="Arial" w:eastAsia="Arial" w:hAnsi="Arial"/>
          <w:sz w:val="16"/>
          <w:szCs w:val="16"/>
          <w:b w:val="1"/>
          <w:bCs w:val="1"/>
          <w:color w:val="auto"/>
        </w:rPr>
        <w:t>Genentech Indemnitee</w:t>
      </w:r>
      <w:r>
        <w:rPr>
          <w:rFonts w:ascii="Arial" w:cs="Arial" w:eastAsia="Arial" w:hAnsi="Arial"/>
          <w:sz w:val="16"/>
          <w:szCs w:val="16"/>
          <w:color w:val="auto"/>
        </w:rPr>
        <w:t>”) from and against Losses incurred in connection with Claims, to the extent such Losses (A) were directly caused by (1) the negligence or willful misconduct of any BioLineRx Indemnitees; (2) BioLineRx’s breach of any of its representations, warranties, covenants or obligations under this Agreement; or (3) BioLineRx’s breach of any Applicable Law pertaining to activities it performs under this Agreement or (B) were attributable to [*]</w:t>
      </w:r>
    </w:p>
    <w:p>
      <w:pPr>
        <w:spacing w:after="0" w:line="200" w:lineRule="exact"/>
        <w:rPr>
          <w:rFonts w:ascii="Arial" w:cs="Arial" w:eastAsia="Arial" w:hAnsi="Arial"/>
          <w:sz w:val="16"/>
          <w:szCs w:val="16"/>
          <w:b w:val="1"/>
          <w:bCs w:val="1"/>
          <w:color w:val="auto"/>
        </w:rPr>
      </w:pPr>
    </w:p>
    <w:p>
      <w:pPr>
        <w:spacing w:after="0" w:line="224" w:lineRule="exact"/>
        <w:rPr>
          <w:rFonts w:ascii="Arial" w:cs="Arial" w:eastAsia="Arial" w:hAnsi="Arial"/>
          <w:sz w:val="16"/>
          <w:szCs w:val="16"/>
          <w:b w:val="1"/>
          <w:bCs w:val="1"/>
          <w:color w:val="auto"/>
        </w:rPr>
      </w:pPr>
    </w:p>
    <w:p>
      <w:pPr>
        <w:ind w:left="5643" w:hanging="102"/>
        <w:spacing w:after="0"/>
        <w:tabs>
          <w:tab w:leader="none" w:pos="5643" w:val="left"/>
        </w:tabs>
        <w:numPr>
          <w:ilvl w:val="3"/>
          <w:numId w:val="183"/>
        </w:numPr>
        <w:rPr>
          <w:rFonts w:ascii="Arial" w:cs="Arial" w:eastAsia="Arial" w:hAnsi="Arial"/>
          <w:sz w:val="16"/>
          <w:szCs w:val="16"/>
          <w:color w:val="auto"/>
        </w:rPr>
      </w:pPr>
      <w:r>
        <w:rPr>
          <w:rFonts w:ascii="Arial" w:cs="Arial" w:eastAsia="Arial" w:hAnsi="Arial"/>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285" w:right="2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color w:val="auto"/>
        </w:rPr>
        <w:t>CONFIDENTIAL</w:t>
      </w:r>
    </w:p>
    <w:p>
      <w:pPr>
        <w:spacing w:after="0" w:line="104" w:lineRule="exact"/>
        <w:rPr>
          <w:sz w:val="20"/>
          <w:szCs w:val="20"/>
          <w:color w:val="auto"/>
        </w:rPr>
      </w:pPr>
    </w:p>
    <w:p>
      <w:pPr>
        <w:ind w:left="3" w:right="20" w:firstLine="1751"/>
        <w:spacing w:after="0" w:line="259" w:lineRule="auto"/>
        <w:tabs>
          <w:tab w:leader="none" w:pos="2441" w:val="left"/>
        </w:tabs>
        <w:numPr>
          <w:ilvl w:val="1"/>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Procedures; Limitations. </w:t>
      </w:r>
      <w:r>
        <w:rPr>
          <w:rFonts w:ascii="Arial" w:cs="Arial" w:eastAsia="Arial" w:hAnsi="Arial"/>
          <w:sz w:val="16"/>
          <w:szCs w:val="16"/>
          <w:color w:val="auto"/>
        </w:rPr>
        <w:t>Genentech shall notify BioLineRx in writing of any Claim for which it seeks to exercise its rights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14.1(c)(i) as soon as reasonably possible after it receives notice of such Claim. If requested by Genentech, BioLineRx shall assume control of the defense thereof, with counsel mutually satisfactory to the Parties, including the right to settle or conclude such defense. In the event that Genentech requests that BioLineRx assume such control, Genentech shall (A) cooperate as reasonably requested (at the expense of BioLineRx) in the defense of such Claim and (B) not settle such Claim without the express, prior written consent of BioLineRx. BioLineRx’s obligations under Section 14.1(c)(i) shall not apply (1) to amounts paid in settlement of any Claims if such settlement is effected without BioLineRx’s consent or (2) to the extent any Losses were directly caused by (a1) the negligence or willful misconduct of any Genentech Indemnitees; (a2) Genentech’s breach of any of its representations, warranties, covenants or obligations under this Agreement; or (a3) Genentech’s breach of any Applicable Law pertaining to activities it performs under this Agreement.</w:t>
      </w:r>
    </w:p>
    <w:p>
      <w:pPr>
        <w:spacing w:after="0" w:line="67" w:lineRule="exact"/>
        <w:rPr>
          <w:rFonts w:ascii="Arial" w:cs="Arial" w:eastAsia="Arial" w:hAnsi="Arial"/>
          <w:sz w:val="16"/>
          <w:szCs w:val="16"/>
          <w:b w:val="1"/>
          <w:bCs w:val="1"/>
          <w:color w:val="auto"/>
        </w:rPr>
      </w:pPr>
    </w:p>
    <w:p>
      <w:pPr>
        <w:ind w:left="143" w:right="60" w:firstLine="1172"/>
        <w:spacing w:after="0" w:line="262" w:lineRule="auto"/>
        <w:tabs>
          <w:tab w:leader="none" w:pos="1591"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w:t>
      </w:r>
      <w:r>
        <w:rPr>
          <w:rFonts w:ascii="Arial" w:cs="Arial" w:eastAsia="Arial" w:hAnsi="Arial"/>
          <w:sz w:val="16"/>
          <w:szCs w:val="16"/>
          <w:color w:val="auto"/>
        </w:rPr>
        <w:t>The failure of a Party seeking to exercise its rights under this Section 14.1 to deliver written notice to the other Party (for purposes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14.1(d), the “</w:t>
      </w:r>
      <w:r>
        <w:rPr>
          <w:rFonts w:ascii="Arial" w:cs="Arial" w:eastAsia="Arial" w:hAnsi="Arial"/>
          <w:sz w:val="16"/>
          <w:szCs w:val="16"/>
          <w:b w:val="1"/>
          <w:bCs w:val="1"/>
          <w:color w:val="auto"/>
        </w:rPr>
        <w:t>Indemnitor</w:t>
      </w:r>
      <w:r>
        <w:rPr>
          <w:rFonts w:ascii="Arial" w:cs="Arial" w:eastAsia="Arial" w:hAnsi="Arial"/>
          <w:sz w:val="16"/>
          <w:szCs w:val="16"/>
          <w:color w:val="auto"/>
        </w:rPr>
        <w:t>”) within a reasonable time after such Party becomes aware of the commencement of any Claim for which its Indemnitee seeks indemnification under this Section 14.1, to the extent prejudicial to the Indemnitor’s ability to defend such Claim, shall relieve the Indemnitor of its obligation to indemnify such Indemnitee(s) under this Section 14.1. The Parties agree that only BioLineRx or Genentech may seek to exercise the rights provided under this Section 14.1 (on its own behalf or on behalf of its Indemnitees), and other Indemnitees may not directly seek to exercise such rights.</w:t>
      </w:r>
    </w:p>
    <w:p>
      <w:pPr>
        <w:spacing w:after="0" w:line="164" w:lineRule="exact"/>
        <w:rPr>
          <w:rFonts w:ascii="Arial" w:cs="Arial" w:eastAsia="Arial" w:hAnsi="Arial"/>
          <w:sz w:val="16"/>
          <w:szCs w:val="16"/>
          <w:b w:val="1"/>
          <w:bCs w:val="1"/>
          <w:color w:val="auto"/>
        </w:rPr>
      </w:pPr>
    </w:p>
    <w:p>
      <w:pPr>
        <w:ind w:left="143" w:right="240" w:firstLine="1172"/>
        <w:spacing w:after="0" w:line="288" w:lineRule="auto"/>
        <w:tabs>
          <w:tab w:leader="none" w:pos="1613"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Study Subjects. </w:t>
      </w:r>
      <w:r>
        <w:rPr>
          <w:rFonts w:ascii="Arial" w:cs="Arial" w:eastAsia="Arial" w:hAnsi="Arial"/>
          <w:sz w:val="16"/>
          <w:szCs w:val="16"/>
          <w:color w:val="auto"/>
        </w:rPr>
        <w:t>[*]. For clarity, the foregoing does not limit the Non-Sponsor’s indemnification obligations under this Section 14.1, including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Subject injury.</w:t>
      </w:r>
    </w:p>
    <w:p>
      <w:pPr>
        <w:spacing w:after="0" w:line="143" w:lineRule="exact"/>
        <w:rPr>
          <w:sz w:val="20"/>
          <w:szCs w:val="20"/>
          <w:color w:val="auto"/>
        </w:rPr>
      </w:pPr>
    </w:p>
    <w:p>
      <w:pPr>
        <w:ind w:left="3" w:right="40" w:firstLine="584"/>
        <w:spacing w:after="0" w:line="271" w:lineRule="auto"/>
        <w:rPr>
          <w:sz w:val="20"/>
          <w:szCs w:val="20"/>
          <w:color w:val="auto"/>
        </w:rPr>
      </w:pPr>
      <w:r>
        <w:rPr>
          <w:rFonts w:ascii="Arial" w:cs="Arial" w:eastAsia="Arial" w:hAnsi="Arial"/>
          <w:sz w:val="16"/>
          <w:szCs w:val="16"/>
          <w:b w:val="1"/>
          <w:bCs w:val="1"/>
          <w:color w:val="auto"/>
        </w:rPr>
        <w:t xml:space="preserve">14.2 Limitation on Liability. </w:t>
      </w:r>
      <w:r>
        <w:rPr>
          <w:rFonts w:ascii="Arial" w:cs="Arial" w:eastAsia="Arial" w:hAnsi="Arial"/>
          <w:sz w:val="16"/>
          <w:szCs w:val="16"/>
          <w:color w:val="auto"/>
        </w:rPr>
        <w:t>IN NO EVENT SHALL EITHER PARTY BE LIABLE FOR ANY CONSEQUENTIAL, INDIRECT, INCIDENTAL, PUNITIVE</w:t>
      </w:r>
      <w:r>
        <w:rPr>
          <w:rFonts w:ascii="Arial" w:cs="Arial" w:eastAsia="Arial" w:hAnsi="Arial"/>
          <w:sz w:val="16"/>
          <w:szCs w:val="16"/>
          <w:b w:val="1"/>
          <w:bCs w:val="1"/>
          <w:color w:val="auto"/>
        </w:rPr>
        <w:t xml:space="preserve"> </w:t>
      </w:r>
      <w:r>
        <w:rPr>
          <w:rFonts w:ascii="Arial" w:cs="Arial" w:eastAsia="Arial" w:hAnsi="Arial"/>
          <w:sz w:val="16"/>
          <w:szCs w:val="16"/>
          <w:color w:val="auto"/>
        </w:rPr>
        <w:t>OR EXEMPLARY DAMAGES, HOWEVER CAUSED; PROVIDED HOWEVER, NOTHING IN THIS SECTION 14.2 IS INTENDED TO LIMIT THE RIGHTS OR OBLIGATIONS OF EITHER PARTY FOR DAMAGES ARISING OUT OF A BREACH OF ARTICLE 7.</w:t>
      </w:r>
    </w:p>
    <w:p>
      <w:pPr>
        <w:spacing w:after="0" w:line="156" w:lineRule="exact"/>
        <w:rPr>
          <w:sz w:val="20"/>
          <w:szCs w:val="20"/>
          <w:color w:val="auto"/>
        </w:rPr>
      </w:pPr>
    </w:p>
    <w:p>
      <w:pPr>
        <w:ind w:left="583"/>
        <w:spacing w:after="0"/>
        <w:tabs>
          <w:tab w:leader="none" w:pos="1262" w:val="left"/>
        </w:tabs>
        <w:rPr>
          <w:sz w:val="20"/>
          <w:szCs w:val="20"/>
          <w:color w:val="auto"/>
        </w:rPr>
      </w:pPr>
      <w:r>
        <w:rPr>
          <w:rFonts w:ascii="Arial" w:cs="Arial" w:eastAsia="Arial" w:hAnsi="Arial"/>
          <w:sz w:val="16"/>
          <w:szCs w:val="16"/>
          <w:b w:val="1"/>
          <w:bCs w:val="1"/>
          <w:color w:val="auto"/>
        </w:rPr>
        <w:t>14.3</w:t>
      </w:r>
      <w:r>
        <w:rPr>
          <w:sz w:val="20"/>
          <w:szCs w:val="20"/>
          <w:color w:val="auto"/>
        </w:rPr>
        <w:tab/>
      </w:r>
      <w:r>
        <w:rPr>
          <w:rFonts w:ascii="Arial" w:cs="Arial" w:eastAsia="Arial" w:hAnsi="Arial"/>
          <w:sz w:val="14"/>
          <w:szCs w:val="14"/>
          <w:b w:val="1"/>
          <w:bCs w:val="1"/>
          <w:color w:val="auto"/>
        </w:rPr>
        <w:t>Insurance.</w:t>
      </w:r>
    </w:p>
    <w:p>
      <w:pPr>
        <w:spacing w:after="0" w:line="206" w:lineRule="exact"/>
        <w:rPr>
          <w:sz w:val="20"/>
          <w:szCs w:val="20"/>
          <w:color w:val="auto"/>
        </w:rPr>
      </w:pPr>
    </w:p>
    <w:p>
      <w:pPr>
        <w:ind w:left="143" w:right="200" w:firstLine="1172"/>
        <w:spacing w:after="0" w:line="271" w:lineRule="auto"/>
        <w:tabs>
          <w:tab w:leader="none" w:pos="1622" w:val="left"/>
        </w:tabs>
        <w:numPr>
          <w:ilvl w:val="1"/>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During the Term, each Party shall obtain and maintain, at its own expense, insurance coverages sufficient to support such Party’s</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indemnification obligations under Section 14.1, including the coverages specified in this Section 14.3; provided, however, Genentech has the right, in its sole discretion, to self-insure, in part or in whole, for any such coverages. The following applies to such coverages:</w:t>
      </w:r>
    </w:p>
    <w:p>
      <w:pPr>
        <w:spacing w:after="0" w:line="160" w:lineRule="exact"/>
        <w:rPr>
          <w:rFonts w:ascii="Arial" w:cs="Arial" w:eastAsia="Arial" w:hAnsi="Arial"/>
          <w:sz w:val="16"/>
          <w:szCs w:val="16"/>
          <w:b w:val="1"/>
          <w:bCs w:val="1"/>
          <w:color w:val="auto"/>
        </w:rPr>
      </w:pPr>
    </w:p>
    <w:p>
      <w:pPr>
        <w:ind w:left="2603" w:hanging="849"/>
        <w:spacing w:after="0"/>
        <w:tabs>
          <w:tab w:leader="none" w:pos="2603" w:val="left"/>
        </w:tabs>
        <w:numPr>
          <w:ilvl w:val="2"/>
          <w:numId w:val="186"/>
        </w:numPr>
        <w:rPr>
          <w:rFonts w:ascii="Arial" w:cs="Arial" w:eastAsia="Arial" w:hAnsi="Arial"/>
          <w:sz w:val="15"/>
          <w:szCs w:val="15"/>
          <w:b w:val="1"/>
          <w:bCs w:val="1"/>
          <w:color w:val="auto"/>
        </w:rPr>
      </w:pPr>
      <w:r>
        <w:rPr>
          <w:rFonts w:ascii="Arial" w:cs="Arial" w:eastAsia="Arial" w:hAnsi="Arial"/>
          <w:sz w:val="15"/>
          <w:szCs w:val="15"/>
          <w:color w:val="auto"/>
        </w:rPr>
        <w:t>Liability insurance policies carried out by a Party on a claims-made form shall be maintained in force by such Party for a minimum of</w:t>
      </w:r>
    </w:p>
    <w:p>
      <w:pPr>
        <w:spacing w:after="0" w:line="34" w:lineRule="exact"/>
        <w:rPr>
          <w:rFonts w:ascii="Arial" w:cs="Arial" w:eastAsia="Arial" w:hAnsi="Arial"/>
          <w:sz w:val="15"/>
          <w:szCs w:val="15"/>
          <w:b w:val="1"/>
          <w:bCs w:val="1"/>
          <w:color w:val="auto"/>
        </w:rPr>
      </w:pPr>
    </w:p>
    <w:p>
      <w:pPr>
        <w:ind w:left="3" w:right="220" w:hanging="3"/>
        <w:spacing w:after="0" w:line="340" w:lineRule="auto"/>
        <w:tabs>
          <w:tab w:leader="none" w:pos="273" w:val="left"/>
        </w:tabs>
        <w:numPr>
          <w:ilvl w:val="0"/>
          <w:numId w:val="186"/>
        </w:numPr>
        <w:rPr>
          <w:rFonts w:ascii="Arial" w:cs="Arial" w:eastAsia="Arial" w:hAnsi="Arial"/>
          <w:sz w:val="14"/>
          <w:szCs w:val="14"/>
          <w:color w:val="auto"/>
        </w:rPr>
      </w:pPr>
      <w:r>
        <w:rPr>
          <w:rFonts w:ascii="Arial" w:cs="Arial" w:eastAsia="Arial" w:hAnsi="Arial"/>
          <w:sz w:val="14"/>
          <w:szCs w:val="14"/>
          <w:color w:val="auto"/>
        </w:rPr>
        <w:t>For Clinical Trial Liability, the policy must be maintained for at least [*] after the last Subject receives treatment in connection with the Party’s Study(ies), including any treatment received after the related Study Completion, but not for less than the statute of limitations in the state or location where such Study(ies) is being conducted.</w:t>
      </w:r>
    </w:p>
    <w:p>
      <w:pPr>
        <w:spacing w:after="0" w:line="372" w:lineRule="exact"/>
        <w:rPr>
          <w:rFonts w:ascii="Arial" w:cs="Arial" w:eastAsia="Arial" w:hAnsi="Arial"/>
          <w:sz w:val="14"/>
          <w:szCs w:val="14"/>
          <w:color w:val="auto"/>
        </w:rPr>
      </w:pPr>
    </w:p>
    <w:p>
      <w:pPr>
        <w:ind w:left="5643" w:hanging="102"/>
        <w:spacing w:after="0"/>
        <w:tabs>
          <w:tab w:leader="none" w:pos="5643" w:val="left"/>
        </w:tabs>
        <w:numPr>
          <w:ilvl w:val="3"/>
          <w:numId w:val="186"/>
        </w:numPr>
        <w:rPr>
          <w:rFonts w:ascii="Arial" w:cs="Arial" w:eastAsia="Arial" w:hAnsi="Arial"/>
          <w:sz w:val="16"/>
          <w:szCs w:val="16"/>
          <w:color w:val="auto"/>
        </w:rPr>
      </w:pPr>
      <w:r>
        <w:rPr>
          <w:rFonts w:ascii="Arial" w:cs="Arial" w:eastAsia="Arial" w:hAnsi="Arial"/>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color w:val="auto"/>
        </w:rPr>
        <w:t>CONFIDENTIAL</w:t>
      </w:r>
    </w:p>
    <w:p>
      <w:pPr>
        <w:spacing w:after="0" w:line="108" w:lineRule="exact"/>
        <w:rPr>
          <w:sz w:val="20"/>
          <w:szCs w:val="20"/>
          <w:color w:val="auto"/>
        </w:rPr>
      </w:pPr>
    </w:p>
    <w:p>
      <w:pPr>
        <w:ind w:left="3" w:right="100" w:firstLine="1751"/>
        <w:spacing w:after="0" w:line="261" w:lineRule="auto"/>
        <w:tabs>
          <w:tab w:leader="none" w:pos="2522"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Insurance coverage shall be primary insurance with respect to each Party’s own participation under this Agreement and shall be maintained with an insurance company or companies having an A.M. Best’s rating (or its equivalent) of A-VII or better. On request, each Party shall provide to the other Party certificates of insurance evidencing the insurance coverage required under this Section 14.3. Each Party shall provide to the other Party written notice of any cancellation, nonrenewal or material change in accordance with policy provisions. The limits of any required insurance coverage shall not limit the Parties’ liability under the indemnification provisions of this Agreement.</w:t>
      </w:r>
    </w:p>
    <w:p>
      <w:pPr>
        <w:spacing w:after="0" w:line="67" w:lineRule="exact"/>
        <w:rPr>
          <w:rFonts w:ascii="Arial" w:cs="Arial" w:eastAsia="Arial" w:hAnsi="Arial"/>
          <w:sz w:val="16"/>
          <w:szCs w:val="16"/>
          <w:b w:val="1"/>
          <w:bCs w:val="1"/>
          <w:color w:val="auto"/>
        </w:rPr>
      </w:pPr>
    </w:p>
    <w:p>
      <w:pPr>
        <w:ind w:left="143" w:right="60" w:firstLine="1172"/>
        <w:spacing w:after="0" w:line="265" w:lineRule="auto"/>
        <w:tabs>
          <w:tab w:leader="none" w:pos="1591"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Non-Sponsor Coverage. </w:t>
      </w:r>
      <w:r>
        <w:rPr>
          <w:rFonts w:ascii="Arial" w:cs="Arial" w:eastAsia="Arial" w:hAnsi="Arial"/>
          <w:sz w:val="16"/>
          <w:szCs w:val="16"/>
          <w:color w:val="auto"/>
        </w:rPr>
        <w:t>Non-Sponsor shall maintain (i) commercial general liability (including contractual liability) insurance covering bodily injury</w:t>
      </w:r>
      <w:r>
        <w:rPr>
          <w:rFonts w:ascii="Arial" w:cs="Arial" w:eastAsia="Arial" w:hAnsi="Arial"/>
          <w:sz w:val="16"/>
          <w:szCs w:val="16"/>
          <w:b w:val="1"/>
          <w:bCs w:val="1"/>
          <w:color w:val="auto"/>
        </w:rPr>
        <w:t xml:space="preserve"> </w:t>
      </w:r>
      <w:r>
        <w:rPr>
          <w:rFonts w:ascii="Arial" w:cs="Arial" w:eastAsia="Arial" w:hAnsi="Arial"/>
          <w:sz w:val="16"/>
          <w:szCs w:val="16"/>
          <w:color w:val="auto"/>
        </w:rPr>
        <w:t>and property damage arising out of the Non-Sponsor’s obligations under this Agreement, for limits no less than [*] per occurrence and [*] in the aggregate and (ii) product liability insurance relating to the Non-Sponsor Compound provided by Non-Sponsor under this Agreement, for limits no less than [*] per occurrence / claim and [*] in the aggregate excess of a [*] Self-Insurance Retention (SIR) for Genentech.</w:t>
      </w:r>
    </w:p>
    <w:p>
      <w:pPr>
        <w:spacing w:after="0" w:line="161" w:lineRule="exact"/>
        <w:rPr>
          <w:rFonts w:ascii="Arial" w:cs="Arial" w:eastAsia="Arial" w:hAnsi="Arial"/>
          <w:sz w:val="16"/>
          <w:szCs w:val="16"/>
          <w:b w:val="1"/>
          <w:bCs w:val="1"/>
          <w:color w:val="auto"/>
        </w:rPr>
      </w:pPr>
    </w:p>
    <w:p>
      <w:pPr>
        <w:ind w:left="143" w:right="20" w:firstLine="1172"/>
        <w:spacing w:after="0" w:line="281" w:lineRule="auto"/>
        <w:tabs>
          <w:tab w:leader="none" w:pos="1613" w:val="left"/>
        </w:tabs>
        <w:numPr>
          <w:ilvl w:val="0"/>
          <w:numId w:val="1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Sponsor Coverage. </w:t>
      </w:r>
      <w:r>
        <w:rPr>
          <w:rFonts w:ascii="Arial" w:cs="Arial" w:eastAsia="Arial" w:hAnsi="Arial"/>
          <w:sz w:val="15"/>
          <w:szCs w:val="15"/>
          <w:color w:val="auto"/>
        </w:rPr>
        <w:t>Sponsor shall maintain (i) commercial general liability (including contractual liability) insurance covering bodily injury and</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damage arising out of Sponsor’s obligations under this Agreement, for limits no less than [*] per occurrence and [*] in the aggregate excess of a [*] Self-Insured Retention (SIR) for Genentech; (ii) product liability insurance relating to the Sponsor Compound provided by Sponsor under this Agreement, for limits of no less than [*] per occurrence / claim and [*] in the aggregate; and (iii) clinical trial liability insurance for limits of no less than [*] per occurrence / claim. Sponsor shall ensure prior to the enrollment of any Subjects in Sponsor’s Study(ies) that the insurance policies required by this Section 14.3 apply to injuries that may arise in connection with the Sponsor’s Study(ies) and Sponsor shall name Non-Sponsor as an additional insured by endorsement under the General Liability policy.</w:t>
      </w:r>
    </w:p>
    <w:p>
      <w:pPr>
        <w:spacing w:after="0" w:line="24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Article 15</w:t>
      </w:r>
    </w:p>
    <w:p>
      <w:pPr>
        <w:spacing w:after="0" w:line="2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Dispute Resolution</w:t>
      </w:r>
    </w:p>
    <w:p>
      <w:pPr>
        <w:spacing w:after="0" w:line="129" w:lineRule="exact"/>
        <w:rPr>
          <w:sz w:val="20"/>
          <w:szCs w:val="20"/>
          <w:color w:val="auto"/>
        </w:rPr>
      </w:pPr>
    </w:p>
    <w:p>
      <w:pPr>
        <w:ind w:left="3" w:right="60" w:firstLine="584"/>
        <w:spacing w:after="0" w:line="293" w:lineRule="auto"/>
        <w:rPr>
          <w:sz w:val="20"/>
          <w:szCs w:val="20"/>
          <w:color w:val="auto"/>
        </w:rPr>
      </w:pPr>
      <w:r>
        <w:rPr>
          <w:rFonts w:ascii="Arial" w:cs="Arial" w:eastAsia="Arial" w:hAnsi="Arial"/>
          <w:sz w:val="14"/>
          <w:szCs w:val="14"/>
          <w:b w:val="1"/>
          <w:bCs w:val="1"/>
          <w:color w:val="auto"/>
        </w:rPr>
        <w:t xml:space="preserve">15.1 Internal Resolution. </w:t>
      </w:r>
      <w:r>
        <w:rPr>
          <w:rFonts w:ascii="Arial" w:cs="Arial" w:eastAsia="Arial" w:hAnsi="Arial"/>
          <w:sz w:val="14"/>
          <w:szCs w:val="14"/>
          <w:color w:val="auto"/>
        </w:rPr>
        <w:t>Except as otherwise expressly provided in this Agreement, any disputes arising under this Agreement shall be first referred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Roche Group’s Global Head of Clinical Development for Hematology/Oncology Product Development and to BioLineRx’s CEO for resolution, prior to proceeding under the other provisions of this Article 15. A dispute shall be referred to such executives upon one Party providing the other Party with written notice that such dispute exists, and such executives (or their designees) shall diligently attempt to resolve such dispute through good faith discussions. In the event that such dispute is not resolved within [*] of such other Party’s receipt of such notice, (a) Genentech shall have final decision making authority with respect to matters solely related to the Genentech Compound; (b) BioLineRx shall have final decision making authority with respect to matters solely related to the BioLineRx Compound; (c) subject to the foregoing, Sponsor shall have final decision making authority with respect to operational matters with respect to conducting the Sponsor’s Study(ies), including selecting Participating Sites, Investigators and CROs; and</w:t>
      </w:r>
    </w:p>
    <w:p>
      <w:pPr>
        <w:spacing w:after="0" w:line="4" w:lineRule="exact"/>
        <w:rPr>
          <w:sz w:val="20"/>
          <w:szCs w:val="20"/>
          <w:color w:val="auto"/>
        </w:rPr>
      </w:pPr>
    </w:p>
    <w:p>
      <w:pPr>
        <w:ind w:left="3" w:right="660" w:hanging="3"/>
        <w:spacing w:after="0" w:line="268" w:lineRule="auto"/>
        <w:tabs>
          <w:tab w:leader="none" w:pos="23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either Party may initiate dispute resolution under Section 15.2 with respect to any other unresolved disputes, including safety concerns related to the Combination, publications strategy and patent prosecution.</w:t>
      </w:r>
    </w:p>
    <w:p>
      <w:pPr>
        <w:spacing w:after="0" w:line="161" w:lineRule="exact"/>
        <w:rPr>
          <w:rFonts w:ascii="Arial" w:cs="Arial" w:eastAsia="Arial" w:hAnsi="Arial"/>
          <w:sz w:val="16"/>
          <w:szCs w:val="16"/>
          <w:color w:val="auto"/>
        </w:rPr>
      </w:pPr>
    </w:p>
    <w:p>
      <w:pPr>
        <w:ind w:left="5643" w:hanging="102"/>
        <w:spacing w:after="0"/>
        <w:tabs>
          <w:tab w:leader="none" w:pos="5643" w:val="left"/>
        </w:tabs>
        <w:numPr>
          <w:ilvl w:val="1"/>
          <w:numId w:val="189"/>
        </w:numPr>
        <w:rPr>
          <w:rFonts w:ascii="Arial" w:cs="Arial" w:eastAsia="Arial" w:hAnsi="Arial"/>
          <w:sz w:val="16"/>
          <w:szCs w:val="16"/>
          <w:color w:val="auto"/>
        </w:rPr>
      </w:pPr>
      <w:r>
        <w:rPr>
          <w:rFonts w:ascii="Arial" w:cs="Arial" w:eastAsia="Arial" w:hAnsi="Arial"/>
          <w:sz w:val="16"/>
          <w:szCs w:val="16"/>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7" w:right="2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15.2</w:t>
      </w:r>
      <w:r>
        <w:rPr>
          <w:sz w:val="20"/>
          <w:szCs w:val="20"/>
          <w:color w:val="auto"/>
        </w:rPr>
        <w:tab/>
      </w:r>
      <w:r>
        <w:rPr>
          <w:rFonts w:ascii="Arial" w:cs="Arial" w:eastAsia="Arial" w:hAnsi="Arial"/>
          <w:sz w:val="15"/>
          <w:szCs w:val="15"/>
          <w:b w:val="1"/>
          <w:bCs w:val="1"/>
          <w:color w:val="auto"/>
        </w:rPr>
        <w:t>Arbitration.</w:t>
      </w:r>
    </w:p>
    <w:p>
      <w:pPr>
        <w:spacing w:after="0" w:line="206" w:lineRule="exact"/>
        <w:rPr>
          <w:sz w:val="20"/>
          <w:szCs w:val="20"/>
          <w:color w:val="auto"/>
        </w:rPr>
      </w:pPr>
    </w:p>
    <w:p>
      <w:pPr>
        <w:ind w:left="140" w:right="80" w:firstLine="1172"/>
        <w:spacing w:after="0" w:line="261" w:lineRule="auto"/>
        <w:tabs>
          <w:tab w:leader="none" w:pos="1620"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Except as otherwise expressly provided in this Agreement, the Parties agree that any dispute not resolved internally by the Parties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Section 15.1 shall be resolved through final, binding arbitration administered by the American Arbitration Association in accordance with its Commercial Arbitration Rules (for purposes of this Article 15, the “</w:t>
      </w:r>
      <w:r>
        <w:rPr>
          <w:rFonts w:ascii="Arial" w:cs="Arial" w:eastAsia="Arial" w:hAnsi="Arial"/>
          <w:sz w:val="16"/>
          <w:szCs w:val="16"/>
          <w:b w:val="1"/>
          <w:bCs w:val="1"/>
          <w:color w:val="auto"/>
        </w:rPr>
        <w:t>Rules</w:t>
      </w:r>
      <w:r>
        <w:rPr>
          <w:rFonts w:ascii="Arial" w:cs="Arial" w:eastAsia="Arial" w:hAnsi="Arial"/>
          <w:sz w:val="16"/>
          <w:szCs w:val="16"/>
          <w:color w:val="auto"/>
        </w:rPr>
        <w:t>”), except as modified in this Agreement, applying the substantive law specified in Section 16.2. Each Party shall notify the other Party in writing if it commences resolution through arbitration in accordance with this Section 15.2(a). The arbitration proceeding and all related hearings shall be conducted in New York City, New York in accordance with the governing law set forth in Section 16.2. Judgment on the award rendered by the arbitrators may be entered in any court having jurisdiction thereof.</w:t>
      </w:r>
    </w:p>
    <w:p>
      <w:pPr>
        <w:spacing w:after="0" w:line="163" w:lineRule="exact"/>
        <w:rPr>
          <w:rFonts w:ascii="Arial" w:cs="Arial" w:eastAsia="Arial" w:hAnsi="Arial"/>
          <w:sz w:val="16"/>
          <w:szCs w:val="16"/>
          <w:b w:val="1"/>
          <w:bCs w:val="1"/>
          <w:color w:val="auto"/>
        </w:rPr>
      </w:pPr>
    </w:p>
    <w:p>
      <w:pPr>
        <w:ind w:left="140" w:right="20" w:firstLine="1172"/>
        <w:spacing w:after="0" w:line="315" w:lineRule="auto"/>
        <w:tabs>
          <w:tab w:leader="none" w:pos="1588" w:val="left"/>
        </w:tabs>
        <w:numPr>
          <w:ilvl w:val="0"/>
          <w:numId w:val="19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Arbitrators. </w:t>
      </w:r>
      <w:r>
        <w:rPr>
          <w:rFonts w:ascii="Arial" w:cs="Arial" w:eastAsia="Arial" w:hAnsi="Arial"/>
          <w:sz w:val="14"/>
          <w:szCs w:val="14"/>
          <w:color w:val="auto"/>
        </w:rPr>
        <w:t>Each Party shall select one (1) neutral arbitrator, and the two (2) neutral arbitrators so selected shall choose a third neutral arbitrator. All</w:t>
      </w:r>
      <w:r>
        <w:rPr>
          <w:rFonts w:ascii="Arial" w:cs="Arial" w:eastAsia="Arial" w:hAnsi="Arial"/>
          <w:sz w:val="14"/>
          <w:szCs w:val="14"/>
          <w:b w:val="1"/>
          <w:bCs w:val="1"/>
          <w:color w:val="auto"/>
        </w:rPr>
        <w:t xml:space="preserve"> </w:t>
      </w:r>
      <w:r>
        <w:rPr>
          <w:rFonts w:ascii="Arial" w:cs="Arial" w:eastAsia="Arial" w:hAnsi="Arial"/>
          <w:sz w:val="14"/>
          <w:szCs w:val="14"/>
          <w:color w:val="auto"/>
        </w:rPr>
        <w:t>three (3) arbitrators shall serve as neutrals and have at least ten (10) years of (i) dispute resolution experience (which may include judicial experience) or (ii) legal or business experience in the biotechnology or pharmaceutical industry. In any event, at least one (1) arbitrator shall satisfy the foregoing experience requirement under clause (ii). If a Party fails to nominate its arbitrator, or if the Parties’ arbitrators cannot agree on the third arbitrator, the necessary appointments shall be made in accordance with the Rules.</w:t>
      </w:r>
    </w:p>
    <w:p>
      <w:pPr>
        <w:spacing w:after="0" w:line="129" w:lineRule="exact"/>
        <w:rPr>
          <w:sz w:val="20"/>
          <w:szCs w:val="20"/>
          <w:color w:val="auto"/>
        </w:rPr>
      </w:pPr>
    </w:p>
    <w:p>
      <w:pPr>
        <w:ind w:right="40" w:firstLine="584"/>
        <w:spacing w:after="0" w:line="284" w:lineRule="auto"/>
        <w:rPr>
          <w:sz w:val="20"/>
          <w:szCs w:val="20"/>
          <w:color w:val="auto"/>
        </w:rPr>
      </w:pPr>
      <w:r>
        <w:rPr>
          <w:rFonts w:ascii="Arial" w:cs="Arial" w:eastAsia="Arial" w:hAnsi="Arial"/>
          <w:sz w:val="15"/>
          <w:szCs w:val="15"/>
          <w:b w:val="1"/>
          <w:bCs w:val="1"/>
          <w:color w:val="auto"/>
        </w:rPr>
        <w:t xml:space="preserve">15.3 Subject Matter Exclusions. </w:t>
      </w:r>
      <w:r>
        <w:rPr>
          <w:rFonts w:ascii="Arial" w:cs="Arial" w:eastAsia="Arial" w:hAnsi="Arial"/>
          <w:sz w:val="15"/>
          <w:szCs w:val="15"/>
          <w:color w:val="auto"/>
        </w:rPr>
        <w:t>Notwithstanding the provisions of Section 15.2, any dispute not resolved internally by the Parties pursuant to this Section 15.1</w:t>
      </w:r>
      <w:r>
        <w:rPr>
          <w:rFonts w:ascii="Arial" w:cs="Arial" w:eastAsia="Arial" w:hAnsi="Arial"/>
          <w:sz w:val="15"/>
          <w:szCs w:val="15"/>
          <w:b w:val="1"/>
          <w:bCs w:val="1"/>
          <w:color w:val="auto"/>
        </w:rPr>
        <w:t xml:space="preserve"> </w:t>
      </w:r>
      <w:r>
        <w:rPr>
          <w:rFonts w:ascii="Arial" w:cs="Arial" w:eastAsia="Arial" w:hAnsi="Arial"/>
          <w:sz w:val="15"/>
          <w:szCs w:val="15"/>
          <w:color w:val="auto"/>
        </w:rPr>
        <w:t>that involves the validity, infringement or enforceability of a Patent included in a license granted in this Agreement: (a) that is issued in the United States shall be subject to actions before the United States Patent and Trademark Office and/or submitted exclusively to the federal court located in the jurisdiction of the district where any of the defendants reside, and (b) that is issued in any other country (or region) shall be brought before an appropriate regulatory or administrative body or court in that country (or region), and in all cases, the Parties hereby consent to the jurisdiction and venue of such courts and bodies.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6"/>
          <w:szCs w:val="16"/>
          <w:color w:val="auto"/>
        </w:rPr>
        <w:t>CONFIDENTIAL</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29" w:lineRule="exact"/>
        <w:rPr>
          <w:sz w:val="20"/>
          <w:szCs w:val="20"/>
          <w:color w:val="auto"/>
        </w:rPr>
      </w:pPr>
    </w:p>
    <w:p>
      <w:pPr>
        <w:ind w:right="80" w:firstLine="584"/>
        <w:spacing w:after="0" w:line="281" w:lineRule="auto"/>
        <w:rPr>
          <w:sz w:val="20"/>
          <w:szCs w:val="20"/>
          <w:color w:val="auto"/>
        </w:rPr>
      </w:pPr>
      <w:r>
        <w:rPr>
          <w:rFonts w:ascii="Arial" w:cs="Arial" w:eastAsia="Arial" w:hAnsi="Arial"/>
          <w:sz w:val="15"/>
          <w:szCs w:val="15"/>
          <w:b w:val="1"/>
          <w:bCs w:val="1"/>
          <w:color w:val="auto"/>
        </w:rPr>
        <w:t xml:space="preserve">16.1 Notices. </w:t>
      </w:r>
      <w:r>
        <w:rPr>
          <w:rFonts w:ascii="Arial" w:cs="Arial" w:eastAsia="Arial" w:hAnsi="Arial"/>
          <w:sz w:val="15"/>
          <w:szCs w:val="15"/>
          <w:color w:val="auto"/>
        </w:rPr>
        <w:t>Except as otherwise expressly provided in this Agreement, any notice required under this Agreement shall be in writing, shall specifically refer to</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and shall be sent in accordance with the provisions of this Section 16.1. Notices shall be sent via one of the following means and will be effective (a) on the date of delivery, if delivered in person; (b) on the date of receipt, if sent by a facsimile (including a PDF image delivered via email); or (c) on the date of receipt, if sent by private express courier or by first class certified mail, return receipt requested (or its equivalent). Any notice sent via facsimile shall be followed by a copy of such notice by private express courier or by first class certified mail, return receipt requested (or its equivalent). Notices shall be sent to the other Party at the addresses set forth below. Either Party may change its addresses for purposes of this Section 16.1 by sending written notice to the other Party in accordance with this Section 16.1.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to BioLineRx:</w:t>
      </w:r>
    </w:p>
    <w:p>
      <w:pPr>
        <w:spacing w:after="0" w:line="7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BioLineRx Ltd.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2 HaMa’ayan Street</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Modi’in 7177871, Israel</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Attn: Chief Financial and Operating Officer</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Telephone: +972-8-642-9100</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Facsimile: +972-8-642-9101</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with a required copy to:</w:t>
      </w:r>
    </w:p>
    <w:p>
      <w:pPr>
        <w:spacing w:after="0" w:line="88"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General Counsel</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BioLineRx Ltd.</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Same address as above</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If to Genentech:</w:t>
      </w:r>
    </w:p>
    <w:p>
      <w:pPr>
        <w:spacing w:after="0" w:line="7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Genentech, Inc.</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 DNA Way</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South San Francisco, CA 94080</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Attn: Corporate Secretary</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Telephone: (650) 225-1000</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Facsimile: (650) 467-9146</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285" w:right="2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with a required copy to:</w:t>
      </w:r>
    </w:p>
    <w:p>
      <w:pPr>
        <w:spacing w:after="0" w:line="7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 Hoffmann-La Roche Ltd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Grenzacherstrasse 124</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CH-4070 Basel</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Switzerland</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Attn: Head of Oncology, Business Development, Roche Partnering</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Telephone: +41 61 688 06 29</w:t>
      </w:r>
    </w:p>
    <w:p>
      <w:pPr>
        <w:spacing w:after="0" w:line="190" w:lineRule="exact"/>
        <w:rPr>
          <w:sz w:val="20"/>
          <w:szCs w:val="20"/>
          <w:color w:val="auto"/>
        </w:rPr>
      </w:pPr>
    </w:p>
    <w:p>
      <w:pPr>
        <w:ind w:right="320" w:firstLine="584"/>
        <w:spacing w:after="0" w:line="324" w:lineRule="auto"/>
        <w:rPr>
          <w:sz w:val="20"/>
          <w:szCs w:val="20"/>
          <w:color w:val="auto"/>
        </w:rPr>
      </w:pPr>
      <w:r>
        <w:rPr>
          <w:rFonts w:ascii="Arial" w:cs="Arial" w:eastAsia="Arial" w:hAnsi="Arial"/>
          <w:sz w:val="15"/>
          <w:szCs w:val="15"/>
          <w:b w:val="1"/>
          <w:bCs w:val="1"/>
          <w:color w:val="auto"/>
        </w:rPr>
        <w:t xml:space="preserve">16.2 Governing Law. </w:t>
      </w:r>
      <w:r>
        <w:rPr>
          <w:rFonts w:ascii="Arial" w:cs="Arial" w:eastAsia="Arial" w:hAnsi="Arial"/>
          <w:sz w:val="15"/>
          <w:szCs w:val="15"/>
          <w:color w:val="auto"/>
        </w:rPr>
        <w:t>This Agreement shall be governed by and construed under the laws of the State of New York, USA, without regard to conflict of laws</w:t>
      </w:r>
      <w:r>
        <w:rPr>
          <w:rFonts w:ascii="Arial" w:cs="Arial" w:eastAsia="Arial" w:hAnsi="Arial"/>
          <w:sz w:val="15"/>
          <w:szCs w:val="15"/>
          <w:b w:val="1"/>
          <w:bCs w:val="1"/>
          <w:color w:val="auto"/>
        </w:rPr>
        <w:t xml:space="preserve"> </w:t>
      </w:r>
      <w:r>
        <w:rPr>
          <w:rFonts w:ascii="Arial" w:cs="Arial" w:eastAsia="Arial" w:hAnsi="Arial"/>
          <w:sz w:val="15"/>
          <w:szCs w:val="15"/>
          <w:color w:val="auto"/>
        </w:rPr>
        <w:t>principles. The Parties hereby exclude from this Agreement the application of the United Nations Convention on Contracts for the International Sale of Goods.</w:t>
      </w:r>
    </w:p>
    <w:p>
      <w:pPr>
        <w:spacing w:after="0" w:line="119" w:lineRule="exact"/>
        <w:rPr>
          <w:sz w:val="20"/>
          <w:szCs w:val="20"/>
          <w:color w:val="auto"/>
        </w:rPr>
      </w:pPr>
    </w:p>
    <w:p>
      <w:pPr>
        <w:jc w:val="both"/>
        <w:ind w:right="60" w:firstLine="584"/>
        <w:spacing w:after="0" w:line="271" w:lineRule="auto"/>
        <w:rPr>
          <w:sz w:val="20"/>
          <w:szCs w:val="20"/>
          <w:color w:val="auto"/>
        </w:rPr>
      </w:pPr>
      <w:r>
        <w:rPr>
          <w:rFonts w:ascii="Arial" w:cs="Arial" w:eastAsia="Arial" w:hAnsi="Arial"/>
          <w:sz w:val="16"/>
          <w:szCs w:val="16"/>
          <w:b w:val="1"/>
          <w:bCs w:val="1"/>
          <w:color w:val="auto"/>
        </w:rPr>
        <w:t>16.3 Actions of Affiliates</w:t>
      </w:r>
      <w:r>
        <w:rPr>
          <w:rFonts w:ascii="Arial" w:cs="Arial" w:eastAsia="Arial" w:hAnsi="Arial"/>
          <w:sz w:val="16"/>
          <w:szCs w:val="16"/>
          <w:color w:val="auto"/>
        </w:rPr>
        <w:t>. Each Party may exercise some (but not all) of its rights or perform some (but not all) of its obligations under this Agreement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one or more Affiliates, provided that such Party shall nonetheless be primarily liable for the performance of its Affiliates and for any failure by its Affiliates to comply with the restrictions, limitations and obligations set forth in this Agreement.</w:t>
      </w:r>
    </w:p>
    <w:p>
      <w:pPr>
        <w:spacing w:after="0" w:line="156" w:lineRule="exact"/>
        <w:rPr>
          <w:sz w:val="20"/>
          <w:szCs w:val="20"/>
          <w:color w:val="auto"/>
        </w:rPr>
      </w:pPr>
    </w:p>
    <w:p>
      <w:pPr>
        <w:ind w:left="580"/>
        <w:spacing w:after="0"/>
        <w:tabs>
          <w:tab w:leader="none" w:pos="1260" w:val="left"/>
        </w:tabs>
        <w:rPr>
          <w:sz w:val="20"/>
          <w:szCs w:val="20"/>
          <w:color w:val="auto"/>
        </w:rPr>
      </w:pPr>
      <w:r>
        <w:rPr>
          <w:rFonts w:ascii="Arial" w:cs="Arial" w:eastAsia="Arial" w:hAnsi="Arial"/>
          <w:sz w:val="16"/>
          <w:szCs w:val="16"/>
          <w:b w:val="1"/>
          <w:bCs w:val="1"/>
          <w:color w:val="auto"/>
        </w:rPr>
        <w:t>16.4</w:t>
      </w:r>
      <w:r>
        <w:rPr>
          <w:sz w:val="20"/>
          <w:szCs w:val="20"/>
          <w:color w:val="auto"/>
        </w:rPr>
        <w:tab/>
      </w:r>
      <w:r>
        <w:rPr>
          <w:rFonts w:ascii="Arial" w:cs="Arial" w:eastAsia="Arial" w:hAnsi="Arial"/>
          <w:sz w:val="13"/>
          <w:szCs w:val="13"/>
          <w:b w:val="1"/>
          <w:bCs w:val="1"/>
          <w:color w:val="auto"/>
        </w:rPr>
        <w:t>Assignment.</w:t>
      </w:r>
    </w:p>
    <w:p>
      <w:pPr>
        <w:spacing w:after="0" w:line="206" w:lineRule="exact"/>
        <w:rPr>
          <w:sz w:val="20"/>
          <w:szCs w:val="20"/>
          <w:color w:val="auto"/>
        </w:rPr>
      </w:pPr>
    </w:p>
    <w:p>
      <w:pPr>
        <w:ind w:left="140" w:right="40" w:firstLine="1172"/>
        <w:spacing w:after="0" w:line="276" w:lineRule="auto"/>
        <w:tabs>
          <w:tab w:leader="none" w:pos="1620" w:val="left"/>
        </w:tabs>
        <w:numPr>
          <w:ilvl w:val="0"/>
          <w:numId w:val="1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w:t>
      </w:r>
      <w:r>
        <w:rPr>
          <w:rFonts w:ascii="Arial" w:cs="Arial" w:eastAsia="Arial" w:hAnsi="Arial"/>
          <w:sz w:val="15"/>
          <w:szCs w:val="15"/>
          <w:color w:val="auto"/>
        </w:rPr>
        <w:t>Except as otherwise expressly provided in this Agreement, neither Party may assign any of its rights or delegate any of its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without the prior written consent of the other Party, such consent not to be unreasonably withheld, conditioned or delayed. Subject to the other provisions of this Section 16.2, either Party may assign this Agreement, in its entirety, to (i) an Affiliate; (ii) an acquirer of all its capital stock (by reverse triangular merger or otherwise) or all or substantially all its assets or business to which this Agreement relates; or (iii) an acquirer (whether by license or acquisition) of all of the assigning Party’s rights and obligations with respect to its Compound, including rights to research, develop, manufacture and commercialize such Compound (for purposes of this Section 16.2, any of the foregoing, a “</w:t>
      </w:r>
      <w:r>
        <w:rPr>
          <w:rFonts w:ascii="Arial" w:cs="Arial" w:eastAsia="Arial" w:hAnsi="Arial"/>
          <w:sz w:val="15"/>
          <w:szCs w:val="15"/>
          <w:b w:val="1"/>
          <w:bCs w:val="1"/>
          <w:color w:val="auto"/>
        </w:rPr>
        <w:t>Change of Control,</w:t>
      </w:r>
      <w:r>
        <w:rPr>
          <w:rFonts w:ascii="Arial" w:cs="Arial" w:eastAsia="Arial" w:hAnsi="Arial"/>
          <w:sz w:val="15"/>
          <w:szCs w:val="15"/>
          <w:color w:val="auto"/>
        </w:rPr>
        <w:t>” and any assignee described in clauses (i-iii), an “</w:t>
      </w:r>
      <w:r>
        <w:rPr>
          <w:rFonts w:ascii="Arial" w:cs="Arial" w:eastAsia="Arial" w:hAnsi="Arial"/>
          <w:sz w:val="15"/>
          <w:szCs w:val="15"/>
          <w:b w:val="1"/>
          <w:bCs w:val="1"/>
          <w:color w:val="auto"/>
        </w:rPr>
        <w:t>Acquiring Party</w:t>
      </w:r>
      <w:r>
        <w:rPr>
          <w:rFonts w:ascii="Arial" w:cs="Arial" w:eastAsia="Arial" w:hAnsi="Arial"/>
          <w:sz w:val="15"/>
          <w:szCs w:val="15"/>
          <w:color w:val="auto"/>
        </w:rPr>
        <w:t>”), provided that in the event of any Change of Control, the Acquiring Party to which this Agreement is assigned expressly agrees in writing to assume and be bound by the obligations of the assigning Party under this Agreement. A copy of such assignment shall be provided to the non-assigning Party within thirty (30) days of the effective date of such assignment. Subject to the foregoing and other applicable provisions of this Section 16.2, this Agreement will inure to the benefit of and bind the Parties’ successors and permitted assigns. Any assignment or delegation in contravention of any such applicable provisions shall be null and void. Notwithstanding any other provision of this Section 16.2, this Agreement may only be assigned together with assignment of the Ancillary Agreements.</w:t>
      </w:r>
    </w:p>
    <w:p>
      <w:pPr>
        <w:spacing w:after="0" w:line="159" w:lineRule="exact"/>
        <w:rPr>
          <w:rFonts w:ascii="Arial" w:cs="Arial" w:eastAsia="Arial" w:hAnsi="Arial"/>
          <w:sz w:val="15"/>
          <w:szCs w:val="15"/>
          <w:b w:val="1"/>
          <w:bCs w:val="1"/>
          <w:color w:val="auto"/>
        </w:rPr>
      </w:pPr>
    </w:p>
    <w:p>
      <w:pPr>
        <w:ind w:left="5640" w:hanging="102"/>
        <w:spacing w:after="0"/>
        <w:tabs>
          <w:tab w:leader="none" w:pos="56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140" w:right="40" w:firstLine="1172"/>
        <w:spacing w:after="0" w:line="284" w:lineRule="auto"/>
        <w:tabs>
          <w:tab w:leader="none" w:pos="1588" w:val="left"/>
        </w:tabs>
        <w:numPr>
          <w:ilvl w:val="1"/>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Assignment by BioLineRx; Acquisitions. </w:t>
      </w:r>
      <w:r>
        <w:rPr>
          <w:rFonts w:ascii="Arial" w:cs="Arial" w:eastAsia="Arial" w:hAnsi="Arial"/>
          <w:sz w:val="15"/>
          <w:szCs w:val="15"/>
          <w:color w:val="auto"/>
        </w:rPr>
        <w:t>In the case of a Change of Control of BioLineRx, BioLineRx shall notify Genentech promptly in writing</w:t>
      </w:r>
      <w:r>
        <w:rPr>
          <w:rFonts w:ascii="Arial" w:cs="Arial" w:eastAsia="Arial" w:hAnsi="Arial"/>
          <w:sz w:val="15"/>
          <w:szCs w:val="15"/>
          <w:b w:val="1"/>
          <w:bCs w:val="1"/>
          <w:color w:val="auto"/>
        </w:rPr>
        <w:t xml:space="preserve"> </w:t>
      </w:r>
      <w:r>
        <w:rPr>
          <w:rFonts w:ascii="Arial" w:cs="Arial" w:eastAsia="Arial" w:hAnsi="Arial"/>
          <w:sz w:val="15"/>
          <w:szCs w:val="15"/>
          <w:color w:val="auto"/>
        </w:rPr>
        <w:t>upon completing such Change of Control if the Acquiring Party (i) has [*] (for purposes of this Section 16.4, any or all of which [*] or (ii) is working with another party [*] where such work includes [*]. BioLineRx, including its Acquiring Party, shall (i) adopt reasonable procedures to prevent any use of Confidential Information of Genentech in any [*] and (ii) provide written notice to Genentech describing such procedures as soon as legally practicable. The foregoing obligations shall also apply if BioLineRx or a BioLineRx Affiliate acquires a Third Party that has, or is working with another party on, [*]. For the purposes of this Section 16.4, the term [*] means [*] (b) [*] or (c) [*]</w:t>
      </w:r>
    </w:p>
    <w:p>
      <w:pPr>
        <w:spacing w:after="0" w:line="148" w:lineRule="exact"/>
        <w:rPr>
          <w:rFonts w:ascii="Arial" w:cs="Arial" w:eastAsia="Arial" w:hAnsi="Arial"/>
          <w:sz w:val="15"/>
          <w:szCs w:val="15"/>
          <w:b w:val="1"/>
          <w:bCs w:val="1"/>
          <w:color w:val="auto"/>
        </w:rPr>
      </w:pPr>
    </w:p>
    <w:p>
      <w:pPr>
        <w:ind w:left="140" w:right="40" w:firstLine="1172"/>
        <w:spacing w:after="0" w:line="282" w:lineRule="auto"/>
        <w:tabs>
          <w:tab w:leader="none" w:pos="1611" w:val="left"/>
        </w:tabs>
        <w:numPr>
          <w:ilvl w:val="1"/>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Assignment by Genentech; Acquisitions. </w:t>
      </w:r>
      <w:r>
        <w:rPr>
          <w:rFonts w:ascii="Arial" w:cs="Arial" w:eastAsia="Arial" w:hAnsi="Arial"/>
          <w:sz w:val="15"/>
          <w:szCs w:val="15"/>
          <w:color w:val="auto"/>
        </w:rPr>
        <w:t>In the case of a Change of Control of Genentech, Genentech shall notify BioLineRx promptly in writing</w:t>
      </w:r>
      <w:r>
        <w:rPr>
          <w:rFonts w:ascii="Arial" w:cs="Arial" w:eastAsia="Arial" w:hAnsi="Arial"/>
          <w:sz w:val="15"/>
          <w:szCs w:val="15"/>
          <w:b w:val="1"/>
          <w:bCs w:val="1"/>
          <w:color w:val="auto"/>
        </w:rPr>
        <w:t xml:space="preserve"> </w:t>
      </w:r>
      <w:r>
        <w:rPr>
          <w:rFonts w:ascii="Arial" w:cs="Arial" w:eastAsia="Arial" w:hAnsi="Arial"/>
          <w:sz w:val="15"/>
          <w:szCs w:val="15"/>
          <w:color w:val="auto"/>
        </w:rPr>
        <w:t>upon completing such Change of Control if the Acquiring Party (i) has [*] (for purposes of this Section 16.4, any or all of which [*] or (ii) is working with another party on a</w:t>
      </w:r>
    </w:p>
    <w:p>
      <w:pPr>
        <w:ind w:left="140" w:right="300" w:firstLine="4"/>
        <w:spacing w:after="0" w:line="286" w:lineRule="auto"/>
        <w:tabs>
          <w:tab w:leader="none" w:pos="37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where such work includes [*]. Genentech, including its Acquiring Party, shall (i) adopt reasonable procedures to prevent any use of Confidential Information of BioLineRx in any [*] and (ii) provide written notice to BioLineRx describing such procedures as soon as legally practicable. The foregoing obligations shall also apply if Genentech or a Genentech Affiliate acquires a Third Party that has, or is working with another party on, a [*]. For the purposes of this Section 16.4,the term [*]</w:t>
      </w:r>
    </w:p>
    <w:p>
      <w:pPr>
        <w:spacing w:after="0" w:line="147" w:lineRule="exact"/>
        <w:rPr>
          <w:sz w:val="20"/>
          <w:szCs w:val="20"/>
          <w:color w:val="auto"/>
        </w:rPr>
      </w:pPr>
    </w:p>
    <w:p>
      <w:pPr>
        <w:ind w:right="60" w:firstLine="584"/>
        <w:spacing w:after="0" w:line="278" w:lineRule="auto"/>
        <w:rPr>
          <w:sz w:val="20"/>
          <w:szCs w:val="20"/>
          <w:color w:val="auto"/>
        </w:rPr>
      </w:pPr>
      <w:r>
        <w:rPr>
          <w:rFonts w:ascii="Arial" w:cs="Arial" w:eastAsia="Arial" w:hAnsi="Arial"/>
          <w:sz w:val="15"/>
          <w:szCs w:val="15"/>
          <w:b w:val="1"/>
          <w:bCs w:val="1"/>
          <w:color w:val="auto"/>
        </w:rPr>
        <w:t xml:space="preserve">16.5 Force Majeure. </w:t>
      </w:r>
      <w:r>
        <w:rPr>
          <w:rFonts w:ascii="Arial" w:cs="Arial" w:eastAsia="Arial" w:hAnsi="Arial"/>
          <w:sz w:val="15"/>
          <w:szCs w:val="15"/>
          <w:color w:val="auto"/>
        </w:rPr>
        <w:t>Neither Party shall be deemed to have breached this Agreement for failure to perform its obligations under this Agreement to the extent</w:t>
      </w:r>
      <w:r>
        <w:rPr>
          <w:rFonts w:ascii="Arial" w:cs="Arial" w:eastAsia="Arial" w:hAnsi="Arial"/>
          <w:sz w:val="15"/>
          <w:szCs w:val="15"/>
          <w:b w:val="1"/>
          <w:bCs w:val="1"/>
          <w:color w:val="auto"/>
        </w:rPr>
        <w:t xml:space="preserve"> </w:t>
      </w:r>
      <w:r>
        <w:rPr>
          <w:rFonts w:ascii="Arial" w:cs="Arial" w:eastAsia="Arial" w:hAnsi="Arial"/>
          <w:sz w:val="15"/>
          <w:szCs w:val="15"/>
          <w:color w:val="auto"/>
        </w:rPr>
        <w:t>such failure results from causes beyond the reasonable control of the affected Party, such causes including acts of God, earthquakes, fires, floods, embargoes, wars, acts of terrorism, insurrections, riots, civil commotions, omissions or delays in action by any governmental authority, acts of a government or agency thereof and judicial orders or decrees. If a force majeure event occurs, the Party unable to perform shall promptly notify the other Party in writing of the occurrence of such event, and the Parties shall meet (in person or telephonically) promptly thereafter to discuss the circumstances relating thereto. The Party unable to perform shall (a) regularly provide reasonable status updates to the other Party; (b) use diligent and commercially reasonable efforts to mitigate any adverse consequences arising out of its failure to perform; and (c) resume performance as promptly as possible. In the event of a delay due to a force majeure event lasting for 12 continuous months or more, the non-affected Party shall have the right to terminate this Agreement immediately by notice in writing to the other Party.</w:t>
      </w:r>
    </w:p>
    <w:p>
      <w:pPr>
        <w:spacing w:after="0" w:line="155" w:lineRule="exact"/>
        <w:rPr>
          <w:sz w:val="20"/>
          <w:szCs w:val="20"/>
          <w:color w:val="auto"/>
        </w:rPr>
      </w:pPr>
    </w:p>
    <w:p>
      <w:pPr>
        <w:ind w:right="500" w:firstLine="584"/>
        <w:spacing w:after="0" w:line="288" w:lineRule="auto"/>
        <w:rPr>
          <w:sz w:val="20"/>
          <w:szCs w:val="20"/>
          <w:color w:val="auto"/>
        </w:rPr>
      </w:pPr>
      <w:r>
        <w:rPr>
          <w:rFonts w:ascii="Arial" w:cs="Arial" w:eastAsia="Arial" w:hAnsi="Arial"/>
          <w:sz w:val="16"/>
          <w:szCs w:val="16"/>
          <w:b w:val="1"/>
          <w:bCs w:val="1"/>
          <w:color w:val="auto"/>
        </w:rPr>
        <w:t>16.6 Relationship of the Parties</w:t>
      </w:r>
      <w:r>
        <w:rPr>
          <w:rFonts w:ascii="Arial" w:cs="Arial" w:eastAsia="Arial" w:hAnsi="Arial"/>
          <w:sz w:val="16"/>
          <w:szCs w:val="16"/>
          <w:color w:val="auto"/>
        </w:rPr>
        <w:t>. The Parties to this Agreement are independent contractors, and nothing contained in this Agreement shall be deemed or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create a partnership, joint venture, employment, franchise, agency or fiduciary relationship between the Parties.</w:t>
      </w:r>
    </w:p>
    <w:p>
      <w:pPr>
        <w:spacing w:after="0" w:line="143" w:lineRule="exact"/>
        <w:rPr>
          <w:sz w:val="20"/>
          <w:szCs w:val="20"/>
          <w:color w:val="auto"/>
        </w:rPr>
      </w:pPr>
    </w:p>
    <w:p>
      <w:pPr>
        <w:ind w:right="220" w:firstLine="584"/>
        <w:spacing w:after="0" w:line="265" w:lineRule="auto"/>
        <w:rPr>
          <w:sz w:val="20"/>
          <w:szCs w:val="20"/>
          <w:color w:val="auto"/>
        </w:rPr>
      </w:pPr>
      <w:r>
        <w:rPr>
          <w:rFonts w:ascii="Arial" w:cs="Arial" w:eastAsia="Arial" w:hAnsi="Arial"/>
          <w:sz w:val="16"/>
          <w:szCs w:val="16"/>
          <w:b w:val="1"/>
          <w:bCs w:val="1"/>
          <w:color w:val="auto"/>
        </w:rPr>
        <w:t xml:space="preserve">16.7 Amendment; Waiver. </w:t>
      </w:r>
      <w:r>
        <w:rPr>
          <w:rFonts w:ascii="Arial" w:cs="Arial" w:eastAsia="Arial" w:hAnsi="Arial"/>
          <w:sz w:val="16"/>
          <w:szCs w:val="16"/>
          <w:color w:val="auto"/>
        </w:rPr>
        <w:t>Except as otherwise expressly provided in this Agreement, no amendment to this Agreement shall be effective unless made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executed by an authorized representative of each Party. A Party’s failure to exercise, or delay in exercising, any right, power, privilege or remedy under this Agreement shall not (a) operate as a waiver thereof or (b) operate as a waiver of any other right, power, privilege or remedy. A waiver will be effective only upon the written consent of the Party granting such waiver.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27" w:name="page228"/>
    <w:bookmarkEnd w:id="227"/>
    <w:p>
      <w:pPr>
        <w:ind w:left="10240"/>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right="40" w:firstLine="584"/>
        <w:spacing w:after="0" w:line="262" w:lineRule="auto"/>
        <w:rPr>
          <w:sz w:val="20"/>
          <w:szCs w:val="20"/>
          <w:color w:val="auto"/>
        </w:rPr>
      </w:pPr>
      <w:r>
        <w:rPr>
          <w:rFonts w:ascii="Arial" w:cs="Arial" w:eastAsia="Arial" w:hAnsi="Arial"/>
          <w:sz w:val="16"/>
          <w:szCs w:val="16"/>
          <w:b w:val="1"/>
          <w:bCs w:val="1"/>
          <w:color w:val="auto"/>
        </w:rPr>
        <w:t xml:space="preserve">16.8 Construction; </w:t>
      </w:r>
      <w:r>
        <w:rPr>
          <w:rFonts w:ascii="Arial" w:cs="Arial" w:eastAsia="Arial" w:hAnsi="Arial"/>
          <w:sz w:val="16"/>
          <w:szCs w:val="16"/>
          <w:color w:val="auto"/>
        </w:rPr>
        <w:t>Captions. Each Party acknowledges that it participated in the negotiation and preparation of this Agreement and that it had the opportunity</w:t>
      </w:r>
      <w:r>
        <w:rPr>
          <w:rFonts w:ascii="Arial" w:cs="Arial" w:eastAsia="Arial" w:hAnsi="Arial"/>
          <w:sz w:val="16"/>
          <w:szCs w:val="16"/>
          <w:b w:val="1"/>
          <w:bCs w:val="1"/>
          <w:color w:val="auto"/>
        </w:rPr>
        <w:t xml:space="preserve"> </w:t>
      </w:r>
      <w:r>
        <w:rPr>
          <w:rFonts w:ascii="Arial" w:cs="Arial" w:eastAsia="Arial" w:hAnsi="Arial"/>
          <w:sz w:val="16"/>
          <w:szCs w:val="16"/>
          <w:color w:val="auto"/>
        </w:rPr>
        <w:t>to consult with an attorney of its choice in connection therewith. Ambiguities, if any, in this Agreement shall not be construed against either Party, irrespective of which Party may be deemed to have drafted the Agreement or authorized the ambiguous provision. Capitalized terms defined in the singular shall include the plural and vice versa. The terms “includes” and “including” mean “includes, without limitation,” and “including, without limitation,” respectively. Titles, headings and other captions are for convenience only and shall not affect the meaning or interpretation of this Agreement.</w:t>
      </w:r>
    </w:p>
    <w:p>
      <w:pPr>
        <w:spacing w:after="0" w:line="165" w:lineRule="exact"/>
        <w:rPr>
          <w:sz w:val="20"/>
          <w:szCs w:val="20"/>
          <w:color w:val="auto"/>
        </w:rPr>
      </w:pPr>
    </w:p>
    <w:p>
      <w:pPr>
        <w:ind w:right="300" w:firstLine="584"/>
        <w:spacing w:after="0" w:line="271" w:lineRule="auto"/>
        <w:rPr>
          <w:sz w:val="20"/>
          <w:szCs w:val="20"/>
          <w:color w:val="auto"/>
        </w:rPr>
      </w:pPr>
      <w:r>
        <w:rPr>
          <w:rFonts w:ascii="Arial" w:cs="Arial" w:eastAsia="Arial" w:hAnsi="Arial"/>
          <w:sz w:val="16"/>
          <w:szCs w:val="16"/>
          <w:b w:val="1"/>
          <w:bCs w:val="1"/>
          <w:color w:val="auto"/>
        </w:rPr>
        <w:t>16.9 Severability</w:t>
      </w:r>
      <w:r>
        <w:rPr>
          <w:rFonts w:ascii="Arial" w:cs="Arial" w:eastAsia="Arial" w:hAnsi="Arial"/>
          <w:sz w:val="16"/>
          <w:szCs w:val="16"/>
          <w:color w:val="auto"/>
        </w:rPr>
        <w:t>. If any of the provisions of this Agreement are held to be illegal, invalid or unenforceable, such illegal, invalid or unenforceable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replaced by legal, valid and enforceable provisions that will achieve to the maximum extent possible the intent of the Parties, and the other provisions of this Agreement shall remain in full force and effect.</w:t>
      </w:r>
    </w:p>
    <w:p>
      <w:pPr>
        <w:spacing w:after="0" w:line="156" w:lineRule="exact"/>
        <w:rPr>
          <w:sz w:val="20"/>
          <w:szCs w:val="20"/>
          <w:color w:val="auto"/>
        </w:rPr>
      </w:pPr>
    </w:p>
    <w:p>
      <w:pPr>
        <w:ind w:right="80" w:firstLine="584"/>
        <w:spacing w:after="0" w:line="271" w:lineRule="auto"/>
        <w:rPr>
          <w:sz w:val="20"/>
          <w:szCs w:val="20"/>
          <w:color w:val="auto"/>
        </w:rPr>
      </w:pPr>
      <w:r>
        <w:rPr>
          <w:rFonts w:ascii="Arial" w:cs="Arial" w:eastAsia="Arial" w:hAnsi="Arial"/>
          <w:sz w:val="16"/>
          <w:szCs w:val="16"/>
          <w:b w:val="1"/>
          <w:bCs w:val="1"/>
          <w:color w:val="auto"/>
        </w:rPr>
        <w:t xml:space="preserve">16.10 Entire Agreement. </w:t>
      </w:r>
      <w:r>
        <w:rPr>
          <w:rFonts w:ascii="Arial" w:cs="Arial" w:eastAsia="Arial" w:hAnsi="Arial"/>
          <w:sz w:val="16"/>
          <w:szCs w:val="16"/>
          <w:color w:val="auto"/>
        </w:rPr>
        <w:t>This Agreement, together with the Ancillary Agreements, contains the entire understanding between the Parties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and thereof and supersedes and terminates all prior agreements, understandings and arrangements between the Parties with respect to such subject matter, whether written or oral.</w:t>
      </w:r>
    </w:p>
    <w:p>
      <w:pPr>
        <w:spacing w:after="0" w:line="156" w:lineRule="exact"/>
        <w:rPr>
          <w:sz w:val="20"/>
          <w:szCs w:val="20"/>
          <w:color w:val="auto"/>
        </w:rPr>
      </w:pPr>
    </w:p>
    <w:p>
      <w:pPr>
        <w:ind w:right="20" w:firstLine="584"/>
        <w:spacing w:after="0" w:line="265" w:lineRule="auto"/>
        <w:rPr>
          <w:sz w:val="20"/>
          <w:szCs w:val="20"/>
          <w:color w:val="auto"/>
        </w:rPr>
      </w:pPr>
      <w:r>
        <w:rPr>
          <w:rFonts w:ascii="Arial" w:cs="Arial" w:eastAsia="Arial" w:hAnsi="Arial"/>
          <w:sz w:val="16"/>
          <w:szCs w:val="16"/>
          <w:b w:val="1"/>
          <w:bCs w:val="1"/>
          <w:color w:val="auto"/>
        </w:rPr>
        <w:t xml:space="preserve">16.11 Counterparts; Facsimiles. </w:t>
      </w:r>
      <w:r>
        <w:rPr>
          <w:rFonts w:ascii="Arial" w:cs="Arial" w:eastAsia="Arial" w:hAnsi="Arial"/>
          <w:sz w:val="16"/>
          <w:szCs w:val="16"/>
          <w:color w:val="auto"/>
        </w:rPr>
        <w:t>This Agreement may be executed in two (2) or more counterparts, each of which will be deemed an original, but all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will constitute one and the same instrument. A facsimile (including a PDF image delivered via email) of this Agreement, including the signature pages hereto, will be deemed to be an original. Notwithstanding anything to the contrary in the foregoing, the Parties shall deliver original execution copies of this Agreement to one another as soon as practicable following execution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 page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6"/>
          <w:szCs w:val="16"/>
          <w:color w:val="auto"/>
        </w:rPr>
        <w:t>CONFIDENTIAL</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by their respective duly authorized representatives as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gridSpan w:val="3"/>
          </w:tcPr>
          <w:p>
            <w:pPr>
              <w:ind w:left="80"/>
              <w:spacing w:after="0"/>
              <w:rPr>
                <w:sz w:val="20"/>
                <w:szCs w:val="20"/>
                <w:color w:val="auto"/>
              </w:rPr>
            </w:pPr>
            <w:r>
              <w:rPr>
                <w:rFonts w:ascii="Arial" w:cs="Arial" w:eastAsia="Arial" w:hAnsi="Arial"/>
                <w:sz w:val="16"/>
                <w:szCs w:val="16"/>
                <w:b w:val="1"/>
                <w:bCs w:val="1"/>
                <w:color w:val="auto"/>
              </w:rPr>
              <w:t>BioLineRx Ltd.</w:t>
            </w:r>
          </w:p>
        </w:tc>
        <w:tc>
          <w:tcPr>
            <w:tcW w:w="7960" w:type="dxa"/>
            <w:vAlign w:val="bottom"/>
            <w:gridSpan w:val="3"/>
          </w:tcPr>
          <w:p>
            <w:pPr>
              <w:ind w:left="1380"/>
              <w:spacing w:after="0"/>
              <w:rPr>
                <w:sz w:val="20"/>
                <w:szCs w:val="20"/>
                <w:color w:val="auto"/>
              </w:rPr>
            </w:pPr>
            <w:r>
              <w:rPr>
                <w:rFonts w:ascii="Arial" w:cs="Arial" w:eastAsia="Arial" w:hAnsi="Arial"/>
                <w:sz w:val="16"/>
                <w:szCs w:val="16"/>
                <w:b w:val="1"/>
                <w:bCs w:val="1"/>
                <w:color w:val="auto"/>
              </w:rPr>
              <w:t>Genentech, Inc.</w:t>
            </w:r>
          </w:p>
        </w:tc>
      </w:tr>
      <w:tr>
        <w:trPr>
          <w:trHeight w:val="354"/>
        </w:trPr>
        <w:tc>
          <w:tcPr>
            <w:tcW w:w="3480" w:type="dxa"/>
            <w:vAlign w:val="bottom"/>
            <w:gridSpan w:val="3"/>
          </w:tcPr>
          <w:p>
            <w:pPr>
              <w:ind w:left="80"/>
              <w:spacing w:after="0"/>
              <w:rPr>
                <w:sz w:val="20"/>
                <w:szCs w:val="20"/>
                <w:color w:val="auto"/>
              </w:rPr>
            </w:pPr>
            <w:r>
              <w:rPr>
                <w:rFonts w:ascii="Arial" w:cs="Arial" w:eastAsia="Arial" w:hAnsi="Arial"/>
                <w:sz w:val="16"/>
                <w:szCs w:val="16"/>
                <w:color w:val="auto"/>
              </w:rPr>
              <w:t>Signed: /s/ Philip Serlin</w:t>
            </w:r>
          </w:p>
        </w:tc>
        <w:tc>
          <w:tcPr>
            <w:tcW w:w="7960" w:type="dxa"/>
            <w:vAlign w:val="bottom"/>
            <w:gridSpan w:val="3"/>
          </w:tcPr>
          <w:p>
            <w:pPr>
              <w:ind w:left="1380"/>
              <w:spacing w:after="0"/>
              <w:rPr>
                <w:sz w:val="20"/>
                <w:szCs w:val="20"/>
                <w:color w:val="auto"/>
              </w:rPr>
            </w:pPr>
            <w:r>
              <w:rPr>
                <w:rFonts w:ascii="Arial" w:cs="Arial" w:eastAsia="Arial" w:hAnsi="Arial"/>
                <w:sz w:val="16"/>
                <w:szCs w:val="16"/>
                <w:color w:val="auto"/>
              </w:rPr>
              <w:t>Signed: /s/ Mark Davis</w:t>
            </w:r>
          </w:p>
        </w:tc>
      </w:tr>
      <w:tr>
        <w:trPr>
          <w:trHeight w:val="20"/>
        </w:trPr>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405"/>
        </w:trPr>
        <w:tc>
          <w:tcPr>
            <w:tcW w:w="3480" w:type="dxa"/>
            <w:vAlign w:val="bottom"/>
            <w:gridSpan w:val="3"/>
          </w:tcPr>
          <w:p>
            <w:pPr>
              <w:ind w:left="80"/>
              <w:spacing w:after="0"/>
              <w:rPr>
                <w:sz w:val="20"/>
                <w:szCs w:val="20"/>
                <w:color w:val="auto"/>
              </w:rPr>
            </w:pPr>
            <w:r>
              <w:rPr>
                <w:rFonts w:ascii="Arial" w:cs="Arial" w:eastAsia="Arial" w:hAnsi="Arial"/>
                <w:sz w:val="16"/>
                <w:szCs w:val="16"/>
                <w:color w:val="auto"/>
              </w:rPr>
              <w:t>Name: Philip Serlin</w:t>
            </w:r>
          </w:p>
        </w:tc>
        <w:tc>
          <w:tcPr>
            <w:tcW w:w="7960" w:type="dxa"/>
            <w:vAlign w:val="bottom"/>
            <w:gridSpan w:val="3"/>
          </w:tcPr>
          <w:p>
            <w:pPr>
              <w:ind w:left="1380"/>
              <w:spacing w:after="0"/>
              <w:rPr>
                <w:sz w:val="20"/>
                <w:szCs w:val="20"/>
                <w:color w:val="auto"/>
              </w:rPr>
            </w:pPr>
            <w:r>
              <w:rPr>
                <w:rFonts w:ascii="Arial" w:cs="Arial" w:eastAsia="Arial" w:hAnsi="Arial"/>
                <w:sz w:val="16"/>
                <w:szCs w:val="16"/>
                <w:color w:val="auto"/>
              </w:rPr>
              <w:t>Name: Mark David</w:t>
            </w:r>
          </w:p>
        </w:tc>
      </w:tr>
      <w:tr>
        <w:trPr>
          <w:trHeight w:val="390"/>
        </w:trPr>
        <w:tc>
          <w:tcPr>
            <w:tcW w:w="3480" w:type="dxa"/>
            <w:vAlign w:val="bottom"/>
            <w:gridSpan w:val="3"/>
          </w:tcPr>
          <w:p>
            <w:pPr>
              <w:ind w:left="80"/>
              <w:spacing w:after="0"/>
              <w:rPr>
                <w:sz w:val="20"/>
                <w:szCs w:val="20"/>
                <w:color w:val="auto"/>
              </w:rPr>
            </w:pPr>
            <w:r>
              <w:rPr>
                <w:rFonts w:ascii="Arial" w:cs="Arial" w:eastAsia="Arial" w:hAnsi="Arial"/>
                <w:sz w:val="16"/>
                <w:szCs w:val="16"/>
                <w:color w:val="auto"/>
              </w:rPr>
              <w:t>Title: Chief Financial and Operating Officer</w:t>
            </w:r>
          </w:p>
        </w:tc>
        <w:tc>
          <w:tcPr>
            <w:tcW w:w="7960" w:type="dxa"/>
            <w:vAlign w:val="bottom"/>
            <w:gridSpan w:val="3"/>
          </w:tcPr>
          <w:p>
            <w:pPr>
              <w:ind w:left="1380"/>
              <w:spacing w:after="0"/>
              <w:rPr>
                <w:sz w:val="20"/>
                <w:szCs w:val="20"/>
                <w:color w:val="auto"/>
              </w:rPr>
            </w:pPr>
            <w:r>
              <w:rPr>
                <w:rFonts w:ascii="Arial" w:cs="Arial" w:eastAsia="Arial" w:hAnsi="Arial"/>
                <w:sz w:val="16"/>
                <w:szCs w:val="16"/>
                <w:color w:val="auto"/>
              </w:rPr>
              <w:t>Title: Lifecycle Leader</w:t>
            </w:r>
          </w:p>
        </w:tc>
      </w:tr>
      <w:tr>
        <w:trPr>
          <w:trHeight w:val="584"/>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960" w:type="dxa"/>
            <w:vAlign w:val="bottom"/>
            <w:gridSpan w:val="3"/>
          </w:tcPr>
          <w:p>
            <w:pPr>
              <w:ind w:left="540"/>
              <w:spacing w:after="0"/>
              <w:rPr>
                <w:sz w:val="20"/>
                <w:szCs w:val="20"/>
                <w:color w:val="auto"/>
              </w:rPr>
            </w:pPr>
            <w:r>
              <w:rPr>
                <w:rFonts w:ascii="Arial" w:cs="Arial" w:eastAsia="Arial" w:hAnsi="Arial"/>
                <w:sz w:val="16"/>
                <w:szCs w:val="16"/>
                <w:b w:val="1"/>
                <w:bCs w:val="1"/>
                <w:i w:val="1"/>
                <w:iCs w:val="1"/>
                <w:color w:val="auto"/>
              </w:rPr>
              <w:t>[Signature page to Combination Study Agreement]</w:t>
            </w:r>
          </w:p>
        </w:tc>
      </w:tr>
      <w:tr>
        <w:trPr>
          <w:trHeight w:val="358"/>
        </w:trPr>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7" w:right="2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9"/>
          <w:szCs w:val="19"/>
          <w:b w:val="1"/>
          <w:bCs w:val="1"/>
          <w:color w:val="auto"/>
        </w:rPr>
        <w:t>Confidential</w:t>
      </w:r>
    </w:p>
    <w:p>
      <w:pPr>
        <w:spacing w:after="0" w:line="35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123190</wp:posOffset>
            </wp:positionV>
            <wp:extent cx="725995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40"/>
          </w:cols>
          <w:pgMar w:left="1440" w:top="370" w:right="2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6"/>
          <w:szCs w:val="16"/>
          <w:b w:val="1"/>
          <w:bCs w:val="1"/>
          <w:color w:val="auto"/>
        </w:rPr>
        <w:t>Confidential</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123190</wp:posOffset>
            </wp:positionV>
            <wp:extent cx="725995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6"/>
          <w:szCs w:val="16"/>
          <w:b w:val="1"/>
          <w:bCs w:val="1"/>
          <w:color w:val="auto"/>
        </w:rPr>
        <w:t>Confidential</w:t>
      </w:r>
    </w:p>
    <w:p>
      <w:pPr>
        <w:spacing w:after="0" w:line="258"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115570</wp:posOffset>
            </wp:positionV>
            <wp:extent cx="725995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6"/>
          <w:szCs w:val="16"/>
          <w:b w:val="1"/>
          <w:bCs w:val="1"/>
          <w:color w:val="auto"/>
        </w:rPr>
        <w:t>Confidential</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115570</wp:posOffset>
            </wp:positionV>
            <wp:extent cx="725995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6"/>
          <w:szCs w:val="16"/>
          <w:b w:val="1"/>
          <w:bCs w:val="1"/>
          <w:color w:val="auto"/>
        </w:rPr>
        <w:t>Confidential</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115570</wp:posOffset>
            </wp:positionV>
            <wp:extent cx="725995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6"/>
          <w:szCs w:val="16"/>
          <w:b w:val="1"/>
          <w:b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C</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125730</wp:posOffset>
            </wp:positionV>
            <wp:extent cx="1994535" cy="316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9453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pacing w:after="0" w:line="176" w:lineRule="exact"/>
        <w:rPr>
          <w:sz w:val="20"/>
          <w:szCs w:val="20"/>
          <w:color w:val="auto"/>
        </w:rPr>
      </w:pPr>
    </w:p>
    <w:p>
      <w:pPr>
        <w:ind w:right="140"/>
        <w:spacing w:after="0" w:line="261" w:lineRule="auto"/>
        <w:rPr>
          <w:sz w:val="20"/>
          <w:szCs w:val="20"/>
          <w:color w:val="auto"/>
        </w:rPr>
      </w:pPr>
      <w:r>
        <w:rPr>
          <w:rFonts w:ascii="Arial" w:cs="Arial" w:eastAsia="Arial" w:hAnsi="Arial"/>
          <w:sz w:val="23"/>
          <w:szCs w:val="23"/>
          <w:b w:val="1"/>
          <w:bCs w:val="1"/>
          <w:color w:val="auto"/>
        </w:rPr>
        <w:t>BioLineRx Announces Clinical Research Collaboration to Investigate Combination of BL-8040 with Atezolizumab in Multiple Oncology Indications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Cancer immunotherapy collaboration with Genentech includes several Phase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1b combination studies for multiple solid tumor indications and AML</w:t>
      </w:r>
    </w:p>
    <w:p>
      <w:pPr>
        <w:spacing w:after="0" w:line="190" w:lineRule="exact"/>
        <w:rPr>
          <w:sz w:val="20"/>
          <w:szCs w:val="20"/>
          <w:color w:val="auto"/>
        </w:rPr>
      </w:pPr>
    </w:p>
    <w:p>
      <w:pPr>
        <w:jc w:val="both"/>
        <w:ind w:right="20" w:firstLine="584"/>
        <w:spacing w:after="0" w:line="249" w:lineRule="auto"/>
        <w:rPr>
          <w:sz w:val="20"/>
          <w:szCs w:val="20"/>
          <w:color w:val="auto"/>
        </w:rPr>
      </w:pPr>
      <w:r>
        <w:rPr>
          <w:rFonts w:ascii="Arial" w:cs="Arial" w:eastAsia="Arial" w:hAnsi="Arial"/>
          <w:sz w:val="16"/>
          <w:szCs w:val="16"/>
          <w:color w:val="auto"/>
        </w:rPr>
        <w:t>Tel Aviv</w:t>
      </w:r>
      <w:r>
        <w:rPr>
          <w:rFonts w:ascii="Arial" w:cs="Arial" w:eastAsia="Arial" w:hAnsi="Arial"/>
          <w:sz w:val="16"/>
          <w:szCs w:val="16"/>
          <w:b w:val="1"/>
          <w:bCs w:val="1"/>
          <w:color w:val="auto"/>
        </w:rPr>
        <w:t>,</w:t>
      </w:r>
      <w:r>
        <w:rPr>
          <w:rFonts w:ascii="Arial" w:cs="Arial" w:eastAsia="Arial" w:hAnsi="Arial"/>
          <w:sz w:val="16"/>
          <w:szCs w:val="16"/>
          <w:color w:val="auto"/>
        </w:rPr>
        <w:t xml:space="preserve"> Israel – September xx, 2016 - BioLineRx Ltd. (NASDAQ/TASE: BLRX) today announced that it has entered into a collaboration with Genentech, a mmber of the Roche Group, to support several Phase 1b studies investigating BioLineRx’s BL-8040 in combination with Atezolizumab, Genentech’s anti-PDL1 cancer immunotherapy, in multiple cancer indications. The Phase 1b studies will evaluate the clinical response, safety and tolerability of the combination of these therapies, as well as multiple pharmacodynamic parameters, in hematologic malignancies and solid tumors.</w:t>
      </w:r>
    </w:p>
    <w:p>
      <w:pPr>
        <w:spacing w:after="0" w:line="166" w:lineRule="exact"/>
        <w:rPr>
          <w:sz w:val="20"/>
          <w:szCs w:val="20"/>
          <w:color w:val="auto"/>
        </w:rPr>
      </w:pPr>
    </w:p>
    <w:p>
      <w:pPr>
        <w:jc w:val="both"/>
        <w:ind w:right="20" w:firstLine="584"/>
        <w:spacing w:after="0" w:line="248" w:lineRule="auto"/>
        <w:rPr>
          <w:sz w:val="20"/>
          <w:szCs w:val="20"/>
          <w:color w:val="auto"/>
        </w:rPr>
      </w:pPr>
      <w:r>
        <w:rPr>
          <w:rFonts w:ascii="Arial" w:cs="Arial" w:eastAsia="Arial" w:hAnsi="Arial"/>
          <w:sz w:val="16"/>
          <w:szCs w:val="16"/>
          <w:color w:val="auto"/>
        </w:rPr>
        <w:t>Under the agreement, Genentech will sponsor and conduct several Phase 1b trials in multiple solid cancer indications. In addition, BioLineRx will sponsor and conduct a Phase 1b study in acute myeloid leukemia (AML) patients. The studies are planned as open-label, multicenter, single-arm trials designed to evaluate the safety and efficacy of the combination of BL-8040 and Atezolizumab. Upon completion of the studies, both parties will have the option to expand the collaboration to include a pivotal registration study. Additional details of the collaboration were not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725995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35" w:name="page236"/>
    <w:bookmarkEnd w:id="235"/>
    <w:p>
      <w:pPr>
        <w:ind w:left="10500"/>
        <w:spacing w:after="0"/>
        <w:rPr>
          <w:sz w:val="20"/>
          <w:szCs w:val="20"/>
          <w:color w:val="auto"/>
        </w:rPr>
      </w:pPr>
      <w:r>
        <w:rPr>
          <w:rFonts w:ascii="Arial" w:cs="Arial" w:eastAsia="Arial" w:hAnsi="Arial"/>
          <w:sz w:val="16"/>
          <w:szCs w:val="16"/>
          <w:b w:val="1"/>
          <w:bCs w:val="1"/>
          <w:color w:val="auto"/>
        </w:rPr>
        <w:t>Confidential</w:t>
      </w:r>
    </w:p>
    <w:p>
      <w:pPr>
        <w:spacing w:after="0" w:line="197" w:lineRule="exact"/>
        <w:rPr>
          <w:sz w:val="20"/>
          <w:szCs w:val="20"/>
          <w:color w:val="auto"/>
        </w:rPr>
      </w:pPr>
    </w:p>
    <w:p>
      <w:pPr>
        <w:jc w:val="both"/>
        <w:ind w:right="80" w:firstLine="584"/>
        <w:spacing w:after="0" w:line="266" w:lineRule="auto"/>
        <w:rPr>
          <w:sz w:val="20"/>
          <w:szCs w:val="20"/>
          <w:color w:val="auto"/>
        </w:rPr>
      </w:pPr>
      <w:r>
        <w:rPr>
          <w:rFonts w:ascii="Arial" w:cs="Arial" w:eastAsia="Arial" w:hAnsi="Arial"/>
          <w:sz w:val="15"/>
          <w:szCs w:val="15"/>
          <w:color w:val="auto"/>
        </w:rPr>
        <w:t>BL-8040, BioLineRx’s lead oncology platform, is a CXCR4 antagonist that has been shown in several clinical trials to be a robust mobilizer of immune cells and to be effective at inducing direct tumor cell death. Additional findings in the field of immuno-oncology suggest that CXCR4 antagonists may be effective in inducing the migration of anti-tumor T cells into the tumor micro-environment. Atezolizumab is a humanized monoclonal antibody designed to bind with a protein called PD-L1. Atezolizumab is designed to bind to PD-L1 expressed on tumor cells and tumor-infiltrating immune cells, blocking its interactions with both PD-1 and B7-1 (CD80) receptors. By inhibiting PD-L1, Atezolizumab may enable the activation of T cells, whose migration into the tumor may be enhanced by BL-8040.</w:t>
      </w:r>
    </w:p>
    <w:p>
      <w:pPr>
        <w:spacing w:after="0" w:line="152" w:lineRule="exact"/>
        <w:rPr>
          <w:sz w:val="20"/>
          <w:szCs w:val="20"/>
          <w:color w:val="auto"/>
        </w:rPr>
      </w:pPr>
    </w:p>
    <w:p>
      <w:pPr>
        <w:jc w:val="both"/>
        <w:ind w:right="80" w:firstLine="584"/>
        <w:spacing w:after="0" w:line="245" w:lineRule="auto"/>
        <w:rPr>
          <w:sz w:val="20"/>
          <w:szCs w:val="20"/>
          <w:color w:val="auto"/>
        </w:rPr>
      </w:pPr>
      <w:r>
        <w:rPr>
          <w:rFonts w:ascii="Arial" w:cs="Arial" w:eastAsia="Arial" w:hAnsi="Arial"/>
          <w:sz w:val="16"/>
          <w:szCs w:val="16"/>
          <w:color w:val="auto"/>
        </w:rPr>
        <w:t>“This collaboration agreement in multiple cancer indications with Genentech marks our second collaboration with a world leader in cancer immunotherapy for the combination of BL-8040 with an approved immune checkpoint inhibitor,” stated Philip Serlin, Chief Financial and Operating Officer of BioLineRx. “Immune checkpoint inhibitors are a new class of promising drugs that have revolutionized anti-cancer treatment; however, it is becoming clear that certain tumor types will require a combination of immunotherapy with other classes of drugs. We are hopeful that the combination of BL-8040 and Atezolizumab will demonstrate the potential to expand the benefit of immunotherapy to cancer types currently resistant to cancer immunotherapy treatments.”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About BL-8040</w:t>
      </w:r>
    </w:p>
    <w:p>
      <w:pPr>
        <w:spacing w:after="0" w:line="197" w:lineRule="exact"/>
        <w:rPr>
          <w:sz w:val="20"/>
          <w:szCs w:val="20"/>
          <w:color w:val="auto"/>
        </w:rPr>
      </w:pPr>
    </w:p>
    <w:p>
      <w:pPr>
        <w:jc w:val="both"/>
        <w:ind w:firstLine="584"/>
        <w:spacing w:after="0" w:line="244" w:lineRule="auto"/>
        <w:rPr>
          <w:sz w:val="20"/>
          <w:szCs w:val="20"/>
          <w:color w:val="auto"/>
        </w:rPr>
      </w:pPr>
      <w:r>
        <w:rPr>
          <w:rFonts w:ascii="Arial" w:cs="Arial" w:eastAsia="Arial" w:hAnsi="Arial"/>
          <w:sz w:val="16"/>
          <w:szCs w:val="16"/>
          <w:color w:val="auto"/>
        </w:rPr>
        <w:t>BL-8040 is a short peptide for the treatment of acute myeloid leukemia, solid tumors, and certain hematological indications. It functions as a high-affinity antagonist for CXCR4, a chemokine receptor that is directly involved in tumor progression, angiogenesis, metastasis and cell survival. CXCR4 is over-expressed in more than 70% of human cancers and its expression often correlates with disease severity. In a number of clinical and pre-clinical studies, BL-8040 has shown robust mobilization of cancer cells from the bone marrow, thereby sensitizing these cells to chemo- and bio-based anti-cancer therapy, as well as a direct anti-cancer effect by inducing apoptosis. In addition, BL-8040 has also demonstrated robust stem-cell mobilization, including the mobilization of colony-forming cells, and T, B and NK cells. BL-8040 was licensed by BioLineRx from Biokine Therapeutics and was previously developed under the name BKT-140.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995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6"/>
          <w:szCs w:val="16"/>
          <w:b w:val="1"/>
          <w:bCs w:val="1"/>
          <w:color w:val="auto"/>
        </w:rPr>
        <w:t>Confidential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BioLineRx</w:t>
      </w:r>
    </w:p>
    <w:p>
      <w:pPr>
        <w:spacing w:after="0" w:line="197" w:lineRule="exact"/>
        <w:rPr>
          <w:sz w:val="20"/>
          <w:szCs w:val="20"/>
          <w:color w:val="auto"/>
        </w:rPr>
      </w:pPr>
    </w:p>
    <w:p>
      <w:pPr>
        <w:jc w:val="both"/>
        <w:ind w:right="20" w:firstLine="584"/>
        <w:spacing w:after="0" w:line="253" w:lineRule="auto"/>
        <w:rPr>
          <w:sz w:val="20"/>
          <w:szCs w:val="20"/>
          <w:color w:val="auto"/>
        </w:rPr>
      </w:pPr>
      <w:r>
        <w:rPr>
          <w:rFonts w:ascii="Arial" w:cs="Arial" w:eastAsia="Arial" w:hAnsi="Arial"/>
          <w:sz w:val="16"/>
          <w:szCs w:val="16"/>
          <w:color w:val="auto"/>
        </w:rPr>
        <w:t>BioLineRx is a clinical-stage biopharmaceutical company dedicated to identifying, in-licensing and developing promising therapeutic candidates. The Company in-licenses novel compounds, primarily from academic institutions and biotech companies based in Israel, develops them through pre-clinical and/or clinical stages, and then partners with pharmaceutical companies for advanced clinical development and/or commercialization.</w:t>
      </w:r>
    </w:p>
    <w:p>
      <w:pPr>
        <w:spacing w:after="0" w:line="161"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4"/>
          <w:szCs w:val="14"/>
          <w:color w:val="auto"/>
        </w:rPr>
        <w:t>BioLineRx’s leading therapeutic candidates are: BL-8040, a cancer therapy platform, which has successfully completed a Phase 2a study for relapsed/refractory AML, is in the midst of a Phase 2b study as an AML consolidation treatment, and has recently initiated a Phase 2 study in stem cell mobilization for allogeneic transplantation; and BL-7010 for celiac disease and gluten sensitivity, which has successfully completed a Phase 1/2 study. In addition, BioLineRx has a strategic collaboration with Novartis for the co-development of selected Israeli-sourced novel drug candidates; a collaboration agreement with MSD (known as Merck in the US and Canada) to run a Phase 2a study in pancreatic cancer using the combination of BL-8040 and Merck’s KEYTRUDA</w:t>
      </w:r>
      <w:r>
        <w:rPr>
          <w:rFonts w:ascii="Arial" w:cs="Arial" w:eastAsia="Arial" w:hAnsi="Arial"/>
          <w:sz w:val="23"/>
          <w:szCs w:val="23"/>
          <w:color w:val="auto"/>
          <w:vertAlign w:val="superscript"/>
        </w:rPr>
        <w:t>®</w:t>
      </w:r>
      <w:r>
        <w:rPr>
          <w:rFonts w:ascii="Arial" w:cs="Arial" w:eastAsia="Arial" w:hAnsi="Arial"/>
          <w:sz w:val="14"/>
          <w:szCs w:val="14"/>
          <w:color w:val="auto"/>
        </w:rPr>
        <w:t>; and has recently signed a collaboration agreement with Genentech, a member of the Roche Group, to investigate several Phase 1b combination studies in multiple solid tumor indications and AML using the combination of BL-8040 and Genentech’s Atezolizumab.</w:t>
      </w:r>
    </w:p>
    <w:p>
      <w:pPr>
        <w:spacing w:after="0" w:line="14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 xml:space="preserve">For additional information on BioLineRx, please visit the Company’s website at </w:t>
      </w:r>
      <w:r>
        <w:rPr>
          <w:rFonts w:ascii="Arial" w:cs="Arial" w:eastAsia="Arial" w:hAnsi="Arial"/>
          <w:sz w:val="16"/>
          <w:szCs w:val="16"/>
          <w:u w:val="single" w:color="auto"/>
          <w:color w:val="auto"/>
        </w:rPr>
        <w:t>www.biolinerx.com</w:t>
      </w:r>
      <w:r>
        <w:rPr>
          <w:rFonts w:ascii="Arial" w:cs="Arial" w:eastAsia="Arial" w:hAnsi="Arial"/>
          <w:sz w:val="16"/>
          <w:szCs w:val="16"/>
          <w:color w:val="auto"/>
        </w:rPr>
        <w:t xml:space="preserve">, where you can review the Company’s SEC filings, press releases, announcements and events. BioLineRx industry updates are also regularly updated on </w:t>
      </w:r>
      <w:r>
        <w:rPr>
          <w:rFonts w:ascii="Arial" w:cs="Arial" w:eastAsia="Arial" w:hAnsi="Arial"/>
          <w:sz w:val="16"/>
          <w:szCs w:val="16"/>
          <w:u w:val="single" w:color="auto"/>
          <w:color w:val="auto"/>
        </w:rPr>
        <w:t>Facebook</w:t>
      </w:r>
      <w:r>
        <w:rPr>
          <w:rFonts w:ascii="Arial" w:cs="Arial" w:eastAsia="Arial" w:hAnsi="Arial"/>
          <w:sz w:val="16"/>
          <w:szCs w:val="16"/>
          <w:color w:val="auto"/>
        </w:rPr>
        <w:t xml:space="preserve">, </w:t>
      </w:r>
      <w:r>
        <w:rPr>
          <w:rFonts w:ascii="Arial" w:cs="Arial" w:eastAsia="Arial" w:hAnsi="Arial"/>
          <w:sz w:val="16"/>
          <w:szCs w:val="16"/>
          <w:u w:val="single" w:color="auto"/>
          <w:color w:val="auto"/>
        </w:rPr>
        <w:t>Twitter</w:t>
      </w:r>
      <w:r>
        <w:rPr>
          <w:rFonts w:ascii="Arial" w:cs="Arial" w:eastAsia="Arial" w:hAnsi="Arial"/>
          <w:sz w:val="16"/>
          <w:szCs w:val="16"/>
          <w:color w:val="auto"/>
        </w:rPr>
        <w:t>, and LinkedIn.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5995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37" w:name="page238"/>
    <w:bookmarkEnd w:id="237"/>
    <w:p>
      <w:pPr>
        <w:ind w:left="10560"/>
        <w:spacing w:after="0"/>
        <w:rPr>
          <w:sz w:val="20"/>
          <w:szCs w:val="20"/>
          <w:color w:val="auto"/>
        </w:rPr>
      </w:pPr>
      <w:r>
        <w:rPr>
          <w:rFonts w:ascii="Arial" w:cs="Arial" w:eastAsia="Arial" w:hAnsi="Arial"/>
          <w:sz w:val="15"/>
          <w:szCs w:val="15"/>
          <w:b w:val="1"/>
          <w:bCs w:val="1"/>
          <w:color w:val="auto"/>
        </w:rPr>
        <w:t>Confidential</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i w:val="1"/>
          <w:iCs w:val="1"/>
          <w:color w:val="auto"/>
        </w:rPr>
        <w:t>Various statements in this release concerning future expectations constitute “forward-looking statements” within the meaning of the Private Securities Litigation Reform Act of 1995. These statements include words such as “may,” “expects,” “anticipates,” “believes,” and “intends,” and describe opinions about future events. These forward-looking statements involve known and unknown risks and uncertainties that may cause actual results, performance or achievements to be materially different from any future results, performance or achievements expressed or implied by such forward-looking statements. Some of these risks are: changes in relationships with collaborators; the impact of competitive products and technological changes; risks relating to the development of new products; and the ability to implement technological improvements. These and other factors are more fully discussed in the “Risk Factors” sections of recent annual reports filed by the parties to this release. In addition, any forward-looking statements represent the parties’ views only as of the date of this release and should not be relied upon as representing their views as of any subsequent date. The parties do not assume any obligation to update any forward-looking statements unless required by law.</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PCG Advisory</w:t>
      </w:r>
    </w:p>
    <w:p>
      <w:pPr>
        <w:spacing w:after="0" w:line="238" w:lineRule="auto"/>
        <w:rPr>
          <w:sz w:val="20"/>
          <w:szCs w:val="20"/>
          <w:color w:val="auto"/>
        </w:rPr>
      </w:pPr>
      <w:r>
        <w:rPr>
          <w:rFonts w:ascii="Arial" w:cs="Arial" w:eastAsia="Arial" w:hAnsi="Arial"/>
          <w:sz w:val="16"/>
          <w:szCs w:val="16"/>
          <w:color w:val="auto"/>
        </w:rPr>
        <w:t>Vivian Cervantes</w:t>
      </w:r>
    </w:p>
    <w:p>
      <w:pPr>
        <w:spacing w:after="0" w:line="238" w:lineRule="auto"/>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color w:val="auto"/>
        </w:rPr>
        <w:t>212-554-5482</w:t>
      </w:r>
    </w:p>
    <w:p>
      <w:pPr>
        <w:spacing w:after="0"/>
        <w:rPr>
          <w:sz w:val="20"/>
          <w:szCs w:val="20"/>
          <w:color w:val="auto"/>
        </w:rPr>
      </w:pPr>
      <w:r>
        <w:rPr>
          <w:rFonts w:ascii="Arial" w:cs="Arial" w:eastAsia="Arial" w:hAnsi="Arial"/>
          <w:sz w:val="16"/>
          <w:szCs w:val="16"/>
          <w:u w:val="single" w:color="auto"/>
          <w:color w:val="auto"/>
        </w:rPr>
        <w:t>vivian@pcgadvisory.com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Tsipi Haitovsky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w:t>
      </w:r>
    </w:p>
    <w:p>
      <w:pPr>
        <w:spacing w:after="0" w:line="238" w:lineRule="auto"/>
        <w:rPr>
          <w:sz w:val="20"/>
          <w:szCs w:val="20"/>
          <w:color w:val="auto"/>
        </w:rPr>
      </w:pPr>
      <w:r>
        <w:rPr>
          <w:rFonts w:ascii="Arial" w:cs="Arial" w:eastAsia="Arial" w:hAnsi="Arial"/>
          <w:sz w:val="16"/>
          <w:szCs w:val="16"/>
          <w:color w:val="auto"/>
        </w:rPr>
        <w:t>+972-52-598-9892</w:t>
      </w:r>
    </w:p>
    <w:p>
      <w:pPr>
        <w:spacing w:after="0"/>
        <w:rPr>
          <w:sz w:val="20"/>
          <w:szCs w:val="20"/>
          <w:color w:val="auto"/>
        </w:rPr>
      </w:pPr>
      <w:r>
        <w:rPr>
          <w:rFonts w:ascii="Arial" w:cs="Arial" w:eastAsia="Arial" w:hAnsi="Arial"/>
          <w:sz w:val="16"/>
          <w:szCs w:val="16"/>
          <w:color w:val="auto"/>
        </w:rPr>
        <w:t>tsipihai5@gmail.com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5995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365125</wp:posOffset>
            </wp:positionV>
            <wp:extent cx="725995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239" w:name="page240"/>
    <w:bookmarkEnd w:id="239"/>
    <w:p>
      <w:pPr>
        <w:jc w:val="center"/>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713105</wp:posOffset>
            </wp:positionV>
            <wp:extent cx="725995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9955" cy="1524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140970</wp:posOffset>
            </wp:positionV>
            <wp:extent cx="4275455" cy="4718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75455" cy="471805"/>
                    </a:xfrm>
                    <a:prstGeom prst="rect">
                      <a:avLst/>
                    </a:prstGeom>
                    <a:noFill/>
                  </pic:spPr>
                </pic:pic>
              </a:graphicData>
            </a:graphic>
          </wp:anchor>
        </w:drawing>
      </w:r>
    </w:p>
    <w:p>
      <w:pPr>
        <w:sectPr>
          <w:pgSz w:w="11900" w:h="16838" w:orient="portrait"/>
          <w:cols w:equalWidth="0" w:num="1">
            <w:col w:w="9019"/>
          </w:cols>
          <w:pgMar w:left="1440" w:top="318" w:right="1440"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11"/>
        </w:trPr>
        <w:tc>
          <w:tcPr>
            <w:tcW w:w="2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60" w:type="dxa"/>
            <w:vAlign w:val="bottom"/>
          </w:tcPr>
          <w:p>
            <w:pPr>
              <w:jc w:val="center"/>
              <w:ind w:right="3519"/>
              <w:spacing w:after="0"/>
              <w:rPr>
                <w:sz w:val="20"/>
                <w:szCs w:val="20"/>
                <w:color w:val="auto"/>
              </w:rPr>
            </w:pPr>
            <w:r>
              <w:rPr>
                <w:rFonts w:ascii="Arial" w:cs="Arial" w:eastAsia="Arial" w:hAnsi="Arial"/>
                <w:sz w:val="16"/>
                <w:szCs w:val="16"/>
                <w:b w:val="1"/>
                <w:bCs w:val="1"/>
                <w:color w:val="auto"/>
                <w:w w:val="96"/>
              </w:rPr>
              <w:t>Exhibit E</w:t>
            </w:r>
          </w:p>
        </w:tc>
      </w:tr>
      <w:tr>
        <w:trPr>
          <w:trHeight w:val="317"/>
        </w:trPr>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60" w:type="dxa"/>
            <w:vAlign w:val="bottom"/>
          </w:tcPr>
          <w:p>
            <w:pPr>
              <w:jc w:val="center"/>
              <w:ind w:right="3519"/>
              <w:spacing w:after="0"/>
              <w:rPr>
                <w:sz w:val="20"/>
                <w:szCs w:val="20"/>
                <w:color w:val="auto"/>
              </w:rPr>
            </w:pPr>
            <w:r>
              <w:rPr>
                <w:rFonts w:ascii="Arial" w:cs="Arial" w:eastAsia="Arial" w:hAnsi="Arial"/>
                <w:sz w:val="16"/>
                <w:szCs w:val="16"/>
                <w:b w:val="1"/>
                <w:bCs w:val="1"/>
                <w:color w:val="auto"/>
                <w:w w:val="93"/>
              </w:rPr>
              <w:t>Tangible Materials List</w:t>
            </w:r>
          </w:p>
        </w:tc>
      </w:tr>
      <w:tr>
        <w:trPr>
          <w:trHeight w:val="354"/>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Genentech’s Tangible Materials:</w:t>
            </w:r>
          </w:p>
        </w:tc>
        <w:tc>
          <w:tcPr>
            <w:tcW w:w="7860" w:type="dxa"/>
            <w:vAlign w:val="bottom"/>
          </w:tcPr>
          <w:p>
            <w:pPr>
              <w:spacing w:after="0"/>
              <w:rPr>
                <w:sz w:val="24"/>
                <w:szCs w:val="24"/>
                <w:color w:val="auto"/>
              </w:rPr>
            </w:pPr>
          </w:p>
        </w:tc>
      </w:tr>
      <w:tr>
        <w:trPr>
          <w:trHeight w:val="405"/>
        </w:trPr>
        <w:tc>
          <w:tcPr>
            <w:tcW w:w="22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i w:val="1"/>
                <w:iCs w:val="1"/>
                <w:color w:val="auto"/>
              </w:rPr>
              <w:t>NONE</w:t>
            </w:r>
          </w:p>
        </w:tc>
        <w:tc>
          <w:tcPr>
            <w:tcW w:w="1380" w:type="dxa"/>
            <w:vAlign w:val="bottom"/>
          </w:tcPr>
          <w:p>
            <w:pPr>
              <w:spacing w:after="0"/>
              <w:rPr>
                <w:sz w:val="24"/>
                <w:szCs w:val="24"/>
                <w:color w:val="auto"/>
              </w:rPr>
            </w:pPr>
          </w:p>
        </w:tc>
        <w:tc>
          <w:tcPr>
            <w:tcW w:w="7860" w:type="dxa"/>
            <w:vAlign w:val="bottom"/>
          </w:tcPr>
          <w:p>
            <w:pPr>
              <w:ind w:left="3260"/>
              <w:spacing w:after="0"/>
              <w:rPr>
                <w:sz w:val="20"/>
                <w:szCs w:val="20"/>
                <w:color w:val="auto"/>
              </w:rPr>
            </w:pPr>
            <w:r>
              <w:rPr>
                <w:rFonts w:ascii="Arial" w:cs="Arial" w:eastAsia="Arial" w:hAnsi="Arial"/>
                <w:sz w:val="16"/>
                <w:szCs w:val="16"/>
                <w:b w:val="1"/>
                <w:bCs w:val="1"/>
                <w:i w:val="1"/>
                <w:iCs w:val="1"/>
                <w:color w:val="auto"/>
              </w:rPr>
              <w:t>Quantity</w:t>
            </w:r>
          </w:p>
        </w:tc>
      </w:tr>
      <w:tr>
        <w:trPr>
          <w:trHeight w:val="549"/>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BioLineRx’s Tangible Materials:</w:t>
            </w:r>
          </w:p>
        </w:tc>
        <w:tc>
          <w:tcPr>
            <w:tcW w:w="7860" w:type="dxa"/>
            <w:vAlign w:val="bottom"/>
          </w:tcPr>
          <w:p>
            <w:pPr>
              <w:spacing w:after="0"/>
              <w:rPr>
                <w:sz w:val="24"/>
                <w:szCs w:val="24"/>
                <w:color w:val="auto"/>
              </w:rPr>
            </w:pPr>
          </w:p>
        </w:tc>
      </w:tr>
      <w:tr>
        <w:trPr>
          <w:trHeight w:val="405"/>
        </w:trPr>
        <w:tc>
          <w:tcPr>
            <w:tcW w:w="22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i w:val="1"/>
                <w:iCs w:val="1"/>
                <w:color w:val="auto"/>
              </w:rPr>
              <w:t>NONE</w:t>
            </w:r>
          </w:p>
        </w:tc>
        <w:tc>
          <w:tcPr>
            <w:tcW w:w="1380" w:type="dxa"/>
            <w:vAlign w:val="bottom"/>
          </w:tcPr>
          <w:p>
            <w:pPr>
              <w:spacing w:after="0"/>
              <w:rPr>
                <w:sz w:val="24"/>
                <w:szCs w:val="24"/>
                <w:color w:val="auto"/>
              </w:rPr>
            </w:pPr>
          </w:p>
        </w:tc>
        <w:tc>
          <w:tcPr>
            <w:tcW w:w="7860" w:type="dxa"/>
            <w:vAlign w:val="bottom"/>
          </w:tcPr>
          <w:p>
            <w:pPr>
              <w:ind w:left="3260"/>
              <w:spacing w:after="0"/>
              <w:rPr>
                <w:sz w:val="20"/>
                <w:szCs w:val="20"/>
                <w:color w:val="auto"/>
              </w:rPr>
            </w:pPr>
            <w:r>
              <w:rPr>
                <w:rFonts w:ascii="Arial" w:cs="Arial" w:eastAsia="Arial" w:hAnsi="Arial"/>
                <w:sz w:val="16"/>
                <w:szCs w:val="16"/>
                <w:b w:val="1"/>
                <w:bCs w:val="1"/>
                <w:i w:val="1"/>
                <w:iCs w:val="1"/>
                <w:color w:val="auto"/>
              </w:rPr>
              <w:t>Quantity</w:t>
            </w:r>
          </w:p>
        </w:tc>
      </w:tr>
      <w:tr>
        <w:trPr>
          <w:trHeight w:val="390"/>
        </w:trPr>
        <w:tc>
          <w:tcPr>
            <w:tcW w:w="2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r>
        <w:trPr>
          <w:trHeight w:val="143"/>
        </w:trPr>
        <w:tc>
          <w:tcPr>
            <w:tcW w:w="2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7860" w:type="dxa"/>
            <w:vAlign w:val="bottom"/>
            <w:tcBorders>
              <w:bottom w:val="single" w:sz="8" w:color="auto"/>
            </w:tcBorders>
          </w:tcPr>
          <w:p>
            <w:pPr>
              <w:spacing w:after="0"/>
              <w:rPr>
                <w:sz w:val="12"/>
                <w:szCs w:val="12"/>
                <w:color w:val="auto"/>
              </w:rPr>
            </w:pPr>
          </w:p>
        </w:tc>
      </w:tr>
    </w:tbl>
    <w:p>
      <w:pPr>
        <w:sectPr>
          <w:pgSz w:w="11900" w:h="16838" w:orient="portrait"/>
          <w:cols w:equalWidth="0" w:num="1">
            <w:col w:w="11440"/>
          </w:cols>
          <w:pgMar w:left="240" w:top="452" w:right="2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197485</wp:posOffset>
            </wp:positionV>
            <wp:extent cx="725995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156845</wp:posOffset>
            </wp:positionV>
            <wp:extent cx="2791460" cy="5721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91460"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u w:val="single" w:color="auto"/>
          <w:color w:val="auto"/>
        </w:rPr>
        <w:t>Employment Agreement</w:t>
      </w:r>
    </w:p>
    <w:p>
      <w:pPr>
        <w:spacing w:after="0" w:line="206" w:lineRule="exact"/>
        <w:rPr>
          <w:sz w:val="20"/>
          <w:szCs w:val="20"/>
          <w:color w:val="auto"/>
        </w:rPr>
      </w:pPr>
    </w:p>
    <w:p>
      <w:pPr>
        <w:jc w:val="both"/>
        <w:ind w:left="23" w:right="40"/>
        <w:spacing w:after="0" w:line="271" w:lineRule="auto"/>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entered into on this 16th day of September, 2009 by and between </w:t>
      </w:r>
      <w:r>
        <w:rPr>
          <w:rFonts w:ascii="Arial" w:cs="Arial" w:eastAsia="Arial" w:hAnsi="Arial"/>
          <w:sz w:val="16"/>
          <w:szCs w:val="16"/>
          <w:b w:val="1"/>
          <w:bCs w:val="1"/>
          <w:color w:val="auto"/>
        </w:rPr>
        <w:t>BioLineRx</w:t>
      </w:r>
      <w:r>
        <w:rPr>
          <w:rFonts w:ascii="Arial" w:cs="Arial" w:eastAsia="Arial" w:hAnsi="Arial"/>
          <w:sz w:val="16"/>
          <w:szCs w:val="16"/>
          <w:color w:val="auto"/>
        </w:rPr>
        <w:t xml:space="preserve"> Ltd., a company organized under the laws of the State of Israel, with its offices at 19 Hartum Street, P.O. Box 45158, Jerusalem 91450, Israel </w:t>
      </w:r>
      <w:r>
        <w:rPr>
          <w:rFonts w:ascii="Arial" w:cs="Arial" w:eastAsia="Arial" w:hAnsi="Arial"/>
          <w:sz w:val="16"/>
          <w:szCs w:val="16"/>
          <w:b w:val="1"/>
          <w:bCs w:val="1"/>
          <w:color w:val="auto"/>
        </w:rPr>
        <w:t>(“BioLine”</w:t>
      </w:r>
      <w:r>
        <w:rPr>
          <w:rFonts w:ascii="Arial" w:cs="Arial" w:eastAsia="Arial" w:hAnsi="Arial"/>
          <w:sz w:val="16"/>
          <w:szCs w:val="16"/>
          <w:color w:val="auto"/>
        </w:rPr>
        <w:t xml:space="preserve">), and </w:t>
      </w:r>
      <w:r>
        <w:rPr>
          <w:rFonts w:ascii="Arial" w:cs="Arial" w:eastAsia="Arial" w:hAnsi="Arial"/>
          <w:sz w:val="16"/>
          <w:szCs w:val="16"/>
          <w:b w:val="1"/>
          <w:bCs w:val="1"/>
          <w:color w:val="auto"/>
        </w:rPr>
        <w:t>Mrs. Mali Zeevi,</w:t>
      </w:r>
      <w:r>
        <w:rPr>
          <w:rFonts w:ascii="Arial" w:cs="Arial" w:eastAsia="Arial" w:hAnsi="Arial"/>
          <w:sz w:val="16"/>
          <w:szCs w:val="16"/>
          <w:color w:val="auto"/>
        </w:rPr>
        <w:t xml:space="preserve"> I.D. Number 032321929 with an address at 1 a Peduim Street, Hod Hasharon (the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184" w:lineRule="exact"/>
        <w:rPr>
          <w:sz w:val="20"/>
          <w:szCs w:val="20"/>
          <w:color w:val="auto"/>
        </w:rPr>
      </w:pPr>
    </w:p>
    <w:p>
      <w:pPr>
        <w:ind w:left="23"/>
        <w:spacing w:after="0"/>
        <w:rPr>
          <w:sz w:val="20"/>
          <w:szCs w:val="20"/>
          <w:color w:val="auto"/>
        </w:rPr>
      </w:pPr>
      <w:r>
        <w:rPr>
          <w:rFonts w:ascii="Arial" w:cs="Arial" w:eastAsia="Arial" w:hAnsi="Arial"/>
          <w:sz w:val="16"/>
          <w:szCs w:val="16"/>
          <w:color w:val="auto"/>
        </w:rPr>
        <w:t>WHEREAS, BioLine desires to employ the Employee and the Employee desires to enter into such employment, on the terms and conditions hereinafter set forth.</w:t>
      </w:r>
    </w:p>
    <w:p>
      <w:pPr>
        <w:spacing w:after="0" w:line="230" w:lineRule="exact"/>
        <w:rPr>
          <w:sz w:val="20"/>
          <w:szCs w:val="20"/>
          <w:color w:val="auto"/>
        </w:rPr>
      </w:pPr>
    </w:p>
    <w:p>
      <w:pPr>
        <w:ind w:left="23"/>
        <w:spacing w:after="0"/>
        <w:rPr>
          <w:sz w:val="20"/>
          <w:szCs w:val="20"/>
          <w:color w:val="auto"/>
        </w:rPr>
      </w:pPr>
      <w:r>
        <w:rPr>
          <w:rFonts w:ascii="Arial" w:cs="Arial" w:eastAsia="Arial" w:hAnsi="Arial"/>
          <w:sz w:val="16"/>
          <w:szCs w:val="16"/>
          <w:color w:val="auto"/>
        </w:rPr>
        <w:t>NOW THEREFORE, in consideration of the mutual covenants and conditions hereinafter set forth, the parties agree as follows:</w:t>
      </w:r>
    </w:p>
    <w:p>
      <w:pPr>
        <w:spacing w:after="0" w:line="226" w:lineRule="exact"/>
        <w:rPr>
          <w:sz w:val="20"/>
          <w:szCs w:val="20"/>
          <w:color w:val="auto"/>
        </w:rPr>
      </w:pPr>
    </w:p>
    <w:p>
      <w:pPr>
        <w:ind w:left="283" w:hanging="283"/>
        <w:spacing w:after="0"/>
        <w:tabs>
          <w:tab w:leader="none" w:pos="283" w:val="left"/>
        </w:tabs>
        <w:numPr>
          <w:ilvl w:val="0"/>
          <w:numId w:val="193"/>
        </w:numPr>
        <w:rPr>
          <w:rFonts w:ascii="Arial" w:cs="Arial" w:eastAsia="Arial" w:hAnsi="Arial"/>
          <w:sz w:val="16"/>
          <w:szCs w:val="16"/>
          <w:color w:val="auto"/>
        </w:rPr>
      </w:pPr>
      <w:r>
        <w:rPr>
          <w:rFonts w:ascii="Arial" w:cs="Arial" w:eastAsia="Arial" w:hAnsi="Arial"/>
          <w:sz w:val="16"/>
          <w:szCs w:val="16"/>
          <w:b w:val="1"/>
          <w:bCs w:val="1"/>
          <w:color w:val="auto"/>
        </w:rPr>
        <w:t>Employment.</w:t>
      </w:r>
    </w:p>
    <w:p>
      <w:pPr>
        <w:spacing w:after="0" w:line="223" w:lineRule="exact"/>
        <w:rPr>
          <w:rFonts w:ascii="Arial" w:cs="Arial" w:eastAsia="Arial" w:hAnsi="Arial"/>
          <w:sz w:val="16"/>
          <w:szCs w:val="16"/>
          <w:color w:val="auto"/>
        </w:rPr>
      </w:pPr>
    </w:p>
    <w:p>
      <w:pPr>
        <w:ind w:left="583" w:right="20" w:hanging="292"/>
        <w:spacing w:after="0" w:line="214" w:lineRule="auto"/>
        <w:rPr>
          <w:rFonts w:ascii="Arial" w:cs="Arial" w:eastAsia="Arial" w:hAnsi="Arial"/>
          <w:sz w:val="16"/>
          <w:szCs w:val="16"/>
          <w:color w:val="auto"/>
        </w:rPr>
      </w:pPr>
      <w:r>
        <w:rPr>
          <w:rFonts w:ascii="Arial" w:cs="Arial" w:eastAsia="Arial" w:hAnsi="Arial"/>
          <w:sz w:val="16"/>
          <w:szCs w:val="16"/>
          <w:color w:val="auto"/>
        </w:rPr>
        <w:t xml:space="preserve">1.1. The Employee shall serve in the position described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commencing on November 1</w:t>
      </w:r>
      <w:r>
        <w:rPr>
          <w:rFonts w:ascii="Arial" w:cs="Arial" w:eastAsia="Arial" w:hAnsi="Arial"/>
          <w:sz w:val="27"/>
          <w:szCs w:val="27"/>
          <w:color w:val="auto"/>
          <w:vertAlign w:val="superscript"/>
        </w:rPr>
        <w:t>st</w:t>
      </w:r>
      <w:r>
        <w:rPr>
          <w:rFonts w:ascii="Arial" w:cs="Arial" w:eastAsia="Arial" w:hAnsi="Arial"/>
          <w:sz w:val="16"/>
          <w:szCs w:val="16"/>
          <w:color w:val="auto"/>
        </w:rPr>
        <w:t>, 2009 (the “</w:t>
      </w:r>
      <w:r>
        <w:rPr>
          <w:rFonts w:ascii="Arial" w:cs="Arial" w:eastAsia="Arial" w:hAnsi="Arial"/>
          <w:sz w:val="16"/>
          <w:szCs w:val="16"/>
          <w:b w:val="1"/>
          <w:bCs w:val="1"/>
          <w:color w:val="auto"/>
        </w:rPr>
        <w:t>Commencement Date</w:t>
      </w:r>
      <w:r>
        <w:rPr>
          <w:rFonts w:ascii="Arial" w:cs="Arial" w:eastAsia="Arial" w:hAnsi="Arial"/>
          <w:sz w:val="16"/>
          <w:szCs w:val="16"/>
          <w:color w:val="auto"/>
        </w:rPr>
        <w:t>”). In the event that BioLine shall request that the Employee undergo any training or coordination with the existing controller at BioLine prior to the Commencement Date, then the consideration for such work shall be paid in Employee’s first salary.</w:t>
      </w:r>
    </w:p>
    <w:p>
      <w:pPr>
        <w:spacing w:after="0" w:line="209" w:lineRule="exact"/>
        <w:rPr>
          <w:rFonts w:ascii="Arial" w:cs="Arial" w:eastAsia="Arial" w:hAnsi="Arial"/>
          <w:sz w:val="16"/>
          <w:szCs w:val="16"/>
          <w:color w:val="auto"/>
        </w:rPr>
      </w:pPr>
    </w:p>
    <w:p>
      <w:pPr>
        <w:ind w:left="583" w:right="20" w:hanging="292"/>
        <w:spacing w:after="0" w:line="263" w:lineRule="auto"/>
        <w:rPr>
          <w:rFonts w:ascii="Arial" w:cs="Arial" w:eastAsia="Arial" w:hAnsi="Arial"/>
          <w:sz w:val="16"/>
          <w:szCs w:val="16"/>
          <w:color w:val="auto"/>
        </w:rPr>
      </w:pPr>
      <w:r>
        <w:rPr>
          <w:rFonts w:ascii="Arial" w:cs="Arial" w:eastAsia="Arial" w:hAnsi="Arial"/>
          <w:sz w:val="16"/>
          <w:szCs w:val="16"/>
          <w:color w:val="auto"/>
        </w:rPr>
        <w:t>1.2. The Employee shall be under the direct supervision of and comply with the directives of the Chief Financial Officer (CFO) of BioLine and/or any such individual designated by BioLine at its sole discretion (the “</w:t>
      </w:r>
      <w:r>
        <w:rPr>
          <w:rFonts w:ascii="Arial" w:cs="Arial" w:eastAsia="Arial" w:hAnsi="Arial"/>
          <w:sz w:val="16"/>
          <w:szCs w:val="16"/>
          <w:b w:val="1"/>
          <w:bCs w:val="1"/>
          <w:color w:val="auto"/>
        </w:rPr>
        <w:t>Supervisor</w:t>
      </w:r>
      <w:r>
        <w:rPr>
          <w:rFonts w:ascii="Arial" w:cs="Arial" w:eastAsia="Arial" w:hAnsi="Arial"/>
          <w:sz w:val="16"/>
          <w:szCs w:val="16"/>
          <w:color w:val="auto"/>
        </w:rPr>
        <w:t>”). The Employee shall perform the duties, undertake the responsibilities and exercise the authority as determined from time to time by the Superviser diligently, conscientiously and in furtherance of BioLine’s best interests. Employee’s duties and responsibilities hereunder may also include other services performed for affiliates of BioLine</w:t>
      </w:r>
    </w:p>
    <w:p>
      <w:pPr>
        <w:spacing w:after="0" w:line="191" w:lineRule="exact"/>
        <w:rPr>
          <w:rFonts w:ascii="Arial" w:cs="Arial" w:eastAsia="Arial" w:hAnsi="Arial"/>
          <w:sz w:val="16"/>
          <w:szCs w:val="16"/>
          <w:color w:val="auto"/>
        </w:rPr>
      </w:pPr>
    </w:p>
    <w:p>
      <w:pPr>
        <w:ind w:left="583" w:hanging="292"/>
        <w:spacing w:after="0" w:line="268" w:lineRule="auto"/>
        <w:rPr>
          <w:rFonts w:ascii="Arial" w:cs="Arial" w:eastAsia="Arial" w:hAnsi="Arial"/>
          <w:sz w:val="16"/>
          <w:szCs w:val="16"/>
          <w:color w:val="auto"/>
        </w:rPr>
      </w:pPr>
      <w:r>
        <w:rPr>
          <w:rFonts w:ascii="Arial" w:cs="Arial" w:eastAsia="Arial" w:hAnsi="Arial"/>
          <w:sz w:val="16"/>
          <w:szCs w:val="16"/>
          <w:color w:val="auto"/>
        </w:rPr>
        <w:t>1.3. During the Employment Period, Employee shall honestly, diligently, skillfully and faithfully serve BioLine, and undertakes to devote all of Employee’s efforts and the best of his/her qualifications and skills to promoting the business and affairs of BioLine, and shall at all times act in a manner suitable of his position and status in BioLine.</w:t>
      </w:r>
    </w:p>
    <w:p>
      <w:pPr>
        <w:spacing w:after="0" w:line="187" w:lineRule="exact"/>
        <w:rPr>
          <w:rFonts w:ascii="Arial" w:cs="Arial" w:eastAsia="Arial" w:hAnsi="Arial"/>
          <w:sz w:val="16"/>
          <w:szCs w:val="16"/>
          <w:color w:val="auto"/>
        </w:rPr>
      </w:pPr>
    </w:p>
    <w:p>
      <w:pPr>
        <w:ind w:left="583" w:right="20" w:hanging="292"/>
        <w:spacing w:after="0" w:line="268" w:lineRule="auto"/>
        <w:rPr>
          <w:rFonts w:ascii="Arial" w:cs="Arial" w:eastAsia="Arial" w:hAnsi="Arial"/>
          <w:sz w:val="16"/>
          <w:szCs w:val="16"/>
          <w:color w:val="auto"/>
        </w:rPr>
      </w:pPr>
      <w:r>
        <w:rPr>
          <w:rFonts w:ascii="Arial" w:cs="Arial" w:eastAsia="Arial" w:hAnsi="Arial"/>
          <w:sz w:val="16"/>
          <w:szCs w:val="16"/>
          <w:color w:val="auto"/>
        </w:rPr>
        <w:t>1.4. The Employee agrees and undertakes to inform BioLine, immediately after becoming aware of any matter that may in any way raise a conflict of interest between Employee and BioLine. Employee shall not receive any payment, compensation or benefit from any third party in connection, directly or indirectly, with the execution of Employee’s position in BioLine.</w:t>
      </w:r>
    </w:p>
    <w:p>
      <w:pPr>
        <w:spacing w:after="0" w:line="187" w:lineRule="exact"/>
        <w:rPr>
          <w:rFonts w:ascii="Arial" w:cs="Arial" w:eastAsia="Arial" w:hAnsi="Arial"/>
          <w:sz w:val="16"/>
          <w:szCs w:val="16"/>
          <w:color w:val="auto"/>
        </w:rPr>
      </w:pPr>
    </w:p>
    <w:p>
      <w:pPr>
        <w:ind w:left="583" w:right="20" w:hanging="292"/>
        <w:spacing w:after="0" w:line="261" w:lineRule="auto"/>
        <w:rPr>
          <w:rFonts w:ascii="Arial" w:cs="Arial" w:eastAsia="Arial" w:hAnsi="Arial"/>
          <w:sz w:val="16"/>
          <w:szCs w:val="16"/>
          <w:color w:val="auto"/>
        </w:rPr>
      </w:pPr>
      <w:r>
        <w:rPr>
          <w:rFonts w:ascii="Arial" w:cs="Arial" w:eastAsia="Arial" w:hAnsi="Arial"/>
          <w:sz w:val="16"/>
          <w:szCs w:val="16"/>
          <w:color w:val="auto"/>
        </w:rPr>
        <w:t>1.5. Employee will be employed on a full time basis. Employee shall not undertake or accept any other paid or unpaid employment or occupation or engage in any other business activity except with the prior written consent of BioLine, which shall not be unreasonably withheld. Notwithstanding the abovementioned, the Employee shall be entitled to complete ongoing tasks in Employee’s previous workplace, provided that any absences shall be coordinated with Employee’s Supervisor. Such absences shall be considered vacation days; however, they may be offset by any time worked by the Employee during the transition period prior to the Commencement Date.</w:t>
      </w:r>
    </w:p>
    <w:p>
      <w:pPr>
        <w:spacing w:after="0" w:line="192" w:lineRule="exact"/>
        <w:rPr>
          <w:rFonts w:ascii="Arial" w:cs="Arial" w:eastAsia="Arial" w:hAnsi="Arial"/>
          <w:sz w:val="16"/>
          <w:szCs w:val="16"/>
          <w:color w:val="auto"/>
        </w:rPr>
      </w:pPr>
    </w:p>
    <w:p>
      <w:pPr>
        <w:ind w:left="583" w:right="20" w:hanging="292"/>
        <w:spacing w:after="0" w:line="268" w:lineRule="auto"/>
        <w:rPr>
          <w:rFonts w:ascii="Arial" w:cs="Arial" w:eastAsia="Arial" w:hAnsi="Arial"/>
          <w:sz w:val="16"/>
          <w:szCs w:val="16"/>
          <w:color w:val="auto"/>
        </w:rPr>
      </w:pPr>
      <w:r>
        <w:rPr>
          <w:rFonts w:ascii="Arial" w:cs="Arial" w:eastAsia="Arial" w:hAnsi="Arial"/>
          <w:sz w:val="16"/>
          <w:szCs w:val="16"/>
          <w:color w:val="auto"/>
        </w:rPr>
        <w:t>1.6. The Employee may also work outside of regular working hours and outside of regular working days, as may be required by BioLine from time to time. The Employee must obtain Supervisor’s prior approval for work in excess of the quota of overtime work hours per month set forth in Section 6 below and notify BioLine in the event that this average quota is exceeded.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5" w:lineRule="exact"/>
        <w:rPr>
          <w:rFonts w:ascii="Arial" w:cs="Arial" w:eastAsia="Arial" w:hAnsi="Arial"/>
          <w:sz w:val="16"/>
          <w:szCs w:val="16"/>
          <w:color w:val="auto"/>
        </w:rPr>
      </w:pPr>
    </w:p>
    <w:p>
      <w:pPr>
        <w:ind w:left="10583" w:hanging="219"/>
        <w:spacing w:after="0"/>
        <w:tabs>
          <w:tab w:leader="none" w:pos="1058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-456565</wp:posOffset>
            </wp:positionV>
            <wp:extent cx="1546225" cy="4870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6225" cy="487045"/>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725995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403" w:right="219" w:bottom="1440" w:gutter="0" w:footer="0" w:header="0"/>
        </w:sectPr>
      </w:pPr>
    </w:p>
    <w:bookmarkStart w:id="242" w:name="page243"/>
    <w:bookmarkEnd w:id="24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r>
    </w:p>
    <w:p>
      <w:pPr>
        <w:ind w:left="583" w:right="20" w:hanging="291"/>
        <w:spacing w:after="0" w:line="283" w:lineRule="auto"/>
        <w:rPr>
          <w:sz w:val="20"/>
          <w:szCs w:val="20"/>
          <w:color w:val="auto"/>
        </w:rPr>
      </w:pPr>
      <w:r>
        <w:rPr>
          <w:rFonts w:ascii="Arial" w:cs="Arial" w:eastAsia="Arial" w:hAnsi="Arial"/>
          <w:sz w:val="16"/>
          <w:szCs w:val="16"/>
          <w:color w:val="auto"/>
        </w:rPr>
        <w:t>1.7. The parties hereby confirm that this is a personal services agreement and that the relationship between the parties hereto shall not be subject to any general or special collective employment agreement or any custom or practice of BioLine with respect to any of its other employees or contractors.</w:t>
      </w:r>
    </w:p>
    <w:p>
      <w:pPr>
        <w:spacing w:after="0" w:line="171" w:lineRule="exact"/>
        <w:rPr>
          <w:sz w:val="20"/>
          <w:szCs w:val="20"/>
          <w:color w:val="auto"/>
        </w:rPr>
      </w:pPr>
    </w:p>
    <w:p>
      <w:pPr>
        <w:ind w:left="283" w:right="20" w:hanging="283"/>
        <w:spacing w:after="0" w:line="288" w:lineRule="auto"/>
        <w:tabs>
          <w:tab w:leader="none" w:pos="283" w:val="left"/>
        </w:tabs>
        <w:numPr>
          <w:ilvl w:val="0"/>
          <w:numId w:val="194"/>
        </w:numPr>
        <w:rPr>
          <w:rFonts w:ascii="Arial" w:cs="Arial" w:eastAsia="Arial" w:hAnsi="Arial"/>
          <w:sz w:val="16"/>
          <w:szCs w:val="16"/>
          <w:color w:val="auto"/>
        </w:rPr>
      </w:pPr>
      <w:r>
        <w:rPr>
          <w:rFonts w:ascii="Arial" w:cs="Arial" w:eastAsia="Arial" w:hAnsi="Arial"/>
          <w:sz w:val="16"/>
          <w:szCs w:val="16"/>
          <w:b w:val="1"/>
          <w:bCs w:val="1"/>
          <w:color w:val="auto"/>
        </w:rPr>
        <w:t xml:space="preserve">Place of Performance. </w:t>
      </w:r>
      <w:r>
        <w:rPr>
          <w:rFonts w:ascii="Arial" w:cs="Arial" w:eastAsia="Arial" w:hAnsi="Arial"/>
          <w:sz w:val="16"/>
          <w:szCs w:val="16"/>
          <w:color w:val="auto"/>
        </w:rPr>
        <w:t>Employee shall be based at BioLine’s facilities in Israel or at such other place as is otherwise appropriate to the functions being performed by</w:t>
      </w:r>
      <w:r>
        <w:rPr>
          <w:rFonts w:ascii="Arial" w:cs="Arial" w:eastAsia="Arial" w:hAnsi="Arial"/>
          <w:sz w:val="16"/>
          <w:szCs w:val="16"/>
          <w:b w:val="1"/>
          <w:bCs w:val="1"/>
          <w:color w:val="auto"/>
        </w:rPr>
        <w:t xml:space="preserve"> </w:t>
      </w:r>
      <w:r>
        <w:rPr>
          <w:rFonts w:ascii="Arial" w:cs="Arial" w:eastAsia="Arial" w:hAnsi="Arial"/>
          <w:sz w:val="16"/>
          <w:szCs w:val="16"/>
          <w:color w:val="auto"/>
        </w:rPr>
        <w:t>BioLine. Employee acknowledges and agrees that his/her position may involve significant domestic and international travel.</w:t>
      </w:r>
    </w:p>
    <w:p>
      <w:pPr>
        <w:spacing w:after="0" w:line="167" w:lineRule="exact"/>
        <w:rPr>
          <w:rFonts w:ascii="Arial" w:cs="Arial" w:eastAsia="Arial" w:hAnsi="Arial"/>
          <w:sz w:val="16"/>
          <w:szCs w:val="16"/>
          <w:color w:val="auto"/>
        </w:rPr>
      </w:pPr>
    </w:p>
    <w:p>
      <w:pPr>
        <w:jc w:val="both"/>
        <w:ind w:left="283" w:hanging="283"/>
        <w:spacing w:after="0" w:line="300" w:lineRule="auto"/>
        <w:tabs>
          <w:tab w:leader="none" w:pos="283" w:val="left"/>
        </w:tabs>
        <w:numPr>
          <w:ilvl w:val="0"/>
          <w:numId w:val="194"/>
        </w:numPr>
        <w:rPr>
          <w:rFonts w:ascii="Arial" w:cs="Arial" w:eastAsia="Arial" w:hAnsi="Arial"/>
          <w:sz w:val="14"/>
          <w:szCs w:val="14"/>
          <w:color w:val="auto"/>
        </w:rPr>
      </w:pPr>
      <w:r>
        <w:rPr>
          <w:rFonts w:ascii="Arial" w:cs="Arial" w:eastAsia="Arial" w:hAnsi="Arial"/>
          <w:sz w:val="14"/>
          <w:szCs w:val="14"/>
          <w:b w:val="1"/>
          <w:bCs w:val="1"/>
          <w:color w:val="auto"/>
        </w:rPr>
        <w:t xml:space="preserve">Employee’s Representations and Warranties. </w:t>
      </w:r>
      <w:r>
        <w:rPr>
          <w:rFonts w:ascii="Arial" w:cs="Arial" w:eastAsia="Arial" w:hAnsi="Arial"/>
          <w:sz w:val="14"/>
          <w:szCs w:val="14"/>
          <w:color w:val="auto"/>
        </w:rPr>
        <w:t>Employee represents and warrants that the execution and delivery of this Agreement and the fulfillment of all its terms: (i)</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will not constitute a default under or conflict with any agreement or other instrument to which Employee is a party or by which Employee is bound; and (ii) do not require the consent of any person or entity. Further, with respect to any past engagement Employee may have had with third parties and with respect to any allowed engagement Employee may have with any third party during the term of his/her engagement with BioLine (for purposes hereof, such third parties shall be referred to as </w:t>
      </w:r>
      <w:r>
        <w:rPr>
          <w:rFonts w:ascii="Arial" w:cs="Arial" w:eastAsia="Arial" w:hAnsi="Arial"/>
          <w:sz w:val="14"/>
          <w:szCs w:val="14"/>
          <w:b w:val="1"/>
          <w:bCs w:val="1"/>
          <w:color w:val="auto"/>
        </w:rPr>
        <w:t>“Other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Employers”), </w:t>
      </w:r>
      <w:r>
        <w:rPr>
          <w:rFonts w:ascii="Arial" w:cs="Arial" w:eastAsia="Arial" w:hAnsi="Arial"/>
          <w:sz w:val="14"/>
          <w:szCs w:val="14"/>
          <w:color w:val="auto"/>
        </w:rPr>
        <w:t>Employee represents, warrants and undertakes that: (a) Employee’s engagement with BioLine is and/or will not be in breach of Employee’s undertakings</w:t>
      </w:r>
      <w:r>
        <w:rPr>
          <w:rFonts w:ascii="Arial" w:cs="Arial" w:eastAsia="Arial" w:hAnsi="Arial"/>
          <w:sz w:val="14"/>
          <w:szCs w:val="14"/>
          <w:b w:val="1"/>
          <w:bCs w:val="1"/>
          <w:color w:val="auto"/>
        </w:rPr>
        <w:t xml:space="preserve"> </w:t>
      </w:r>
      <w:r>
        <w:rPr>
          <w:rFonts w:ascii="Arial" w:cs="Arial" w:eastAsia="Arial" w:hAnsi="Arial"/>
          <w:sz w:val="14"/>
          <w:szCs w:val="14"/>
          <w:color w:val="auto"/>
        </w:rPr>
        <w:t>towards Other Employers, and (b) Employee will not disclose to BioLine, or use, in provision of any services to BioLine, any proprietary or confidential information belonging to any Other Employers. Employee further represents and warrants that: (y) he/she does not suffer from any medical condition that may prevent from complying with duties and obligations under this Agreement; (z) to Employee’s best knowledge, the employment by BioLine will not cause any hazard to Employee’s health.</w:t>
      </w:r>
    </w:p>
    <w:p>
      <w:pPr>
        <w:spacing w:after="0" w:line="167" w:lineRule="exact"/>
        <w:rPr>
          <w:rFonts w:ascii="Arial" w:cs="Arial" w:eastAsia="Arial" w:hAnsi="Arial"/>
          <w:sz w:val="14"/>
          <w:szCs w:val="14"/>
          <w:color w:val="auto"/>
        </w:rPr>
      </w:pPr>
    </w:p>
    <w:p>
      <w:pPr>
        <w:jc w:val="both"/>
        <w:ind w:left="283" w:hanging="283"/>
        <w:spacing w:after="0" w:line="265" w:lineRule="auto"/>
        <w:tabs>
          <w:tab w:leader="none" w:pos="283" w:val="left"/>
        </w:tabs>
        <w:numPr>
          <w:ilvl w:val="0"/>
          <w:numId w:val="194"/>
        </w:numPr>
        <w:rPr>
          <w:rFonts w:ascii="Arial" w:cs="Arial" w:eastAsia="Arial" w:hAnsi="Arial"/>
          <w:sz w:val="16"/>
          <w:szCs w:val="16"/>
          <w:color w:val="auto"/>
        </w:rPr>
      </w:pPr>
      <w:r>
        <w:rPr>
          <w:rFonts w:ascii="Arial" w:cs="Arial" w:eastAsia="Arial" w:hAnsi="Arial"/>
          <w:sz w:val="16"/>
          <w:szCs w:val="16"/>
          <w:b w:val="1"/>
          <w:bCs w:val="1"/>
          <w:color w:val="auto"/>
        </w:rPr>
        <w:t xml:space="preserve">Proprietary Information; Confidentiality and Non-Competition. </w:t>
      </w:r>
      <w:r>
        <w:rPr>
          <w:rFonts w:ascii="Arial" w:cs="Arial" w:eastAsia="Arial" w:hAnsi="Arial"/>
          <w:sz w:val="16"/>
          <w:szCs w:val="16"/>
          <w:color w:val="auto"/>
        </w:rPr>
        <w:t>The Employee is obligated to keep all the terms and covenants of this Agreement under strict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confidentiality. By executing this Agreement Employee confirms and agrees to the provisions of BioLine’s Proprietary Information, Confidentiality and Non-Competition Agreement attached as </w:t>
      </w:r>
      <w:r>
        <w:rPr>
          <w:rFonts w:ascii="Arial" w:cs="Arial" w:eastAsia="Arial" w:hAnsi="Arial"/>
          <w:sz w:val="16"/>
          <w:szCs w:val="16"/>
          <w:b w:val="1"/>
          <w:bCs w:val="1"/>
          <w:color w:val="auto"/>
        </w:rPr>
        <w:t>ExhibitB</w:t>
      </w:r>
      <w:r>
        <w:rPr>
          <w:rFonts w:ascii="Arial" w:cs="Arial" w:eastAsia="Arial" w:hAnsi="Arial"/>
          <w:sz w:val="16"/>
          <w:szCs w:val="16"/>
          <w:color w:val="auto"/>
        </w:rPr>
        <w:t xml:space="preserve"> hereto. Employee acknowledges and confirms that all terms of his/her employment are personal and confidential, and undertakes to keep such term in confidence and refrain from disclosing such terms to any third party.</w:t>
      </w:r>
    </w:p>
    <w:p>
      <w:pPr>
        <w:spacing w:after="0" w:line="185" w:lineRule="exact"/>
        <w:rPr>
          <w:rFonts w:ascii="Arial" w:cs="Arial" w:eastAsia="Arial" w:hAnsi="Arial"/>
          <w:sz w:val="16"/>
          <w:szCs w:val="16"/>
          <w:color w:val="auto"/>
        </w:rPr>
      </w:pPr>
    </w:p>
    <w:p>
      <w:pPr>
        <w:ind w:left="283" w:right="20" w:hanging="283"/>
        <w:spacing w:after="0" w:line="288" w:lineRule="auto"/>
        <w:tabs>
          <w:tab w:leader="none" w:pos="283" w:val="left"/>
        </w:tabs>
        <w:numPr>
          <w:ilvl w:val="0"/>
          <w:numId w:val="194"/>
        </w:numPr>
        <w:rPr>
          <w:rFonts w:ascii="Arial" w:cs="Arial" w:eastAsia="Arial" w:hAnsi="Arial"/>
          <w:sz w:val="16"/>
          <w:szCs w:val="16"/>
          <w:color w:val="auto"/>
        </w:rPr>
      </w:pPr>
      <w:r>
        <w:rPr>
          <w:rFonts w:ascii="Arial" w:cs="Arial" w:eastAsia="Arial" w:hAnsi="Arial"/>
          <w:sz w:val="16"/>
          <w:szCs w:val="16"/>
          <w:b w:val="1"/>
          <w:bCs w:val="1"/>
          <w:color w:val="auto"/>
        </w:rPr>
        <w:t xml:space="preserve">Period of Employment. </w:t>
      </w:r>
      <w:r>
        <w:rPr>
          <w:rFonts w:ascii="Arial" w:cs="Arial" w:eastAsia="Arial" w:hAnsi="Arial"/>
          <w:sz w:val="16"/>
          <w:szCs w:val="16"/>
          <w:color w:val="auto"/>
        </w:rPr>
        <w:t>Employee’s employment by BioLine shall commence on the Commencement Date and shall continue for an initial period of three (3) months (the</w:t>
      </w:r>
      <w:r>
        <w:rPr>
          <w:rFonts w:ascii="Arial" w:cs="Arial" w:eastAsia="Arial" w:hAnsi="Arial"/>
          <w:sz w:val="16"/>
          <w:szCs w:val="16"/>
          <w:b w:val="1"/>
          <w:bCs w:val="1"/>
          <w:color w:val="auto"/>
        </w:rPr>
        <w:t xml:space="preserve"> “Initial Period”) </w:t>
      </w:r>
      <w:r>
        <w:rPr>
          <w:rFonts w:ascii="Arial" w:cs="Arial" w:eastAsia="Arial" w:hAnsi="Arial"/>
          <w:sz w:val="16"/>
          <w:szCs w:val="16"/>
          <w:color w:val="auto"/>
        </w:rPr>
        <w:t>and shall then continue, unless terminated in accordance with the provisions of this Agreement (the</w:t>
      </w:r>
      <w:r>
        <w:rPr>
          <w:rFonts w:ascii="Arial" w:cs="Arial" w:eastAsia="Arial" w:hAnsi="Arial"/>
          <w:sz w:val="16"/>
          <w:szCs w:val="16"/>
          <w:b w:val="1"/>
          <w:bCs w:val="1"/>
          <w:color w:val="auto"/>
        </w:rPr>
        <w:t xml:space="preserve"> “Employment Period”</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583" w:right="20" w:hanging="292"/>
        <w:spacing w:after="0" w:line="263" w:lineRule="auto"/>
        <w:rPr>
          <w:rFonts w:ascii="Arial" w:cs="Arial" w:eastAsia="Arial" w:hAnsi="Arial"/>
          <w:sz w:val="16"/>
          <w:szCs w:val="16"/>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The Employee’s employment will terminate upon the death of the Employee, and BioLine may terminate the Employee’s employment after having established the Employee’s disability. For purposes of this Agreement, “disability” means a physical or mental infirmity which impairs the Employee’s ability to substantially perform Employee’s duties under this Agreement which continues for a period of at least ninety (90) consecutive days. Upon termination for disability, the Employee shall be entitled to severance pay required by law, in accordance with the terms of this Agreement.</w:t>
      </w:r>
    </w:p>
    <w:p>
      <w:pPr>
        <w:spacing w:after="0" w:line="191" w:lineRule="exact"/>
        <w:rPr>
          <w:rFonts w:ascii="Arial" w:cs="Arial" w:eastAsia="Arial" w:hAnsi="Arial"/>
          <w:sz w:val="16"/>
          <w:szCs w:val="16"/>
          <w:color w:val="auto"/>
        </w:rPr>
      </w:pPr>
    </w:p>
    <w:p>
      <w:pPr>
        <w:ind w:left="583" w:right="20" w:hanging="292"/>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Termination at Will</w:t>
      </w:r>
      <w:r>
        <w:rPr>
          <w:rFonts w:ascii="Arial" w:cs="Arial" w:eastAsia="Arial" w:hAnsi="Arial"/>
          <w:sz w:val="16"/>
          <w:szCs w:val="16"/>
          <w:color w:val="auto"/>
        </w:rPr>
        <w:t>. Either party may terminate the employment relationship hereunder at any time by giving the other party prior written notice as set forth in Exhibit A (the “</w:t>
      </w:r>
      <w:r>
        <w:rPr>
          <w:rFonts w:ascii="Arial" w:cs="Arial" w:eastAsia="Arial" w:hAnsi="Arial"/>
          <w:sz w:val="16"/>
          <w:szCs w:val="16"/>
          <w:b w:val="1"/>
          <w:bCs w:val="1"/>
          <w:color w:val="auto"/>
        </w:rPr>
        <w:t>Notice Period</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10583" w:hanging="219"/>
        <w:spacing w:after="0"/>
        <w:tabs>
          <w:tab w:leader="none" w:pos="1058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-455930</wp:posOffset>
            </wp:positionV>
            <wp:extent cx="1546225" cy="4870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6225" cy="487045"/>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5995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440" w:right="219" w:bottom="1440" w:gutter="0" w:footer="0" w:header="0"/>
        </w:sectPr>
      </w:pPr>
    </w:p>
    <w:bookmarkStart w:id="243" w:name="page244"/>
    <w:bookmarkEnd w:id="243"/>
    <w:p>
      <w:pPr>
        <w:jc w:val="both"/>
        <w:ind w:left="583" w:right="20" w:hanging="291"/>
        <w:spacing w:after="0" w:line="30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 xml:space="preserve">5.3. </w:t>
      </w:r>
      <w:r>
        <w:rPr>
          <w:rFonts w:ascii="Arial" w:cs="Arial" w:eastAsia="Arial" w:hAnsi="Arial"/>
          <w:sz w:val="14"/>
          <w:szCs w:val="14"/>
          <w:u w:val="single" w:color="auto"/>
          <w:color w:val="auto"/>
        </w:rPr>
        <w:t>Termination for Cause</w:t>
      </w:r>
      <w:r>
        <w:rPr>
          <w:rFonts w:ascii="Arial" w:cs="Arial" w:eastAsia="Arial" w:hAnsi="Arial"/>
          <w:sz w:val="14"/>
          <w:szCs w:val="14"/>
          <w:color w:val="auto"/>
        </w:rPr>
        <w:t>. In the event of a termination for Cause (as defined below), BioLine may immediately terminate the employment relationship effective as of the time of notice of the same, and without payment in lieu of prior notice. “</w:t>
      </w:r>
      <w:r>
        <w:rPr>
          <w:rFonts w:ascii="Arial" w:cs="Arial" w:eastAsia="Arial" w:hAnsi="Arial"/>
          <w:sz w:val="14"/>
          <w:szCs w:val="14"/>
          <w:b w:val="1"/>
          <w:bCs w:val="1"/>
          <w:color w:val="auto"/>
        </w:rPr>
        <w:t>Cause</w:t>
      </w:r>
      <w:r>
        <w:rPr>
          <w:rFonts w:ascii="Arial" w:cs="Arial" w:eastAsia="Arial" w:hAnsi="Arial"/>
          <w:sz w:val="14"/>
          <w:szCs w:val="14"/>
          <w:color w:val="auto"/>
        </w:rPr>
        <w:t>” means (i) a serious breach of trust including but not limited to theft, embezzlement, self-dealing, prohibited disclosure to unauthorized persons or entities of confidential or proprietary information of or relating to BioLine or its affiliates, and the engaging by Employee in any prohibited business competitive to the business of BioLine; (ii) any willful failure to perform or failure to perform competently any of Employee’s fundamental functions or duties hereunder, which was not cured within thirty (30) days after receipt by Employee of written notice thereof; (iii) any breach of this Agreement by the Employee; and (iv) any other cause justifying termination or dismissal without severance payment under applicable law.</w:t>
      </w:r>
    </w:p>
    <w:p>
      <w:pPr>
        <w:spacing w:after="0" w:line="165" w:lineRule="exact"/>
        <w:rPr>
          <w:sz w:val="20"/>
          <w:szCs w:val="20"/>
          <w:color w:val="auto"/>
        </w:rPr>
      </w:pPr>
    </w:p>
    <w:p>
      <w:pPr>
        <w:jc w:val="both"/>
        <w:ind w:left="583" w:right="20" w:hanging="291"/>
        <w:spacing w:after="0" w:line="280"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Notice Period; End of Relations</w:t>
      </w:r>
      <w:r>
        <w:rPr>
          <w:rFonts w:ascii="Arial" w:cs="Arial" w:eastAsia="Arial" w:hAnsi="Arial"/>
          <w:sz w:val="15"/>
          <w:szCs w:val="15"/>
          <w:color w:val="auto"/>
        </w:rPr>
        <w:t>. During the Notice Period, the employment relationship hereunder shall remain in full force and effect and there shall be no change in Employee’s position with BioLine, the Salary, or in any other obligations of either party hereunder, unless otherwise determined by BioLine in a written notice to Employee, and Employee shall cooperate with BioLine and assist BioLine with the integration into BioLine of the person who will assume Employee’s responsibilities. At the option of BioLine, the Employee shall during such period either continue with Employee’s duties or remain absent from BioLine’s premises. However, BioLine, at its own discretion, may terminate this Agreement and the employment relationship at any time immediately upon a written notice and pay Employee an amount equal to the Salary referred to in Section 6 below that would have been paid to Employee during the Notice Period in lieu of the prior notice.</w:t>
      </w:r>
    </w:p>
    <w:p>
      <w:pPr>
        <w:spacing w:after="0" w:line="181" w:lineRule="exact"/>
        <w:rPr>
          <w:sz w:val="20"/>
          <w:szCs w:val="20"/>
          <w:color w:val="auto"/>
        </w:rPr>
      </w:pPr>
    </w:p>
    <w:p>
      <w:pPr>
        <w:jc w:val="both"/>
        <w:ind w:left="583" w:right="20" w:hanging="291"/>
        <w:spacing w:after="0" w:line="283" w:lineRule="auto"/>
        <w:rPr>
          <w:sz w:val="20"/>
          <w:szCs w:val="20"/>
          <w:color w:val="auto"/>
        </w:rPr>
      </w:pPr>
      <w:r>
        <w:rPr>
          <w:rFonts w:ascii="Arial" w:cs="Arial" w:eastAsia="Arial" w:hAnsi="Arial"/>
          <w:sz w:val="16"/>
          <w:szCs w:val="16"/>
          <w:color w:val="auto"/>
        </w:rPr>
        <w:t>5.5. Without derogating from all of BioLine’s rights according to the provisions of this Agreement and the law, upon the termination of this Agreement, BioLine shall have the right to deduct from any payment to be paid to the Employee any sum owed by the Employee to BioLine.</w:t>
      </w:r>
    </w:p>
    <w:p>
      <w:pPr>
        <w:spacing w:after="0" w:line="147" w:lineRule="exact"/>
        <w:rPr>
          <w:sz w:val="20"/>
          <w:szCs w:val="20"/>
          <w:color w:val="auto"/>
        </w:rPr>
      </w:pPr>
    </w:p>
    <w:p>
      <w:pPr>
        <w:ind w:left="283" w:hanging="283"/>
        <w:spacing w:after="0"/>
        <w:tabs>
          <w:tab w:leader="none" w:pos="283" w:val="left"/>
        </w:tabs>
        <w:numPr>
          <w:ilvl w:val="0"/>
          <w:numId w:val="195"/>
        </w:numPr>
        <w:rPr>
          <w:rFonts w:ascii="Arial" w:cs="Arial" w:eastAsia="Arial" w:hAnsi="Arial"/>
          <w:sz w:val="16"/>
          <w:szCs w:val="16"/>
          <w:color w:val="auto"/>
        </w:rPr>
      </w:pPr>
      <w:r>
        <w:rPr>
          <w:rFonts w:ascii="Arial" w:cs="Arial" w:eastAsia="Arial" w:hAnsi="Arial"/>
          <w:sz w:val="16"/>
          <w:szCs w:val="16"/>
          <w:b w:val="1"/>
          <w:bCs w:val="1"/>
          <w:color w:val="auto"/>
        </w:rPr>
        <w:t>Salary.</w:t>
      </w:r>
    </w:p>
    <w:p>
      <w:pPr>
        <w:spacing w:after="0" w:line="205" w:lineRule="exact"/>
        <w:rPr>
          <w:rFonts w:ascii="Arial" w:cs="Arial" w:eastAsia="Arial" w:hAnsi="Arial"/>
          <w:sz w:val="16"/>
          <w:szCs w:val="16"/>
          <w:color w:val="auto"/>
        </w:rPr>
      </w:pPr>
    </w:p>
    <w:p>
      <w:pPr>
        <w:ind w:left="583" w:right="20" w:hanging="292"/>
        <w:spacing w:after="0" w:line="284" w:lineRule="auto"/>
        <w:rPr>
          <w:rFonts w:ascii="Arial" w:cs="Arial" w:eastAsia="Arial" w:hAnsi="Arial"/>
          <w:sz w:val="16"/>
          <w:szCs w:val="16"/>
          <w:color w:val="auto"/>
        </w:rPr>
      </w:pPr>
      <w:r>
        <w:rPr>
          <w:rFonts w:ascii="Arial" w:cs="Arial" w:eastAsia="Arial" w:hAnsi="Arial"/>
          <w:sz w:val="15"/>
          <w:szCs w:val="15"/>
          <w:color w:val="auto"/>
        </w:rPr>
        <w:t>6.1. BioLine shall pay or cause to be paid to the Employee during the term of this Agreement a gross salary in the amount set forth in Exhibit A per month (the “</w:t>
      </w:r>
      <w:r>
        <w:rPr>
          <w:rFonts w:ascii="Arial" w:cs="Arial" w:eastAsia="Arial" w:hAnsi="Arial"/>
          <w:sz w:val="15"/>
          <w:szCs w:val="15"/>
          <w:b w:val="1"/>
          <w:bCs w:val="1"/>
          <w:color w:val="auto"/>
        </w:rPr>
        <w:t>Base</w:t>
      </w:r>
      <w:r>
        <w:rPr>
          <w:rFonts w:ascii="Arial" w:cs="Arial" w:eastAsia="Arial" w:hAnsi="Arial"/>
          <w:sz w:val="15"/>
          <w:szCs w:val="15"/>
          <w:color w:val="auto"/>
        </w:rPr>
        <w:t xml:space="preserve"> </w:t>
      </w:r>
      <w:r>
        <w:rPr>
          <w:rFonts w:ascii="Arial" w:cs="Arial" w:eastAsia="Arial" w:hAnsi="Arial"/>
          <w:sz w:val="15"/>
          <w:szCs w:val="15"/>
          <w:b w:val="1"/>
          <w:bCs w:val="1"/>
          <w:color w:val="auto"/>
        </w:rPr>
        <w:t>Salary</w:t>
      </w:r>
      <w:r>
        <w:rPr>
          <w:rFonts w:ascii="Arial" w:cs="Arial" w:eastAsia="Arial" w:hAnsi="Arial"/>
          <w:sz w:val="15"/>
          <w:szCs w:val="15"/>
          <w:color w:val="auto"/>
        </w:rPr>
        <w:t>”). Since the nature of the work precludes supervision of the Employee’s work hours and due to BioLine’s anticipation that the Employee may be required to</w:t>
      </w:r>
      <w:r>
        <w:rPr>
          <w:rFonts w:ascii="Arial" w:cs="Arial" w:eastAsia="Arial" w:hAnsi="Arial"/>
          <w:sz w:val="15"/>
          <w:szCs w:val="15"/>
          <w:b w:val="1"/>
          <w:bCs w:val="1"/>
          <w:color w:val="auto"/>
        </w:rPr>
        <w:t xml:space="preserve"> </w:t>
      </w:r>
      <w:r>
        <w:rPr>
          <w:rFonts w:ascii="Arial" w:cs="Arial" w:eastAsia="Arial" w:hAnsi="Arial"/>
          <w:sz w:val="15"/>
          <w:szCs w:val="15"/>
          <w:color w:val="auto"/>
        </w:rPr>
        <w:t>work outside of regular working hours and outside of regular working days as stated in Section 1.5 above, BioLine agrees to pay to the Employee during the term of this Agreement a gross payment in the amount set forth in Exhibit A per month (the “</w:t>
      </w:r>
      <w:r>
        <w:rPr>
          <w:rFonts w:ascii="Arial" w:cs="Arial" w:eastAsia="Arial" w:hAnsi="Arial"/>
          <w:sz w:val="15"/>
          <w:szCs w:val="15"/>
          <w:b w:val="1"/>
          <w:bCs w:val="1"/>
          <w:color w:val="auto"/>
        </w:rPr>
        <w:t>Overtime Payment</w:t>
      </w:r>
      <w:r>
        <w:rPr>
          <w:rFonts w:ascii="Arial" w:cs="Arial" w:eastAsia="Arial" w:hAnsi="Arial"/>
          <w:sz w:val="15"/>
          <w:szCs w:val="15"/>
          <w:color w:val="auto"/>
        </w:rPr>
        <w:t>”) on account of forty five (45) global overtime work hours per month. The Base Salary and the Overtime Payment together shall constitute the “</w:t>
      </w:r>
      <w:r>
        <w:rPr>
          <w:rFonts w:ascii="Arial" w:cs="Arial" w:eastAsia="Arial" w:hAnsi="Arial"/>
          <w:sz w:val="15"/>
          <w:szCs w:val="15"/>
          <w:b w:val="1"/>
          <w:bCs w:val="1"/>
          <w:color w:val="auto"/>
        </w:rPr>
        <w:t>Salary</w:t>
      </w:r>
      <w:r>
        <w:rPr>
          <w:rFonts w:ascii="Arial" w:cs="Arial" w:eastAsia="Arial" w:hAnsi="Arial"/>
          <w:sz w:val="15"/>
          <w:szCs w:val="15"/>
          <w:color w:val="auto"/>
        </w:rPr>
        <w:t>” for purposes of this Agreement.</w:t>
      </w:r>
    </w:p>
    <w:p>
      <w:pPr>
        <w:spacing w:after="0" w:line="166" w:lineRule="exact"/>
        <w:rPr>
          <w:rFonts w:ascii="Arial" w:cs="Arial" w:eastAsia="Arial" w:hAnsi="Arial"/>
          <w:sz w:val="16"/>
          <w:szCs w:val="16"/>
          <w:color w:val="auto"/>
        </w:rPr>
      </w:pPr>
    </w:p>
    <w:p>
      <w:pPr>
        <w:ind w:left="583" w:right="20" w:hanging="292"/>
        <w:spacing w:after="0" w:line="214" w:lineRule="auto"/>
        <w:rPr>
          <w:rFonts w:ascii="Arial" w:cs="Arial" w:eastAsia="Arial" w:hAnsi="Arial"/>
          <w:sz w:val="16"/>
          <w:szCs w:val="16"/>
          <w:color w:val="auto"/>
        </w:rPr>
      </w:pPr>
      <w:r>
        <w:rPr>
          <w:rFonts w:ascii="Arial" w:cs="Arial" w:eastAsia="Arial" w:hAnsi="Arial"/>
          <w:sz w:val="16"/>
          <w:szCs w:val="16"/>
          <w:color w:val="auto"/>
        </w:rPr>
        <w:t>6.2. The Salary will be paid no later then the 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of each calendar month after the month for which the Salary is paid, after deduction of any and all taxes and charges applicable to Employee, as may be in effect or which may hereafter be enacted or required by law. Employee shall notify BioLine of any change which may affect Employee’s tax liability.</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5"/>
        </w:numPr>
        <w:rPr>
          <w:rFonts w:ascii="Arial" w:cs="Arial" w:eastAsia="Arial" w:hAnsi="Arial"/>
          <w:sz w:val="16"/>
          <w:szCs w:val="16"/>
          <w:color w:val="auto"/>
        </w:rPr>
      </w:pPr>
      <w:r>
        <w:rPr>
          <w:rFonts w:ascii="Arial" w:cs="Arial" w:eastAsia="Arial" w:hAnsi="Arial"/>
          <w:sz w:val="16"/>
          <w:szCs w:val="16"/>
          <w:b w:val="1"/>
          <w:bCs w:val="1"/>
          <w:color w:val="auto"/>
        </w:rPr>
        <w:t>Insurance and Social Benefits.</w:t>
      </w:r>
    </w:p>
    <w:p>
      <w:pPr>
        <w:spacing w:after="0" w:line="233"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The Employee shall be entitled to the following benefits:</w:t>
      </w:r>
    </w:p>
    <w:p>
      <w:pPr>
        <w:spacing w:after="0" w:line="229" w:lineRule="exact"/>
        <w:rPr>
          <w:rFonts w:ascii="Arial" w:cs="Arial" w:eastAsia="Arial" w:hAnsi="Arial"/>
          <w:sz w:val="16"/>
          <w:szCs w:val="16"/>
          <w:color w:val="auto"/>
        </w:rPr>
      </w:pPr>
    </w:p>
    <w:p>
      <w:pPr>
        <w:ind w:left="583" w:hanging="292"/>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Manager’s insurance; Pension Fund</w:t>
      </w:r>
      <w:r>
        <w:rPr>
          <w:rFonts w:ascii="Arial" w:cs="Arial" w:eastAsia="Arial" w:hAnsi="Arial"/>
          <w:sz w:val="16"/>
          <w:szCs w:val="16"/>
          <w:color w:val="auto"/>
        </w:rPr>
        <w:t>. At the end of the Initial Period, and subject to the continued employment of Employee following the Initial Period, BioLine will insure Employee, retroactive to the Commencement Date, under a “Manager’s Insurance Scheme” or pension fund to be selected by BioLine in coordination with Employee (unless otherwise agreed to by the parties) (collectively the “</w:t>
      </w:r>
      <w:r>
        <w:rPr>
          <w:rFonts w:ascii="Arial" w:cs="Arial" w:eastAsia="Arial" w:hAnsi="Arial"/>
          <w:sz w:val="16"/>
          <w:szCs w:val="16"/>
          <w:b w:val="1"/>
          <w:bCs w:val="1"/>
          <w:color w:val="auto"/>
        </w:rPr>
        <w:t>Policy</w:t>
      </w:r>
      <w:r>
        <w:rPr>
          <w:rFonts w:ascii="Arial" w:cs="Arial" w:eastAsia="Arial" w:hAnsi="Arial"/>
          <w:sz w:val="16"/>
          <w:szCs w:val="16"/>
          <w:color w:val="auto"/>
        </w:rPr>
        <w:t>”), such that BioLine will pay an amount equal to 13⅓% of the Salary towards a such Policy, of which 5%shall be for pension fund payments and 8⅓% shall serve to cover severance compensation. In addition, BioLine shall deduct from the Salary an amount equal to 5% of the Salary, and forward the same to the Policy. Any tax payable in respect of such contributions to the Policy shall be borne and paid by the Employee.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0" w:lineRule="exact"/>
        <w:rPr>
          <w:rFonts w:ascii="Arial" w:cs="Arial" w:eastAsia="Arial" w:hAnsi="Arial"/>
          <w:sz w:val="16"/>
          <w:szCs w:val="16"/>
          <w:color w:val="auto"/>
        </w:rPr>
      </w:pPr>
    </w:p>
    <w:p>
      <w:pPr>
        <w:ind w:left="10583" w:hanging="219"/>
        <w:spacing w:after="0"/>
        <w:tabs>
          <w:tab w:leader="none" w:pos="1058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-455930</wp:posOffset>
            </wp:positionV>
            <wp:extent cx="1546225" cy="4870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46225" cy="487045"/>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5995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47" w:right="219" w:bottom="1440" w:gutter="0" w:footer="0" w:header="0"/>
        </w:sectPr>
      </w:pPr>
    </w:p>
    <w:bookmarkStart w:id="244" w:name="page245"/>
    <w:bookmarkEnd w:id="24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2385060</wp:posOffset>
            </wp:positionH>
            <wp:positionV relativeFrom="page">
              <wp:posOffset>227965</wp:posOffset>
            </wp:positionV>
            <wp:extent cx="2791460" cy="5721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r>
    </w:p>
    <w:p>
      <w:pPr>
        <w:jc w:val="both"/>
        <w:ind w:left="420" w:hanging="401"/>
        <w:spacing w:after="0" w:line="258" w:lineRule="auto"/>
        <w:tabs>
          <w:tab w:leader="none" w:pos="400" w:val="left"/>
        </w:tabs>
        <w:rPr>
          <w:sz w:val="20"/>
          <w:szCs w:val="20"/>
          <w:color w:val="auto"/>
        </w:rPr>
      </w:pPr>
      <w:r>
        <w:rPr>
          <w:rFonts w:ascii="Arial" w:cs="Arial" w:eastAsia="Arial" w:hAnsi="Arial"/>
          <w:sz w:val="16"/>
          <w:szCs w:val="16"/>
          <w:color w:val="auto"/>
        </w:rPr>
        <w:t>7.2.</w:t>
        <w:tab/>
        <w:t>The Employee hereby agrees and acknowledges that all of the payments that BioLine shall make to the abovementioned Policy shall be instead of any severance pay to which the Employee or Employee’s successors shall be entitled to receive from BioLine with respect to the salary from which these payments were made and the period during which they were made, in accordance with Section 14 of the Severance Pay Law 5723-1963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parties hereby adopt the General Approval of the Minister of Labor and Welfare, published in the Official Publications Gazette No. 4659 on June 30, 1998,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BioLine hereby waives in advance any claim it has or may have to be refunded any of the payments made to the manager’s insurance policy, unless (i) the Employee’s right to severance pay is invalidated by a court ruling on the basis of Sections 16 or 17 of the Law (and in such case only to the extent it is invalidated), or (ii) the Employee withdrew funds from the manager’s insurance policy for reasons other than an “Entitling Event”. An “Entitling Event” means death, disability or retirement at the age of sixty (60) or more.</w:t>
      </w:r>
    </w:p>
    <w:p>
      <w:pPr>
        <w:spacing w:after="0" w:line="195" w:lineRule="exact"/>
        <w:rPr>
          <w:sz w:val="20"/>
          <w:szCs w:val="20"/>
          <w:color w:val="auto"/>
        </w:rPr>
      </w:pPr>
    </w:p>
    <w:p>
      <w:pPr>
        <w:jc w:val="both"/>
        <w:ind w:left="420" w:right="20" w:hanging="401"/>
        <w:spacing w:after="0" w:line="318" w:lineRule="auto"/>
        <w:tabs>
          <w:tab w:leader="none" w:pos="4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5"/>
          <w:szCs w:val="15"/>
          <w:u w:val="single" w:color="auto"/>
          <w:color w:val="auto"/>
        </w:rPr>
        <w:t>Disability Insurance</w:t>
      </w:r>
      <w:r>
        <w:rPr>
          <w:rFonts w:ascii="Arial" w:cs="Arial" w:eastAsia="Arial" w:hAnsi="Arial"/>
          <w:sz w:val="15"/>
          <w:szCs w:val="15"/>
          <w:color w:val="auto"/>
        </w:rPr>
        <w:t>. In addition to the foregoing, during the Employment Period BioLine will bear the cost of disability insurance with an insurance company</w:t>
      </w:r>
      <w:r>
        <w:rPr>
          <w:rFonts w:ascii="Arial" w:cs="Arial" w:eastAsia="Arial" w:hAnsi="Arial"/>
          <w:sz w:val="15"/>
          <w:szCs w:val="15"/>
          <w:u w:val="single" w:color="auto"/>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Ovdan Kosher Avoda</w:t>
      </w:r>
      <w:r>
        <w:rPr>
          <w:rFonts w:ascii="Arial" w:cs="Arial" w:eastAsia="Arial" w:hAnsi="Arial"/>
          <w:sz w:val="15"/>
          <w:szCs w:val="15"/>
          <w:color w:val="auto"/>
        </w:rPr>
        <w:t>). The amount paid by BioLine for such insurance shall be as generally accepted, but shall not exceed 2.5% of the Salary.</w:t>
      </w:r>
    </w:p>
    <w:p>
      <w:pPr>
        <w:spacing w:after="0" w:line="152" w:lineRule="exact"/>
        <w:rPr>
          <w:sz w:val="20"/>
          <w:szCs w:val="20"/>
          <w:color w:val="auto"/>
        </w:rPr>
      </w:pPr>
    </w:p>
    <w:p>
      <w:pPr>
        <w:jc w:val="both"/>
        <w:ind w:left="420" w:right="20" w:hanging="401"/>
        <w:spacing w:after="0" w:line="261" w:lineRule="auto"/>
        <w:tabs>
          <w:tab w:leader="none" w:pos="40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u w:val="single" w:color="auto"/>
          <w:color w:val="auto"/>
        </w:rPr>
        <w:t>Advanced Study Fund</w:t>
      </w:r>
      <w:r>
        <w:rPr>
          <w:rFonts w:ascii="Arial" w:cs="Arial" w:eastAsia="Arial" w:hAnsi="Arial"/>
          <w:sz w:val="16"/>
          <w:szCs w:val="16"/>
          <w:color w:val="auto"/>
        </w:rPr>
        <w:t>. At the end of the Initial Period, and subject to the continued employment of Employee following the Initial Period, BioLine will maintain an</w:t>
      </w:r>
      <w:r>
        <w:rPr>
          <w:rFonts w:ascii="Arial" w:cs="Arial" w:eastAsia="Arial" w:hAnsi="Arial"/>
          <w:sz w:val="16"/>
          <w:szCs w:val="16"/>
          <w:u w:val="single" w:color="auto"/>
          <w:color w:val="auto"/>
        </w:rPr>
        <w:t xml:space="preserve"> </w:t>
      </w:r>
      <w:r>
        <w:rPr>
          <w:rFonts w:ascii="Arial" w:cs="Arial" w:eastAsia="Arial" w:hAnsi="Arial"/>
          <w:sz w:val="16"/>
          <w:szCs w:val="16"/>
          <w:color w:val="auto"/>
        </w:rPr>
        <w:t>advanced study fund (</w:t>
      </w:r>
      <w:r>
        <w:rPr>
          <w:rFonts w:ascii="Arial" w:cs="Arial" w:eastAsia="Arial" w:hAnsi="Arial"/>
          <w:sz w:val="16"/>
          <w:szCs w:val="16"/>
          <w:i w:val="1"/>
          <w:iCs w:val="1"/>
          <w:color w:val="auto"/>
        </w:rPr>
        <w:t>Keren Hishtalmut</w:t>
      </w:r>
      <w:r>
        <w:rPr>
          <w:rFonts w:ascii="Arial" w:cs="Arial" w:eastAsia="Arial" w:hAnsi="Arial"/>
          <w:sz w:val="16"/>
          <w:szCs w:val="16"/>
          <w:color w:val="auto"/>
        </w:rPr>
        <w:t>) recognized by the Israeli Income Tax Authorities, retroactive to the Commencement Date, such that BioLine and Employee shall contribute to such fund an amount equal to 7.5% of the Salary and 2.5% of the Salary, respectively. Any tax payable in respect of such contributions to such fund shall be borne and paid by the Employee. All payments and contributions of BioLine with respect to these benefits shall be limited to the Salary and up to the highest amount recognized by the tax authorities.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4"/>
          <w:szCs w:val="14"/>
          <w:u w:val="single" w:color="auto"/>
          <w:color w:val="auto"/>
        </w:rPr>
        <w:t>Convalescence</w:t>
      </w:r>
      <w:r>
        <w:rPr>
          <w:rFonts w:ascii="Arial" w:cs="Arial" w:eastAsia="Arial" w:hAnsi="Arial"/>
          <w:sz w:val="14"/>
          <w:szCs w:val="14"/>
          <w:color w:val="auto"/>
        </w:rPr>
        <w:t>. During the Employment Period, Employee shall be entitled to receive convalescence allowance(</w:t>
      </w:r>
      <w:r>
        <w:rPr>
          <w:rFonts w:ascii="Arial" w:cs="Arial" w:eastAsia="Arial" w:hAnsi="Arial"/>
          <w:sz w:val="14"/>
          <w:szCs w:val="14"/>
          <w:i w:val="1"/>
          <w:iCs w:val="1"/>
          <w:color w:val="auto"/>
        </w:rPr>
        <w:t>Dmei Havra’a</w:t>
      </w:r>
      <w:r>
        <w:rPr>
          <w:rFonts w:ascii="Arial" w:cs="Arial" w:eastAsia="Arial" w:hAnsi="Arial"/>
          <w:sz w:val="14"/>
          <w:szCs w:val="14"/>
          <w:color w:val="auto"/>
        </w:rPr>
        <w:t>) pursuant to applicable law.</w:t>
      </w:r>
    </w:p>
    <w:p>
      <w:pPr>
        <w:spacing w:after="0" w:line="230" w:lineRule="exact"/>
        <w:rPr>
          <w:sz w:val="20"/>
          <w:szCs w:val="20"/>
          <w:color w:val="auto"/>
        </w:rPr>
      </w:pPr>
    </w:p>
    <w:p>
      <w:pPr>
        <w:jc w:val="both"/>
        <w:ind w:left="420" w:right="20" w:hanging="401"/>
        <w:spacing w:after="0" w:line="268" w:lineRule="auto"/>
        <w:tabs>
          <w:tab w:leader="none" w:pos="40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u w:val="single" w:color="auto"/>
          <w:color w:val="auto"/>
        </w:rPr>
        <w:t>Sick Leave</w:t>
      </w:r>
      <w:r>
        <w:rPr>
          <w:rFonts w:ascii="Arial" w:cs="Arial" w:eastAsia="Arial" w:hAnsi="Arial"/>
          <w:sz w:val="16"/>
          <w:szCs w:val="16"/>
          <w:color w:val="auto"/>
        </w:rPr>
        <w:t>. The Employee shall be entitled to be absent from work each year due to illness for the number of days allowed pursuant to the Sick Pay Law 5736 -</w:t>
      </w:r>
      <w:r>
        <w:rPr>
          <w:rFonts w:ascii="Arial" w:cs="Arial" w:eastAsia="Arial" w:hAnsi="Arial"/>
          <w:sz w:val="16"/>
          <w:szCs w:val="16"/>
          <w:u w:val="single" w:color="auto"/>
          <w:color w:val="auto"/>
        </w:rPr>
        <w:t xml:space="preserve"> </w:t>
      </w:r>
      <w:r>
        <w:rPr>
          <w:rFonts w:ascii="Arial" w:cs="Arial" w:eastAsia="Arial" w:hAnsi="Arial"/>
          <w:sz w:val="16"/>
          <w:szCs w:val="16"/>
          <w:color w:val="auto"/>
        </w:rPr>
        <w:t>1976, and shall be entitled to fully paid sick leave upon presentation of appropriate medical documentation regarding said illness. Any amounts paid to the Employee on account of the disability insurance indicated in subsection 7.3 above, will be on account of Sick Leave payment.</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5"/>
          <w:szCs w:val="15"/>
          <w:u w:val="single" w:color="auto"/>
          <w:color w:val="auto"/>
        </w:rPr>
        <w:t>Reserve Service</w:t>
      </w:r>
      <w:r>
        <w:rPr>
          <w:rFonts w:ascii="Arial" w:cs="Arial" w:eastAsia="Arial" w:hAnsi="Arial"/>
          <w:sz w:val="15"/>
          <w:szCs w:val="15"/>
          <w:color w:val="auto"/>
        </w:rPr>
        <w:t>. During the Employment Period, BioLine shall pay the full salary of the Employee during the period of the Employee’s military reserve service.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National Insurance Institute transfers in connection with such military reserved duty shall be retained by BioLine.</w:t>
      </w:r>
    </w:p>
    <w:p>
      <w:pPr>
        <w:spacing w:after="0" w:line="218" w:lineRule="exact"/>
        <w:rPr>
          <w:sz w:val="20"/>
          <w:szCs w:val="20"/>
          <w:color w:val="auto"/>
        </w:rPr>
      </w:pPr>
    </w:p>
    <w:p>
      <w:pPr>
        <w:jc w:val="both"/>
        <w:ind w:left="420" w:right="20" w:hanging="401"/>
        <w:spacing w:after="0" w:line="263" w:lineRule="auto"/>
        <w:tabs>
          <w:tab w:leader="none" w:pos="40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u w:val="single" w:color="auto"/>
          <w:color w:val="auto"/>
        </w:rPr>
        <w:t>Vacation</w:t>
      </w:r>
      <w:r>
        <w:rPr>
          <w:rFonts w:ascii="Arial" w:cs="Arial" w:eastAsia="Arial" w:hAnsi="Arial"/>
          <w:sz w:val="16"/>
          <w:szCs w:val="16"/>
          <w:color w:val="auto"/>
        </w:rPr>
        <w:t>. During the Employment Period, Employee shall be entitled to vacation in the number of working days per year as set forth in Exhibit A, as adjusted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applicable law. A “working day” shall mean Sunday to Thursday inclusive, and the use of said vacation days will be coordinated with BioLine. Employee shall be entitled to accumulation and redemption of vacation days in accordance with BioLine’s employees’ handbook, which may be amended from time to time in BioLine’s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5309870</wp:posOffset>
            </wp:positionH>
            <wp:positionV relativeFrom="paragraph">
              <wp:posOffset>130175</wp:posOffset>
            </wp:positionV>
            <wp:extent cx="703580" cy="425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3580"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9640"/>
        <w:spacing w:after="0"/>
        <w:rPr>
          <w:sz w:val="20"/>
          <w:szCs w:val="20"/>
          <w:color w:val="auto"/>
        </w:rPr>
      </w:pPr>
      <w:r>
        <w:rPr>
          <w:rFonts w:ascii="Arial" w:cs="Arial" w:eastAsia="Arial" w:hAnsi="Arial"/>
          <w:sz w:val="16"/>
          <w:szCs w:val="16"/>
          <w:color w:val="auto"/>
        </w:rPr>
        <w:t>M.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6152515</wp:posOffset>
            </wp:positionH>
            <wp:positionV relativeFrom="paragraph">
              <wp:posOffset>14605</wp:posOffset>
            </wp:positionV>
            <wp:extent cx="703580"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3580" cy="15240"/>
                    </a:xfrm>
                    <a:prstGeom prst="rect">
                      <a:avLst/>
                    </a:prstGeom>
                    <a:noFill/>
                  </pic:spPr>
                </pic:pic>
              </a:graphicData>
            </a:graphic>
          </wp:anchor>
        </w:drawing>
      </w:r>
    </w:p>
    <w:p>
      <w:pPr>
        <w:spacing w:after="0" w:line="15" w:lineRule="exact"/>
        <w:rPr>
          <w:sz w:val="20"/>
          <w:szCs w:val="20"/>
          <w:color w:val="auto"/>
        </w:rPr>
      </w:pPr>
    </w:p>
    <w:p>
      <w:pPr>
        <w:ind w:left="8660"/>
        <w:spacing w:after="0"/>
        <w:tabs>
          <w:tab w:leader="none" w:pos="9900"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38100</wp:posOffset>
            </wp:positionV>
            <wp:extent cx="725995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245" w:name="page246"/>
    <w:bookmarkEnd w:id="245"/>
    <w:p>
      <w:pPr>
        <w:jc w:val="both"/>
        <w:ind w:left="703" w:right="20" w:hanging="401"/>
        <w:spacing w:after="0" w:line="283" w:lineRule="auto"/>
        <w:tabs>
          <w:tab w:leader="none" w:pos="682"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7.9.</w:t>
      </w:r>
      <w:r>
        <w:rPr>
          <w:sz w:val="20"/>
          <w:szCs w:val="20"/>
          <w:color w:val="auto"/>
        </w:rPr>
        <w:tab/>
      </w:r>
      <w:r>
        <w:rPr>
          <w:rFonts w:ascii="Arial" w:cs="Arial" w:eastAsia="Arial" w:hAnsi="Arial"/>
          <w:sz w:val="16"/>
          <w:szCs w:val="16"/>
          <w:u w:val="single" w:color="auto"/>
          <w:color w:val="auto"/>
        </w:rPr>
        <w:t>Mobile Phone</w:t>
      </w:r>
      <w:r>
        <w:rPr>
          <w:rFonts w:ascii="Arial" w:cs="Arial" w:eastAsia="Arial" w:hAnsi="Arial"/>
          <w:sz w:val="16"/>
          <w:szCs w:val="16"/>
          <w:color w:val="auto"/>
        </w:rPr>
        <w:t>. During the Employment Period, the Employee shall be entitled to receive a mobile phone. Employee shall use the mobile phone in a standard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reasonable manner, and in accordance with BioLine’s policies.</w:t>
      </w:r>
    </w:p>
    <w:p>
      <w:pPr>
        <w:spacing w:after="0" w:line="175" w:lineRule="exact"/>
        <w:rPr>
          <w:sz w:val="20"/>
          <w:szCs w:val="20"/>
          <w:color w:val="auto"/>
        </w:rPr>
      </w:pPr>
    </w:p>
    <w:p>
      <w:pPr>
        <w:jc w:val="both"/>
        <w:ind w:left="703" w:hanging="401"/>
        <w:spacing w:after="0" w:line="274" w:lineRule="auto"/>
        <w:rPr>
          <w:sz w:val="20"/>
          <w:szCs w:val="20"/>
          <w:color w:val="auto"/>
        </w:rPr>
      </w:pPr>
      <w:r>
        <w:rPr>
          <w:rFonts w:ascii="Arial" w:cs="Arial" w:eastAsia="Arial" w:hAnsi="Arial"/>
          <w:sz w:val="15"/>
          <w:szCs w:val="15"/>
          <w:color w:val="auto"/>
        </w:rPr>
        <w:t xml:space="preserve">7.10. </w:t>
      </w:r>
      <w:r>
        <w:rPr>
          <w:rFonts w:ascii="Arial" w:cs="Arial" w:eastAsia="Arial" w:hAnsi="Arial"/>
          <w:sz w:val="15"/>
          <w:szCs w:val="15"/>
          <w:u w:val="single" w:color="auto"/>
          <w:color w:val="auto"/>
        </w:rPr>
        <w:t>Automobile.</w:t>
      </w:r>
      <w:r>
        <w:rPr>
          <w:rFonts w:ascii="Arial" w:cs="Arial" w:eastAsia="Arial" w:hAnsi="Arial"/>
          <w:sz w:val="15"/>
          <w:szCs w:val="15"/>
          <w:color w:val="auto"/>
        </w:rPr>
        <w:t xml:space="preserve"> For purposes of performance of Employee’s duties and tasks, and during the Employment Period, BioLine shall make available to Employee a company vehicle, leased or owned by BioLine of a type to be elected by BioLine, in accordance with its policies which may be amended from time to time (the “</w:t>
      </w:r>
      <w:r>
        <w:rPr>
          <w:rFonts w:ascii="Arial" w:cs="Arial" w:eastAsia="Arial" w:hAnsi="Arial"/>
          <w:sz w:val="15"/>
          <w:szCs w:val="15"/>
          <w:b w:val="1"/>
          <w:bCs w:val="1"/>
          <w:color w:val="auto"/>
        </w:rPr>
        <w:t>Company Car</w:t>
      </w:r>
      <w:r>
        <w:rPr>
          <w:rFonts w:ascii="Arial" w:cs="Arial" w:eastAsia="Arial" w:hAnsi="Arial"/>
          <w:sz w:val="15"/>
          <w:szCs w:val="15"/>
          <w:color w:val="auto"/>
        </w:rPr>
        <w:t>”). Employee shall use the Company Car in accordance with BioLine’s car policy then in effect, as well as the requirements of the leasing company and the insurance company. BioLine shall bear the cost of maintenance and repairs, and any insurance deductibles for the Company Car, in accordance with its policies and the Car Agreement which will be signed between Employee and BioLine. Employee shall be liable for paying for fuel, as well as any parking and/or traffic fines received in connection herewith, and for any damages and expenses in case of negligent use of the Company Car and/or use of the Company Car not in accordance with BioLine’s applicable policies. All taxes arising out of the use of the Company Car shall be borne by Employee, and Employee acknowledges that such taxes will be withheld from Employee’s salary as required by law. Employee further acknowledges that the tax treatment of the benefit through use of the Company Car is subject to change, and any economic impact resulting from such changes will be in Employee’s sole responsibility. For the avoidance of doubt, Employee agrees and confirms that the cost of the leasing and/or the cost of the use of the Company Car shall not constitute a component of Employee’s Salary, including with regard to social benefits and/or any other right to which Employee is entitled by virtue of this Agreement or under law. The Employee shall be required to follow rules and regulations as to the usage of the Company Car as described in the “Company Car Lease Agreement” or “Car Addendum” provided to the Employee prior to receipt of the Company Car. The Company Car will remain in BioLine’s ownership, and will be returned to BioLine immediately upon termination of Employee’s employment with BioLine for any reason, as of the date of termination. The Employee shall not be entitled to use a Company Car during unpaid leaves or absences, unless specifically approved by BioLine in writing.</w:t>
      </w:r>
    </w:p>
    <w:p>
      <w:pPr>
        <w:spacing w:after="0" w:line="184" w:lineRule="exact"/>
        <w:rPr>
          <w:sz w:val="20"/>
          <w:szCs w:val="20"/>
          <w:color w:val="auto"/>
        </w:rPr>
      </w:pPr>
    </w:p>
    <w:p>
      <w:pPr>
        <w:jc w:val="both"/>
        <w:ind w:left="283" w:right="20" w:hanging="283"/>
        <w:spacing w:after="0" w:line="265" w:lineRule="auto"/>
        <w:tabs>
          <w:tab w:leader="none" w:pos="283"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t xml:space="preserve">BioLine Property. </w:t>
      </w:r>
      <w:r>
        <w:rPr>
          <w:rFonts w:ascii="Arial" w:cs="Arial" w:eastAsia="Arial" w:hAnsi="Arial"/>
          <w:sz w:val="16"/>
          <w:szCs w:val="16"/>
          <w:color w:val="auto"/>
        </w:rPr>
        <w:t>Employee acknowledges and agrees that the computer, telephone, email account and any other device providing for transmittal and storage of</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which are placed at Employee’s disposal by BioLine during the Employment Period are and shall remain the property of BioLine. Employee confirms its understanding that BioLine regularly reviews email correspondence and other information transmitted and stored by using the equipment stated above, and BioLine reserves the right to copy, store, present to others, and use such information.</w:t>
      </w:r>
    </w:p>
    <w:p>
      <w:pPr>
        <w:spacing w:after="0" w:line="185" w:lineRule="exact"/>
        <w:rPr>
          <w:rFonts w:ascii="Arial" w:cs="Arial" w:eastAsia="Arial" w:hAnsi="Arial"/>
          <w:sz w:val="16"/>
          <w:szCs w:val="16"/>
          <w:color w:val="auto"/>
        </w:rPr>
      </w:pPr>
    </w:p>
    <w:p>
      <w:pPr>
        <w:jc w:val="both"/>
        <w:ind w:left="283" w:right="20" w:hanging="283"/>
        <w:spacing w:after="0" w:line="271" w:lineRule="auto"/>
        <w:tabs>
          <w:tab w:leader="none" w:pos="283"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Employee shall be reimbursed for all direct business expenses borne by Employee, in accordance with BioLine’s policies as determined by BioLine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provided that such expenses were approved by Employee’s Superior in advance. As a condition to reimbursement, Employee shall be required to provide BioLine with all invoices, receipts and other evidence of expenditure as may be reasonably required by BioLine from time to time.</w:t>
      </w:r>
    </w:p>
    <w:p>
      <w:pPr>
        <w:spacing w:after="0" w:line="180" w:lineRule="exact"/>
        <w:rPr>
          <w:rFonts w:ascii="Arial" w:cs="Arial" w:eastAsia="Arial" w:hAnsi="Arial"/>
          <w:sz w:val="16"/>
          <w:szCs w:val="16"/>
          <w:color w:val="auto"/>
        </w:rPr>
      </w:pPr>
    </w:p>
    <w:p>
      <w:pPr>
        <w:jc w:val="both"/>
        <w:ind w:left="283" w:right="20" w:hanging="283"/>
        <w:spacing w:after="0" w:line="364" w:lineRule="auto"/>
        <w:tabs>
          <w:tab w:leader="none" w:pos="283" w:val="left"/>
        </w:tabs>
        <w:numPr>
          <w:ilvl w:val="0"/>
          <w:numId w:val="196"/>
        </w:numPr>
        <w:rPr>
          <w:rFonts w:ascii="Arial" w:cs="Arial" w:eastAsia="Arial" w:hAnsi="Arial"/>
          <w:sz w:val="14"/>
          <w:szCs w:val="14"/>
          <w:color w:val="auto"/>
        </w:rPr>
      </w:pPr>
      <w:r>
        <w:rPr>
          <w:rFonts w:ascii="Arial" w:cs="Arial" w:eastAsia="Arial" w:hAnsi="Arial"/>
          <w:sz w:val="14"/>
          <w:szCs w:val="14"/>
          <w:b w:val="1"/>
          <w:bCs w:val="1"/>
          <w:color w:val="auto"/>
        </w:rPr>
        <w:t xml:space="preserve">Options. </w:t>
      </w:r>
      <w:r>
        <w:rPr>
          <w:rFonts w:ascii="Arial" w:cs="Arial" w:eastAsia="Arial" w:hAnsi="Arial"/>
          <w:sz w:val="14"/>
          <w:szCs w:val="14"/>
          <w:color w:val="auto"/>
        </w:rPr>
        <w:t>Subject to the approval of the BioLine Board of Directors, Employee shall be granted options to purchase Ordinary Shares par value NIS 0.01 each of BioLine in</w:t>
      </w:r>
      <w:r>
        <w:rPr>
          <w:rFonts w:ascii="Arial" w:cs="Arial" w:eastAsia="Arial" w:hAnsi="Arial"/>
          <w:sz w:val="14"/>
          <w:szCs w:val="14"/>
          <w:b w:val="1"/>
          <w:bCs w:val="1"/>
          <w:color w:val="auto"/>
        </w:rPr>
        <w:t xml:space="preserve"> </w:t>
      </w:r>
      <w:r>
        <w:rPr>
          <w:rFonts w:ascii="Arial" w:cs="Arial" w:eastAsia="Arial" w:hAnsi="Arial"/>
          <w:sz w:val="14"/>
          <w:szCs w:val="14"/>
          <w:color w:val="auto"/>
        </w:rPr>
        <w:t>the amount set forth in Exhibit A, to be granted pursuant to, and in accordance with, the terms and conditions of the share option plan adopted by BioLine (the “</w:t>
      </w:r>
      <w:r>
        <w:rPr>
          <w:rFonts w:ascii="Arial" w:cs="Arial" w:eastAsia="Arial" w:hAnsi="Arial"/>
          <w:sz w:val="14"/>
          <w:szCs w:val="14"/>
          <w:b w:val="1"/>
          <w:bCs w:val="1"/>
          <w:color w:val="auto"/>
        </w:rPr>
        <w:t>Options</w:t>
      </w:r>
      <w:r>
        <w:rPr>
          <w:rFonts w:ascii="Arial" w:cs="Arial" w:eastAsia="Arial" w:hAnsi="Arial"/>
          <w:sz w:val="14"/>
          <w:szCs w:val="14"/>
          <w:color w:val="auto"/>
        </w:rPr>
        <w:t>”).</w:t>
      </w:r>
    </w:p>
    <w:p>
      <w:pPr>
        <w:spacing w:after="0" w:line="200" w:lineRule="exact"/>
        <w:rPr>
          <w:rFonts w:ascii="Arial" w:cs="Arial" w:eastAsia="Arial" w:hAnsi="Arial"/>
          <w:sz w:val="14"/>
          <w:szCs w:val="14"/>
          <w:color w:val="auto"/>
        </w:rPr>
      </w:pPr>
    </w:p>
    <w:p>
      <w:pPr>
        <w:spacing w:after="0" w:line="374" w:lineRule="exact"/>
        <w:rPr>
          <w:rFonts w:ascii="Arial" w:cs="Arial" w:eastAsia="Arial" w:hAnsi="Arial"/>
          <w:sz w:val="14"/>
          <w:szCs w:val="14"/>
          <w:color w:val="auto"/>
        </w:rPr>
      </w:pPr>
    </w:p>
    <w:p>
      <w:pPr>
        <w:ind w:left="10583" w:hanging="219"/>
        <w:spacing w:after="0"/>
        <w:tabs>
          <w:tab w:leader="none" w:pos="10583" w:val="left"/>
        </w:tabs>
        <w:numPr>
          <w:ilvl w:val="1"/>
          <w:numId w:val="196"/>
        </w:numPr>
        <w:rPr>
          <w:rFonts w:ascii="Arial" w:cs="Arial" w:eastAsia="Arial" w:hAnsi="Arial"/>
          <w:sz w:val="16"/>
          <w:szCs w:val="16"/>
          <w:color w:val="auto"/>
        </w:rPr>
      </w:pPr>
      <w:r>
        <w:rPr>
          <w:rFonts w:ascii="Arial" w:cs="Arial" w:eastAsia="Arial" w:hAnsi="Arial"/>
          <w:sz w:val="16"/>
          <w:szCs w:val="16"/>
          <w:color w:val="auto"/>
        </w:rPr>
        <w: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-394335</wp:posOffset>
            </wp:positionV>
            <wp:extent cx="1546225" cy="425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46225" cy="425450"/>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5995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48" w:right="219" w:bottom="1440" w:gutter="0" w:footer="0" w:header="0"/>
        </w:sectPr>
      </w:pPr>
    </w:p>
    <w:bookmarkStart w:id="246" w:name="page247"/>
    <w:bookmarkEnd w:id="246"/>
    <w:p>
      <w:pPr>
        <w:ind w:left="283" w:hanging="283"/>
        <w:spacing w:after="0"/>
        <w:tabs>
          <w:tab w:leader="none" w:pos="283"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General.</w:t>
      </w:r>
    </w:p>
    <w:p>
      <w:pPr>
        <w:spacing w:after="0" w:line="233" w:lineRule="exact"/>
        <w:rPr>
          <w:rFonts w:ascii="Arial" w:cs="Arial" w:eastAsia="Arial" w:hAnsi="Arial"/>
          <w:sz w:val="16"/>
          <w:szCs w:val="16"/>
          <w:color w:val="auto"/>
        </w:rPr>
      </w:pPr>
    </w:p>
    <w:p>
      <w:pPr>
        <w:ind w:left="703" w:right="20" w:hanging="402"/>
        <w:spacing w:after="0" w:line="324" w:lineRule="auto"/>
        <w:rPr>
          <w:rFonts w:ascii="Arial" w:cs="Arial" w:eastAsia="Arial" w:hAnsi="Arial"/>
          <w:sz w:val="16"/>
          <w:szCs w:val="16"/>
          <w:color w:val="auto"/>
        </w:rPr>
      </w:pPr>
      <w:r>
        <w:rPr>
          <w:rFonts w:ascii="Arial" w:cs="Arial" w:eastAsia="Arial" w:hAnsi="Arial"/>
          <w:sz w:val="14"/>
          <w:szCs w:val="14"/>
          <w:color w:val="auto"/>
        </w:rPr>
        <w:t>11.1. The laws of the State of Israel shall apply to this Agreement and the sole and exclusive place of jurisdiction in any matter arising out of or in connection with this Agreement shall be the Jerusalem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w:t>
      </w:r>
    </w:p>
    <w:p>
      <w:pPr>
        <w:spacing w:after="0" w:line="151" w:lineRule="exact"/>
        <w:rPr>
          <w:rFonts w:ascii="Arial" w:cs="Arial" w:eastAsia="Arial" w:hAnsi="Arial"/>
          <w:sz w:val="16"/>
          <w:szCs w:val="16"/>
          <w:color w:val="auto"/>
        </w:rPr>
      </w:pPr>
    </w:p>
    <w:p>
      <w:pPr>
        <w:ind w:left="703" w:hanging="402"/>
        <w:spacing w:after="0" w:line="260" w:lineRule="auto"/>
        <w:rPr>
          <w:rFonts w:ascii="Arial" w:cs="Arial" w:eastAsia="Arial" w:hAnsi="Arial"/>
          <w:sz w:val="16"/>
          <w:szCs w:val="16"/>
          <w:color w:val="auto"/>
        </w:rPr>
      </w:pPr>
      <w:r>
        <w:rPr>
          <w:rFonts w:ascii="Arial" w:cs="Arial" w:eastAsia="Arial" w:hAnsi="Arial"/>
          <w:sz w:val="16"/>
          <w:szCs w:val="16"/>
          <w:color w:val="auto"/>
        </w:rPr>
        <w:t>11.2. This Agreement constitutes the entire agreement and understanding between the parties with respect to the subject matter hereof, and supersedes all prior written or oral agreements with respect thereto. This Agreement may not be modified except by written instrument signed by a duly authorized representative of each party hereto.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In the event that it shall be determined under any applicable law that a certain provision set forth in this Agreement is invalid or unenforceable, such determination shall not affect the remaining provisions of this Agreement.</w:t>
      </w:r>
    </w:p>
    <w:p>
      <w:pPr>
        <w:spacing w:after="0" w:line="192" w:lineRule="exact"/>
        <w:rPr>
          <w:rFonts w:ascii="Arial" w:cs="Arial" w:eastAsia="Arial" w:hAnsi="Arial"/>
          <w:sz w:val="16"/>
          <w:szCs w:val="16"/>
          <w:color w:val="auto"/>
        </w:rPr>
      </w:pPr>
    </w:p>
    <w:p>
      <w:pPr>
        <w:ind w:left="703" w:right="20" w:hanging="402"/>
        <w:spacing w:after="0" w:line="294" w:lineRule="auto"/>
        <w:rPr>
          <w:rFonts w:ascii="Arial" w:cs="Arial" w:eastAsia="Arial" w:hAnsi="Arial"/>
          <w:sz w:val="16"/>
          <w:szCs w:val="16"/>
          <w:color w:val="auto"/>
        </w:rPr>
      </w:pPr>
      <w:r>
        <w:rPr>
          <w:rFonts w:ascii="Arial" w:cs="Arial" w:eastAsia="Arial" w:hAnsi="Arial"/>
          <w:sz w:val="15"/>
          <w:szCs w:val="15"/>
          <w:color w:val="auto"/>
        </w:rPr>
        <w:t>11.3. This Agreement may be assigned by BioLine. Employee may not assign or delegate his/her duties under this Agreement without the prior written consent of BioLine. This agreement shall be binding upon the heirs, successors and permitted assignees of Employee. The provisions of this Agreement shall survive the termination of the Employment Period and the assignment of this Agreement by BioLine to any successor or other assignee.</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WITNESS WHEREOF, the parties have executed this Agreement as of the date first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138430</wp:posOffset>
            </wp:positionV>
            <wp:extent cx="1159510" cy="811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59510" cy="81153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710565</wp:posOffset>
            </wp:positionV>
            <wp:extent cx="850265" cy="2393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026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412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BioLineRx Ltd.</w:t>
            </w:r>
          </w:p>
        </w:tc>
        <w:tc>
          <w:tcPr>
            <w:tcW w:w="2280" w:type="dxa"/>
            <w:vAlign w:val="bottom"/>
          </w:tcPr>
          <w:p>
            <w:pPr>
              <w:spacing w:after="0"/>
              <w:rPr>
                <w:sz w:val="17"/>
                <w:szCs w:val="17"/>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Employee</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Philip Serlin</w:t>
            </w:r>
          </w:p>
        </w:tc>
        <w:tc>
          <w:tcPr>
            <w:tcW w:w="2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0" w:type="dxa"/>
            <w:vAlign w:val="bottom"/>
            <w:vMerge w:val="restart"/>
          </w:tcPr>
          <w:p>
            <w:pPr>
              <w:spacing w:after="0"/>
              <w:rPr>
                <w:sz w:val="20"/>
                <w:szCs w:val="20"/>
                <w:color w:val="auto"/>
              </w:rPr>
            </w:pPr>
            <w:r>
              <w:rPr>
                <w:rFonts w:ascii="Arial" w:cs="Arial" w:eastAsia="Arial" w:hAnsi="Arial"/>
                <w:sz w:val="16"/>
                <w:szCs w:val="16"/>
                <w:color w:val="auto"/>
                <w:w w:val="97"/>
              </w:rPr>
              <w:t>Title:</w:t>
            </w:r>
          </w:p>
        </w:tc>
        <w:tc>
          <w:tcPr>
            <w:tcW w:w="120" w:type="dxa"/>
            <w:vAlign w:val="bottom"/>
          </w:tcPr>
          <w:p>
            <w:pPr>
              <w:spacing w:after="0"/>
              <w:rPr>
                <w:sz w:val="15"/>
                <w:szCs w:val="15"/>
                <w:color w:val="auto"/>
              </w:rPr>
            </w:pPr>
          </w:p>
        </w:tc>
        <w:tc>
          <w:tcPr>
            <w:tcW w:w="3640" w:type="dxa"/>
            <w:vAlign w:val="bottom"/>
          </w:tcPr>
          <w:p>
            <w:pPr>
              <w:ind w:left="140"/>
              <w:spacing w:after="0" w:line="182" w:lineRule="exact"/>
              <w:rPr>
                <w:sz w:val="20"/>
                <w:szCs w:val="20"/>
                <w:color w:val="auto"/>
              </w:rPr>
            </w:pPr>
            <w:r>
              <w:rPr>
                <w:rFonts w:ascii="Arial" w:cs="Arial" w:eastAsia="Arial" w:hAnsi="Arial"/>
                <w:sz w:val="16"/>
                <w:szCs w:val="16"/>
                <w:color w:val="auto"/>
              </w:rPr>
              <w:t>Chief Financial Officer</w:t>
            </w:r>
          </w:p>
        </w:tc>
        <w:tc>
          <w:tcPr>
            <w:tcW w:w="22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Arial" w:cs="Arial" w:eastAsia="Arial" w:hAnsi="Arial"/>
                <w:sz w:val="16"/>
                <w:szCs w:val="16"/>
                <w:color w:val="auto"/>
              </w:rPr>
              <w:t>Name: Mali Zeevi</w:t>
            </w:r>
          </w:p>
        </w:tc>
        <w:tc>
          <w:tcPr>
            <w:tcW w:w="0" w:type="dxa"/>
            <w:vAlign w:val="bottom"/>
          </w:tcPr>
          <w:p>
            <w:pPr>
              <w:spacing w:after="0"/>
              <w:rPr>
                <w:sz w:val="1"/>
                <w:szCs w:val="1"/>
                <w:color w:val="auto"/>
              </w:rPr>
            </w:pPr>
          </w:p>
        </w:tc>
      </w:tr>
      <w:tr>
        <w:trPr>
          <w:trHeight w:val="109"/>
        </w:trPr>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40" w:type="dxa"/>
            <w:vAlign w:val="bottom"/>
            <w:vMerge w:val="restart"/>
          </w:tcPr>
          <w:p>
            <w:pPr>
              <w:ind w:left="140"/>
              <w:spacing w:after="0"/>
              <w:rPr>
                <w:sz w:val="20"/>
                <w:szCs w:val="20"/>
                <w:color w:val="auto"/>
              </w:rPr>
            </w:pPr>
            <w:r>
              <w:rPr>
                <w:rFonts w:ascii="Arial" w:cs="Arial" w:eastAsia="Arial" w:hAnsi="Arial"/>
                <w:sz w:val="16"/>
                <w:szCs w:val="16"/>
                <w:color w:val="auto"/>
              </w:rPr>
              <w:t>BioLineRx LTD.</w:t>
            </w:r>
          </w:p>
        </w:tc>
        <w:tc>
          <w:tcPr>
            <w:tcW w:w="228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Borders>
              <w:bottom w:val="single" w:sz="8" w:color="auto"/>
            </w:tcBorders>
            <w:vMerge w:val="continue"/>
          </w:tcPr>
          <w:p>
            <w:pPr>
              <w:spacing w:after="0"/>
              <w:rPr>
                <w:sz w:val="8"/>
                <w:szCs w:val="8"/>
                <w:color w:val="auto"/>
              </w:rPr>
            </w:pPr>
          </w:p>
        </w:tc>
        <w:tc>
          <w:tcPr>
            <w:tcW w:w="22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123825</wp:posOffset>
            </wp:positionV>
            <wp:extent cx="703580" cy="425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3580"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9640"/>
        <w:spacing w:after="0"/>
        <w:rPr>
          <w:sz w:val="20"/>
          <w:szCs w:val="20"/>
          <w:color w:val="auto"/>
        </w:rPr>
      </w:pPr>
      <w:r>
        <w:rPr>
          <w:rFonts w:ascii="Arial" w:cs="Arial" w:eastAsia="Arial" w:hAnsi="Arial"/>
          <w:sz w:val="16"/>
          <w:szCs w:val="16"/>
          <w:color w:val="auto"/>
        </w:rPr>
        <w:t>M.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14605</wp:posOffset>
            </wp:positionV>
            <wp:extent cx="70358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3580" cy="15240"/>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5995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43" w:right="219" w:bottom="1440" w:gutter="0" w:footer="0" w:header="0"/>
        </w:sectPr>
      </w:pPr>
    </w:p>
    <w:bookmarkStart w:id="247" w:name="page248"/>
    <w:bookmarkEnd w:id="247"/>
    <w:tbl>
      <w:tblPr>
        <w:tblLayout w:type="fixed"/>
        <w:tblInd w:w="10" w:type="dxa"/>
        <w:tblCellMar>
          <w:top w:w="0" w:type="dxa"/>
          <w:left w:w="0" w:type="dxa"/>
          <w:bottom w:w="0" w:type="dxa"/>
          <w:right w:w="0" w:type="dxa"/>
        </w:tblCellMar>
      </w:tblPr>
      <w:tr>
        <w:trPr>
          <w:trHeight w:val="211"/>
        </w:trPr>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200" w:type="dxa"/>
            <w:vAlign w:val="bottom"/>
            <w:gridSpan w:val="3"/>
          </w:tcPr>
          <w:p>
            <w:pPr>
              <w:jc w:val="center"/>
              <w:ind w:right="1819"/>
              <w:spacing w:after="0"/>
              <w:rPr>
                <w:sz w:val="20"/>
                <w:szCs w:val="20"/>
                <w:color w:val="auto"/>
              </w:rPr>
            </w:pPr>
            <w:r>
              <w:rPr>
                <w:rFonts w:ascii="Arial" w:cs="Arial" w:eastAsia="Arial" w:hAnsi="Arial"/>
                <w:sz w:val="16"/>
                <w:szCs w:val="16"/>
                <w:b w:val="1"/>
                <w:bCs w:val="1"/>
                <w:color w:val="auto"/>
                <w:w w:val="95"/>
              </w:rPr>
              <w:t>Exhibit A</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02"/>
        </w:trPr>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200" w:type="dxa"/>
            <w:vAlign w:val="bottom"/>
            <w:gridSpan w:val="3"/>
          </w:tcPr>
          <w:p>
            <w:pPr>
              <w:jc w:val="center"/>
              <w:ind w:right="1799"/>
              <w:spacing w:after="0"/>
              <w:rPr>
                <w:sz w:val="20"/>
                <w:szCs w:val="20"/>
                <w:color w:val="auto"/>
              </w:rPr>
            </w:pPr>
            <w:r>
              <w:rPr>
                <w:rFonts w:ascii="Arial" w:cs="Arial" w:eastAsia="Arial" w:hAnsi="Arial"/>
                <w:sz w:val="16"/>
                <w:szCs w:val="16"/>
                <w:b w:val="1"/>
                <w:bCs w:val="1"/>
                <w:color w:val="auto"/>
                <w:w w:val="92"/>
              </w:rPr>
              <w:t>Particulars of Employment</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6"/>
        </w:trPr>
        <w:tc>
          <w:tcPr>
            <w:tcW w:w="7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r>
      <w:tr>
        <w:trPr>
          <w:trHeight w:val="24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2840" w:type="dxa"/>
            <w:vAlign w:val="bottom"/>
          </w:tcPr>
          <w:p>
            <w:pPr>
              <w:ind w:left="40"/>
              <w:spacing w:after="0"/>
              <w:rPr>
                <w:sz w:val="20"/>
                <w:szCs w:val="20"/>
                <w:color w:val="auto"/>
              </w:rPr>
            </w:pPr>
            <w:r>
              <w:rPr>
                <w:rFonts w:ascii="Arial" w:cs="Arial" w:eastAsia="Arial" w:hAnsi="Arial"/>
                <w:sz w:val="16"/>
                <w:szCs w:val="16"/>
                <w:color w:val="auto"/>
              </w:rPr>
              <w:t>Name of Employee:</w:t>
            </w:r>
          </w:p>
        </w:tc>
        <w:tc>
          <w:tcPr>
            <w:tcW w:w="2500" w:type="dxa"/>
            <w:vAlign w:val="bottom"/>
            <w:tcBorders>
              <w:right w:val="single" w:sz="8" w:color="auto"/>
            </w:tcBorders>
          </w:tcPr>
          <w:p>
            <w:pPr>
              <w:spacing w:after="0"/>
              <w:rPr>
                <w:sz w:val="21"/>
                <w:szCs w:val="21"/>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Mali Zeevi</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4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2840" w:type="dxa"/>
            <w:vAlign w:val="bottom"/>
          </w:tcPr>
          <w:p>
            <w:pPr>
              <w:ind w:left="40"/>
              <w:spacing w:after="0"/>
              <w:rPr>
                <w:sz w:val="20"/>
                <w:szCs w:val="20"/>
                <w:color w:val="auto"/>
              </w:rPr>
            </w:pPr>
            <w:r>
              <w:rPr>
                <w:rFonts w:ascii="Arial" w:cs="Arial" w:eastAsia="Arial" w:hAnsi="Arial"/>
                <w:sz w:val="16"/>
                <w:szCs w:val="16"/>
                <w:color w:val="auto"/>
              </w:rPr>
              <w:t>ID No. of Employee:</w:t>
            </w:r>
          </w:p>
        </w:tc>
        <w:tc>
          <w:tcPr>
            <w:tcW w:w="2500" w:type="dxa"/>
            <w:vAlign w:val="bottom"/>
            <w:tcBorders>
              <w:right w:val="single" w:sz="8" w:color="auto"/>
            </w:tcBorders>
          </w:tcPr>
          <w:p>
            <w:pPr>
              <w:spacing w:after="0"/>
              <w:rPr>
                <w:sz w:val="21"/>
                <w:szCs w:val="21"/>
                <w:color w:val="auto"/>
              </w:rPr>
            </w:pPr>
          </w:p>
        </w:tc>
        <w:tc>
          <w:tcPr>
            <w:tcW w:w="2580" w:type="dxa"/>
            <w:vAlign w:val="bottom"/>
          </w:tcPr>
          <w:p>
            <w:pPr>
              <w:ind w:left="40"/>
              <w:spacing w:after="0"/>
              <w:rPr>
                <w:sz w:val="20"/>
                <w:szCs w:val="20"/>
                <w:color w:val="auto"/>
              </w:rPr>
            </w:pPr>
            <w:r>
              <w:rPr>
                <w:rFonts w:ascii="Arial" w:cs="Arial" w:eastAsia="Arial" w:hAnsi="Arial"/>
                <w:sz w:val="16"/>
                <w:szCs w:val="16"/>
                <w:color w:val="auto"/>
              </w:rPr>
              <w:t>032321929</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4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w:t>
            </w:r>
          </w:p>
        </w:tc>
        <w:tc>
          <w:tcPr>
            <w:tcW w:w="2840" w:type="dxa"/>
            <w:vAlign w:val="bottom"/>
          </w:tcPr>
          <w:p>
            <w:pPr>
              <w:ind w:left="40"/>
              <w:spacing w:after="0"/>
              <w:rPr>
                <w:sz w:val="20"/>
                <w:szCs w:val="20"/>
                <w:color w:val="auto"/>
              </w:rPr>
            </w:pPr>
            <w:r>
              <w:rPr>
                <w:rFonts w:ascii="Arial" w:cs="Arial" w:eastAsia="Arial" w:hAnsi="Arial"/>
                <w:sz w:val="16"/>
                <w:szCs w:val="16"/>
                <w:color w:val="auto"/>
              </w:rPr>
              <w:t>Address of Employee:</w:t>
            </w:r>
          </w:p>
        </w:tc>
        <w:tc>
          <w:tcPr>
            <w:tcW w:w="2500" w:type="dxa"/>
            <w:vAlign w:val="bottom"/>
            <w:tcBorders>
              <w:right w:val="single" w:sz="8" w:color="auto"/>
            </w:tcBorders>
          </w:tcPr>
          <w:p>
            <w:pPr>
              <w:spacing w:after="0"/>
              <w:rPr>
                <w:sz w:val="21"/>
                <w:szCs w:val="21"/>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1a Peduim Street, Hod Hasharon</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4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w:t>
            </w:r>
          </w:p>
        </w:tc>
        <w:tc>
          <w:tcPr>
            <w:tcW w:w="2840" w:type="dxa"/>
            <w:vAlign w:val="bottom"/>
          </w:tcPr>
          <w:p>
            <w:pPr>
              <w:ind w:left="40"/>
              <w:spacing w:after="0"/>
              <w:rPr>
                <w:sz w:val="20"/>
                <w:szCs w:val="20"/>
                <w:color w:val="auto"/>
              </w:rPr>
            </w:pPr>
            <w:r>
              <w:rPr>
                <w:rFonts w:ascii="Arial" w:cs="Arial" w:eastAsia="Arial" w:hAnsi="Arial"/>
                <w:sz w:val="16"/>
                <w:szCs w:val="16"/>
                <w:color w:val="auto"/>
              </w:rPr>
              <w:t>Position in BioLine:</w:t>
            </w:r>
          </w:p>
        </w:tc>
        <w:tc>
          <w:tcPr>
            <w:tcW w:w="2500" w:type="dxa"/>
            <w:vAlign w:val="bottom"/>
            <w:tcBorders>
              <w:right w:val="single" w:sz="8" w:color="auto"/>
            </w:tcBorders>
          </w:tcPr>
          <w:p>
            <w:pPr>
              <w:spacing w:after="0"/>
              <w:rPr>
                <w:sz w:val="21"/>
                <w:szCs w:val="21"/>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Manager of Financial Reporting</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84"/>
        </w:trPr>
        <w:tc>
          <w:tcPr>
            <w:tcW w:w="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Commencement Date:</w:t>
            </w:r>
          </w:p>
        </w:tc>
        <w:tc>
          <w:tcPr>
            <w:tcW w:w="25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tcBorders>
            <w:gridSpan w:val="2"/>
          </w:tcPr>
          <w:p>
            <w:pPr>
              <w:ind w:left="40"/>
              <w:spacing w:after="0" w:line="280" w:lineRule="exact"/>
              <w:rPr>
                <w:sz w:val="20"/>
                <w:szCs w:val="20"/>
                <w:color w:val="auto"/>
              </w:rPr>
            </w:pPr>
            <w:r>
              <w:rPr>
                <w:rFonts w:ascii="Arial" w:cs="Arial" w:eastAsia="Arial" w:hAnsi="Arial"/>
                <w:sz w:val="16"/>
                <w:szCs w:val="16"/>
                <w:color w:val="auto"/>
              </w:rPr>
              <w:t>November 1</w:t>
            </w:r>
            <w:r>
              <w:rPr>
                <w:rFonts w:ascii="Arial" w:cs="Arial" w:eastAsia="Arial" w:hAnsi="Arial"/>
                <w:sz w:val="27"/>
                <w:szCs w:val="27"/>
                <w:color w:val="auto"/>
                <w:vertAlign w:val="superscript"/>
              </w:rPr>
              <w:t>st</w:t>
            </w:r>
            <w:r>
              <w:rPr>
                <w:rFonts w:ascii="Arial" w:cs="Arial" w:eastAsia="Arial" w:hAnsi="Arial"/>
                <w:sz w:val="16"/>
                <w:szCs w:val="16"/>
                <w:color w:val="auto"/>
              </w:rPr>
              <w:t>, 2009</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24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w:t>
            </w:r>
          </w:p>
        </w:tc>
        <w:tc>
          <w:tcPr>
            <w:tcW w:w="2840" w:type="dxa"/>
            <w:vAlign w:val="bottom"/>
          </w:tcPr>
          <w:p>
            <w:pPr>
              <w:ind w:left="40"/>
              <w:spacing w:after="0"/>
              <w:rPr>
                <w:sz w:val="20"/>
                <w:szCs w:val="20"/>
                <w:color w:val="auto"/>
              </w:rPr>
            </w:pPr>
            <w:r>
              <w:rPr>
                <w:rFonts w:ascii="Arial" w:cs="Arial" w:eastAsia="Arial" w:hAnsi="Arial"/>
                <w:sz w:val="16"/>
                <w:szCs w:val="16"/>
                <w:color w:val="auto"/>
              </w:rPr>
              <w:t>Notice Period:</w:t>
            </w:r>
          </w:p>
        </w:tc>
        <w:tc>
          <w:tcPr>
            <w:tcW w:w="2500" w:type="dxa"/>
            <w:vAlign w:val="bottom"/>
            <w:tcBorders>
              <w:right w:val="single" w:sz="8" w:color="auto"/>
            </w:tcBorders>
          </w:tcPr>
          <w:p>
            <w:pPr>
              <w:spacing w:after="0"/>
              <w:rPr>
                <w:sz w:val="21"/>
                <w:szCs w:val="21"/>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a.   During the Initial Period - 14 days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207"/>
        </w:trPr>
        <w:tc>
          <w:tcPr>
            <w:tcW w:w="720" w:type="dxa"/>
            <w:vAlign w:val="bottom"/>
            <w:tcBorders>
              <w:left w:val="single" w:sz="8" w:color="auto"/>
              <w:right w:val="single" w:sz="8" w:color="auto"/>
            </w:tcBorders>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b.   Following the Initial Period - 30 days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19"/>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7.</w:t>
            </w:r>
          </w:p>
        </w:tc>
        <w:tc>
          <w:tcPr>
            <w:tcW w:w="2840" w:type="dxa"/>
            <w:vAlign w:val="bottom"/>
          </w:tcPr>
          <w:p>
            <w:pPr>
              <w:ind w:left="40"/>
              <w:spacing w:after="0"/>
              <w:rPr>
                <w:sz w:val="20"/>
                <w:szCs w:val="20"/>
                <w:color w:val="auto"/>
              </w:rPr>
            </w:pPr>
            <w:r>
              <w:rPr>
                <w:rFonts w:ascii="Arial" w:cs="Arial" w:eastAsia="Arial" w:hAnsi="Arial"/>
                <w:sz w:val="16"/>
                <w:szCs w:val="16"/>
                <w:color w:val="auto"/>
              </w:rPr>
              <w:t>Base Salary:</w:t>
            </w:r>
          </w:p>
        </w:tc>
        <w:tc>
          <w:tcPr>
            <w:tcW w:w="2500" w:type="dxa"/>
            <w:vAlign w:val="bottom"/>
            <w:tcBorders>
              <w:right w:val="single" w:sz="8" w:color="auto"/>
            </w:tcBorders>
          </w:tcPr>
          <w:p>
            <w:pPr>
              <w:spacing w:after="0"/>
              <w:rPr>
                <w:sz w:val="19"/>
                <w:szCs w:val="19"/>
                <w:color w:val="auto"/>
              </w:rPr>
            </w:pPr>
          </w:p>
        </w:tc>
        <w:tc>
          <w:tcPr>
            <w:tcW w:w="538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17,250 NIS (21,000 NIS upon the earlier of reorganization of the Finance</w:t>
            </w: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5380" w:type="dxa"/>
            <w:vAlign w:val="bottom"/>
            <w:tcBorders>
              <w:right w:val="single" w:sz="8" w:color="auto"/>
            </w:tcBorders>
            <w:gridSpan w:val="5"/>
          </w:tcPr>
          <w:p>
            <w:pPr>
              <w:ind w:left="40"/>
              <w:spacing w:after="0" w:line="183" w:lineRule="exact"/>
              <w:rPr>
                <w:sz w:val="20"/>
                <w:szCs w:val="20"/>
                <w:color w:val="auto"/>
              </w:rPr>
            </w:pPr>
            <w:r>
              <w:rPr>
                <w:rFonts w:ascii="Arial" w:cs="Arial" w:eastAsia="Arial" w:hAnsi="Arial"/>
                <w:sz w:val="16"/>
                <w:szCs w:val="16"/>
                <w:color w:val="auto"/>
                <w:w w:val="97"/>
              </w:rPr>
              <w:t>Department in a manner mutually acceptable to the Employee and CFO, or 6</w:t>
            </w:r>
          </w:p>
        </w:tc>
      </w:tr>
      <w:tr>
        <w:trPr>
          <w:trHeight w:val="207"/>
        </w:trPr>
        <w:tc>
          <w:tcPr>
            <w:tcW w:w="720" w:type="dxa"/>
            <w:vAlign w:val="bottom"/>
            <w:tcBorders>
              <w:left w:val="single" w:sz="8" w:color="auto"/>
              <w:right w:val="single" w:sz="8" w:color="auto"/>
            </w:tcBorders>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w w:val="94"/>
              </w:rPr>
              <w:t>months from the Commencement Date, as applicable)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19"/>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8.</w:t>
            </w:r>
          </w:p>
        </w:tc>
        <w:tc>
          <w:tcPr>
            <w:tcW w:w="2840" w:type="dxa"/>
            <w:vAlign w:val="bottom"/>
          </w:tcPr>
          <w:p>
            <w:pPr>
              <w:ind w:left="40"/>
              <w:spacing w:after="0"/>
              <w:rPr>
                <w:sz w:val="20"/>
                <w:szCs w:val="20"/>
                <w:color w:val="auto"/>
              </w:rPr>
            </w:pPr>
            <w:r>
              <w:rPr>
                <w:rFonts w:ascii="Arial" w:cs="Arial" w:eastAsia="Arial" w:hAnsi="Arial"/>
                <w:sz w:val="16"/>
                <w:szCs w:val="16"/>
                <w:color w:val="auto"/>
              </w:rPr>
              <w:t>Overtime Payment:</w:t>
            </w:r>
          </w:p>
        </w:tc>
        <w:tc>
          <w:tcPr>
            <w:tcW w:w="2500" w:type="dxa"/>
            <w:vAlign w:val="bottom"/>
            <w:tcBorders>
              <w:right w:val="single" w:sz="8" w:color="auto"/>
            </w:tcBorders>
          </w:tcPr>
          <w:p>
            <w:pPr>
              <w:spacing w:after="0"/>
              <w:rPr>
                <w:sz w:val="19"/>
                <w:szCs w:val="19"/>
                <w:color w:val="auto"/>
              </w:rPr>
            </w:pPr>
          </w:p>
        </w:tc>
        <w:tc>
          <w:tcPr>
            <w:tcW w:w="5380" w:type="dxa"/>
            <w:vAlign w:val="bottom"/>
            <w:tcBorders>
              <w:right w:val="single" w:sz="8" w:color="auto"/>
            </w:tcBorders>
            <w:gridSpan w:val="5"/>
          </w:tcPr>
          <w:p>
            <w:pPr>
              <w:ind w:left="40"/>
              <w:spacing w:after="0"/>
              <w:rPr>
                <w:sz w:val="20"/>
                <w:szCs w:val="20"/>
                <w:color w:val="auto"/>
              </w:rPr>
            </w:pPr>
            <w:r>
              <w:rPr>
                <w:rFonts w:ascii="Arial" w:cs="Arial" w:eastAsia="Arial" w:hAnsi="Arial"/>
                <w:sz w:val="16"/>
                <w:szCs w:val="16"/>
                <w:color w:val="auto"/>
              </w:rPr>
              <w:t>5,750 NIS (7,000 NIS upon the earlier of reorganization of the Finance</w:t>
            </w:r>
          </w:p>
        </w:tc>
      </w:tr>
      <w:tr>
        <w:trPr>
          <w:trHeight w:val="183"/>
        </w:trPr>
        <w:tc>
          <w:tcPr>
            <w:tcW w:w="720" w:type="dxa"/>
            <w:vAlign w:val="bottom"/>
            <w:tcBorders>
              <w:left w:val="single" w:sz="8" w:color="auto"/>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5380" w:type="dxa"/>
            <w:vAlign w:val="bottom"/>
            <w:tcBorders>
              <w:right w:val="single" w:sz="8" w:color="auto"/>
            </w:tcBorders>
            <w:gridSpan w:val="5"/>
          </w:tcPr>
          <w:p>
            <w:pPr>
              <w:ind w:left="40"/>
              <w:spacing w:after="0" w:line="183" w:lineRule="exact"/>
              <w:rPr>
                <w:sz w:val="20"/>
                <w:szCs w:val="20"/>
                <w:color w:val="auto"/>
              </w:rPr>
            </w:pPr>
            <w:r>
              <w:rPr>
                <w:rFonts w:ascii="Arial" w:cs="Arial" w:eastAsia="Arial" w:hAnsi="Arial"/>
                <w:sz w:val="16"/>
                <w:szCs w:val="16"/>
                <w:color w:val="auto"/>
                <w:w w:val="97"/>
              </w:rPr>
              <w:t>Department in a manner mutually acceptable to the Employee and CFO, or 6</w:t>
            </w:r>
          </w:p>
        </w:tc>
      </w:tr>
      <w:tr>
        <w:trPr>
          <w:trHeight w:val="207"/>
        </w:trPr>
        <w:tc>
          <w:tcPr>
            <w:tcW w:w="720" w:type="dxa"/>
            <w:vAlign w:val="bottom"/>
            <w:tcBorders>
              <w:left w:val="single" w:sz="8" w:color="auto"/>
              <w:right w:val="single" w:sz="8" w:color="auto"/>
            </w:tcBorders>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w w:val="94"/>
              </w:rPr>
              <w:t>months from the Commencement Date, as applicable)</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4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w:t>
            </w:r>
          </w:p>
        </w:tc>
        <w:tc>
          <w:tcPr>
            <w:tcW w:w="2840" w:type="dxa"/>
            <w:vAlign w:val="bottom"/>
          </w:tcPr>
          <w:p>
            <w:pPr>
              <w:ind w:left="40"/>
              <w:spacing w:after="0"/>
              <w:rPr>
                <w:sz w:val="20"/>
                <w:szCs w:val="20"/>
                <w:color w:val="auto"/>
              </w:rPr>
            </w:pPr>
            <w:r>
              <w:rPr>
                <w:rFonts w:ascii="Arial" w:cs="Arial" w:eastAsia="Arial" w:hAnsi="Arial"/>
                <w:sz w:val="16"/>
                <w:szCs w:val="16"/>
                <w:color w:val="auto"/>
              </w:rPr>
              <w:t>Vacation Days Per Year:</w:t>
            </w:r>
          </w:p>
        </w:tc>
        <w:tc>
          <w:tcPr>
            <w:tcW w:w="2500" w:type="dxa"/>
            <w:vAlign w:val="bottom"/>
            <w:tcBorders>
              <w:right w:val="single" w:sz="8" w:color="auto"/>
            </w:tcBorders>
          </w:tcPr>
          <w:p>
            <w:pPr>
              <w:spacing w:after="0"/>
              <w:rPr>
                <w:sz w:val="21"/>
                <w:szCs w:val="21"/>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21 days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243"/>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2840" w:type="dxa"/>
            <w:vAlign w:val="bottom"/>
          </w:tcPr>
          <w:p>
            <w:pPr>
              <w:ind w:left="40"/>
              <w:spacing w:after="0"/>
              <w:rPr>
                <w:sz w:val="20"/>
                <w:szCs w:val="20"/>
                <w:color w:val="auto"/>
              </w:rPr>
            </w:pPr>
            <w:r>
              <w:rPr>
                <w:rFonts w:ascii="Arial" w:cs="Arial" w:eastAsia="Arial" w:hAnsi="Arial"/>
                <w:sz w:val="16"/>
                <w:szCs w:val="16"/>
                <w:color w:val="auto"/>
              </w:rPr>
              <w:t>Options</w:t>
            </w:r>
          </w:p>
        </w:tc>
        <w:tc>
          <w:tcPr>
            <w:tcW w:w="2500" w:type="dxa"/>
            <w:vAlign w:val="bottom"/>
            <w:tcBorders>
              <w:right w:val="single" w:sz="8" w:color="auto"/>
            </w:tcBorders>
          </w:tcPr>
          <w:p>
            <w:pPr>
              <w:spacing w:after="0"/>
              <w:rPr>
                <w:sz w:val="21"/>
                <w:szCs w:val="21"/>
                <w:color w:val="auto"/>
              </w:rPr>
            </w:pPr>
          </w:p>
        </w:tc>
        <w:tc>
          <w:tcPr>
            <w:tcW w:w="3700" w:type="dxa"/>
            <w:vAlign w:val="bottom"/>
            <w:gridSpan w:val="2"/>
          </w:tcPr>
          <w:p>
            <w:pPr>
              <w:ind w:left="40"/>
              <w:spacing w:after="0"/>
              <w:rPr>
                <w:sz w:val="20"/>
                <w:szCs w:val="20"/>
                <w:color w:val="auto"/>
              </w:rPr>
            </w:pPr>
            <w:r>
              <w:rPr>
                <w:rFonts w:ascii="Arial" w:cs="Arial" w:eastAsia="Arial" w:hAnsi="Arial"/>
                <w:sz w:val="16"/>
                <w:szCs w:val="16"/>
                <w:color w:val="auto"/>
              </w:rPr>
              <w:t>40,000 options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r>
      <w:tr>
        <w:trPr>
          <w:trHeight w:val="42"/>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r>
      <w:tr>
        <w:trPr>
          <w:trHeight w:val="869"/>
        </w:trPr>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M. Z</w:t>
            </w:r>
          </w:p>
        </w:tc>
      </w:tr>
      <w:tr>
        <w:trPr>
          <w:trHeight w:val="194"/>
        </w:trPr>
        <w:tc>
          <w:tcPr>
            <w:tcW w:w="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2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BioLine</w:t>
            </w:r>
          </w:p>
        </w:tc>
        <w:tc>
          <w:tcPr>
            <w:tcW w:w="20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Employee</w:t>
            </w:r>
          </w:p>
        </w:tc>
        <w:tc>
          <w:tcPr>
            <w:tcW w:w="360" w:type="dxa"/>
            <w:vAlign w:val="bottom"/>
          </w:tcPr>
          <w:p>
            <w:pPr>
              <w:spacing w:after="0"/>
              <w:rPr>
                <w:sz w:val="16"/>
                <w:szCs w:val="16"/>
                <w:color w:val="auto"/>
              </w:rPr>
            </w:pPr>
          </w:p>
        </w:tc>
      </w:tr>
      <w:tr>
        <w:trPr>
          <w:trHeight w:val="207"/>
        </w:trPr>
        <w:tc>
          <w:tcPr>
            <w:tcW w:w="7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500" w:type="dxa"/>
            <w:vAlign w:val="bottom"/>
          </w:tcPr>
          <w:p>
            <w:pPr>
              <w:jc w:val="center"/>
              <w:ind w:left="1739"/>
              <w:spacing w:after="0"/>
              <w:rPr>
                <w:sz w:val="20"/>
                <w:szCs w:val="20"/>
                <w:color w:val="auto"/>
              </w:rPr>
            </w:pPr>
            <w:r>
              <w:rPr>
                <w:rFonts w:ascii="Arial" w:cs="Arial" w:eastAsia="Arial" w:hAnsi="Arial"/>
                <w:sz w:val="16"/>
                <w:szCs w:val="16"/>
                <w:color w:val="auto"/>
                <w:w w:val="89"/>
              </w:rPr>
              <w:t>7</w:t>
            </w:r>
          </w:p>
        </w:tc>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54"/>
        </w:trPr>
        <w:tc>
          <w:tcPr>
            <w:tcW w:w="7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-726440</wp:posOffset>
            </wp:positionV>
            <wp:extent cx="464185" cy="4095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64185" cy="409575"/>
                    </a:xfrm>
                    <a:prstGeom prst="rect">
                      <a:avLst/>
                    </a:prstGeom>
                    <a:noFill/>
                  </pic:spPr>
                </pic:pic>
              </a:graphicData>
            </a:graphic>
          </wp:anchor>
        </w:drawing>
      </w:r>
    </w:p>
    <w:p>
      <w:pPr>
        <w:sectPr>
          <w:pgSz w:w="11900" w:h="16838" w:orient="portrait"/>
          <w:cols w:equalWidth="0" w:num="1">
            <w:col w:w="11440"/>
          </w:cols>
          <w:pgMar w:left="240" w:top="1244" w:right="219" w:bottom="1440" w:gutter="0" w:footer="0" w:header="0"/>
        </w:sectPr>
      </w:pPr>
    </w:p>
    <w:bookmarkStart w:id="248" w:name="page249"/>
    <w:bookmarkEnd w:id="248"/>
    <w:p>
      <w:pPr>
        <w:jc w:val="center"/>
        <w:ind w:righ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Exhibit B</w:t>
      </w:r>
    </w:p>
    <w:p>
      <w:pPr>
        <w:spacing w:after="0" w:line="21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Proprietary Information, Confidentiality and Non-Competition Agreement</w:t>
      </w:r>
    </w:p>
    <w:p>
      <w:pPr>
        <w:spacing w:after="0" w:line="218" w:lineRule="exact"/>
        <w:rPr>
          <w:sz w:val="20"/>
          <w:szCs w:val="20"/>
          <w:color w:val="auto"/>
        </w:rPr>
      </w:pPr>
    </w:p>
    <w:p>
      <w:pPr>
        <w:ind w:left="283" w:hanging="283"/>
        <w:spacing w:after="0"/>
        <w:tabs>
          <w:tab w:leader="none" w:pos="283"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229" w:lineRule="exact"/>
        <w:rPr>
          <w:rFonts w:ascii="Arial" w:cs="Arial" w:eastAsia="Arial" w:hAnsi="Arial"/>
          <w:sz w:val="16"/>
          <w:szCs w:val="16"/>
          <w:color w:val="auto"/>
        </w:rPr>
      </w:pPr>
    </w:p>
    <w:p>
      <w:pPr>
        <w:ind w:left="583" w:right="20" w:hanging="292"/>
        <w:spacing w:after="0" w:line="271" w:lineRule="auto"/>
        <w:rPr>
          <w:rFonts w:ascii="Arial" w:cs="Arial" w:eastAsia="Arial" w:hAnsi="Arial"/>
          <w:sz w:val="16"/>
          <w:szCs w:val="16"/>
          <w:color w:val="auto"/>
        </w:rPr>
      </w:pPr>
      <w:r>
        <w:rPr>
          <w:rFonts w:ascii="Arial" w:cs="Arial" w:eastAsia="Arial" w:hAnsi="Arial"/>
          <w:sz w:val="16"/>
          <w:szCs w:val="16"/>
          <w:color w:val="auto"/>
        </w:rPr>
        <w:t>1.1. All capitalized terms herein shall have the meanings ascribed to them in the Employment Agreement to which this Exhibit B is attached (the “</w:t>
      </w:r>
      <w:r>
        <w:rPr>
          <w:rFonts w:ascii="Arial" w:cs="Arial" w:eastAsia="Arial" w:hAnsi="Arial"/>
          <w:sz w:val="16"/>
          <w:szCs w:val="16"/>
          <w:b w:val="1"/>
          <w:bCs w:val="1"/>
          <w:color w:val="auto"/>
        </w:rPr>
        <w:t>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For purposes of any undertaking of the Employee toward BioLine, the term BioLine shall include all subsidiaries and affiliates of BioLine including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and Limited Partners</w:t>
      </w:r>
    </w:p>
    <w:p>
      <w:pPr>
        <w:spacing w:after="0" w:line="180" w:lineRule="exact"/>
        <w:rPr>
          <w:rFonts w:ascii="Arial" w:cs="Arial" w:eastAsia="Arial" w:hAnsi="Arial"/>
          <w:sz w:val="16"/>
          <w:szCs w:val="16"/>
          <w:color w:val="auto"/>
        </w:rPr>
      </w:pPr>
    </w:p>
    <w:p>
      <w:pPr>
        <w:ind w:left="583" w:right="20" w:hanging="292"/>
        <w:spacing w:after="0" w:line="271" w:lineRule="auto"/>
        <w:rPr>
          <w:rFonts w:ascii="Arial" w:cs="Arial" w:eastAsia="Arial" w:hAnsi="Arial"/>
          <w:sz w:val="16"/>
          <w:szCs w:val="16"/>
          <w:color w:val="auto"/>
        </w:rPr>
      </w:pPr>
      <w:r>
        <w:rPr>
          <w:rFonts w:ascii="Arial" w:cs="Arial" w:eastAsia="Arial" w:hAnsi="Arial"/>
          <w:sz w:val="16"/>
          <w:szCs w:val="16"/>
          <w:color w:val="auto"/>
        </w:rPr>
        <w:t>1.2. The Employee’s obligations and representations and BioLine’s rights under this Exhibit B (this “</w:t>
      </w:r>
      <w:r>
        <w:rPr>
          <w:rFonts w:ascii="Arial" w:cs="Arial" w:eastAsia="Arial" w:hAnsi="Arial"/>
          <w:sz w:val="16"/>
          <w:szCs w:val="16"/>
          <w:b w:val="1"/>
          <w:bCs w:val="1"/>
          <w:color w:val="auto"/>
        </w:rPr>
        <w:t>Agreement</w:t>
      </w:r>
      <w:r>
        <w:rPr>
          <w:rFonts w:ascii="Arial" w:cs="Arial" w:eastAsia="Arial" w:hAnsi="Arial"/>
          <w:sz w:val="16"/>
          <w:szCs w:val="16"/>
          <w:color w:val="auto"/>
        </w:rPr>
        <w:t>”) shall apply as of the Commencement Date of the employment relationship between BioLine and the Employee, and as of the first time in which Employee became engaged with BioLine, regardless of the date of execution of the Employment Agreement.</w:t>
      </w:r>
    </w:p>
    <w:p>
      <w:pPr>
        <w:spacing w:after="0" w:line="184"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1.3. Employees undertakings hereunder shall remain in full force and effect after termination of this Agreement or the Employment Agreement, or any renewal thereof.</w:t>
      </w:r>
    </w:p>
    <w:p>
      <w:pPr>
        <w:spacing w:after="0" w:line="241" w:lineRule="exact"/>
        <w:rPr>
          <w:rFonts w:ascii="Arial" w:cs="Arial" w:eastAsia="Arial" w:hAnsi="Arial"/>
          <w:sz w:val="16"/>
          <w:szCs w:val="16"/>
          <w:color w:val="auto"/>
        </w:rPr>
      </w:pPr>
    </w:p>
    <w:p>
      <w:pPr>
        <w:jc w:val="both"/>
        <w:ind w:left="283" w:hanging="283"/>
        <w:spacing w:after="0" w:line="275" w:lineRule="auto"/>
        <w:tabs>
          <w:tab w:leader="none" w:pos="283" w:val="left"/>
        </w:tabs>
        <w:numPr>
          <w:ilvl w:val="0"/>
          <w:numId w:val="198"/>
        </w:numPr>
        <w:rPr>
          <w:rFonts w:ascii="Arial" w:cs="Arial" w:eastAsia="Arial" w:hAnsi="Arial"/>
          <w:sz w:val="15"/>
          <w:szCs w:val="15"/>
          <w:color w:val="auto"/>
        </w:rPr>
      </w:pPr>
      <w:r>
        <w:rPr>
          <w:rFonts w:ascii="Arial" w:cs="Arial" w:eastAsia="Arial" w:hAnsi="Arial"/>
          <w:sz w:val="15"/>
          <w:szCs w:val="15"/>
          <w:color w:val="auto"/>
        </w:rPr>
        <w:t>Employee acknowledges that he/she has received and/or may receive information of a confidential and proprietary nature regarding the activities and business of BioLine, its parent companies, subsidiaries and/or affiliates, all whether in oral, written, graphic, or machine-readable form, or in any other form, including, but not limited to, (i) patents and patent applications and related information, (ii) trade secrets and industrial secrets, and (iii) drugs, compounds, molecules, building blocks, chemical libraries, reaction protocols for chemical libraries, chemical structures, chemical design and model relationship data, chemical databases, assays, samples, media and other biological materials, procedures and formulations for producing any such materials, products, processes, ideas, know-how, trade secrets, drawings, inventions, improvements, formulas, equations, methods, developmental or experimental work, research or clinical data, discoveries, developments, designs, techniques, instruments, devices, computer software and hardware related to the current, future and/or proposed products and services, and including, without limitation, information regarding research, development, new service offerings or products, marketing and selling, business plans, forecasts, business methods, budgets, finances, licensing, collaboration and development arrangements, prices and costs, buying habits and practices, contact and mailing lists and databases, vendors, customers and clients, and potential business opportunities, and personnel (collectively,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Confidential Information may also include information furnished to BioLine by third parties, which, for purposes of this Agreement, shall all be deemed Confidential Information of BioLine. Notwithstanding the aforesaid, information that is in the public domain, through no act or omission of the Employee shall not be deemed Confidential Information. The Confidential Information and all right, title and interest therein will remain at all times the exclusive property of BioLine (or any third party entrusting its own Confidential Information to BioLine).</w:t>
      </w:r>
    </w:p>
    <w:p>
      <w:pPr>
        <w:spacing w:after="0" w:line="182" w:lineRule="exact"/>
        <w:rPr>
          <w:rFonts w:ascii="Arial" w:cs="Arial" w:eastAsia="Arial" w:hAnsi="Arial"/>
          <w:sz w:val="15"/>
          <w:szCs w:val="15"/>
          <w:color w:val="auto"/>
        </w:rPr>
      </w:pPr>
    </w:p>
    <w:p>
      <w:pPr>
        <w:jc w:val="both"/>
        <w:ind w:left="283" w:right="20" w:hanging="283"/>
        <w:spacing w:after="0" w:line="268" w:lineRule="auto"/>
        <w:tabs>
          <w:tab w:leader="none" w:pos="28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At all times during the Employment Period and thereafter, Employee will hold all Confidential Information in strictest confidence and will not disclose, use, or make any copies thereof. Employee hereby assigns to BioLine any rights that the Employee may have or acquire in such Confidential Information and recognize that all Confidential Information shall be the sole property of BioLine and its assigns or licensors, as applicable.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583" w:hanging="219"/>
        <w:spacing w:after="0"/>
        <w:tabs>
          <w:tab w:leader="none" w:pos="10583" w:val="left"/>
        </w:tabs>
        <w:numPr>
          <w:ilvl w:val="1"/>
          <w:numId w:val="198"/>
        </w:numPr>
        <w:rPr>
          <w:rFonts w:ascii="Arial" w:cs="Arial" w:eastAsia="Arial" w:hAnsi="Arial"/>
          <w:sz w:val="16"/>
          <w:szCs w:val="16"/>
          <w:color w:val="auto"/>
        </w:rPr>
      </w:pPr>
      <w:r>
        <w:rPr>
          <w:rFonts w:ascii="Arial" w:cs="Arial" w:eastAsia="Arial" w:hAnsi="Arial"/>
          <w:sz w:val="16"/>
          <w:szCs w:val="16"/>
          <w:color w:val="auto"/>
        </w:rPr>
        <w: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-394335</wp:posOffset>
            </wp:positionV>
            <wp:extent cx="1546225" cy="425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46225" cy="425450"/>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07" w:right="219" w:bottom="1440" w:gutter="0" w:footer="0" w:header="0"/>
        </w:sectPr>
      </w:pPr>
    </w:p>
    <w:bookmarkStart w:id="249" w:name="page250"/>
    <w:bookmarkEnd w:id="249"/>
    <w:p>
      <w:pPr>
        <w:jc w:val="both"/>
        <w:ind w:left="283" w:right="20" w:hanging="283"/>
        <w:spacing w:after="0" w:line="263" w:lineRule="auto"/>
        <w:tabs>
          <w:tab w:leader="none" w:pos="283"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 xml:space="preserve">Employee represents that he/she has assigned to BioLine all inventions, original works of authorship, developments, improvements, and trade secrets which were conceived, developed, made or reduced to practice by Employee prior to the date of the this Agreement or the Commencement Date, whichever is earlier (collectively referred to as </w:t>
      </w:r>
      <w:r>
        <w:rPr>
          <w:rFonts w:ascii="Arial" w:cs="Arial" w:eastAsia="Arial" w:hAnsi="Arial"/>
          <w:sz w:val="16"/>
          <w:szCs w:val="16"/>
          <w:b w:val="1"/>
          <w:bCs w:val="1"/>
          <w:color w:val="auto"/>
        </w:rPr>
        <w:t>“Prior Inventions”)</w:t>
      </w:r>
      <w:r>
        <w:rPr>
          <w:rFonts w:ascii="Arial" w:cs="Arial" w:eastAsia="Arial" w:hAnsi="Arial"/>
          <w:sz w:val="16"/>
          <w:szCs w:val="16"/>
          <w:color w:val="auto"/>
        </w:rPr>
        <w:t>, in which Employee has or purports to have any ownership interest in or a license to use, and which relate to BioLine’s current or proposed business, products or research and development.</w:t>
      </w:r>
    </w:p>
    <w:p>
      <w:pPr>
        <w:spacing w:after="0" w:line="191" w:lineRule="exact"/>
        <w:rPr>
          <w:rFonts w:ascii="Arial" w:cs="Arial" w:eastAsia="Arial" w:hAnsi="Arial"/>
          <w:sz w:val="16"/>
          <w:szCs w:val="16"/>
          <w:color w:val="auto"/>
        </w:rPr>
      </w:pPr>
    </w:p>
    <w:p>
      <w:pPr>
        <w:jc w:val="both"/>
        <w:ind w:left="283" w:right="20" w:hanging="283"/>
        <w:spacing w:after="0" w:line="260" w:lineRule="auto"/>
        <w:tabs>
          <w:tab w:leader="none" w:pos="28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Employee will promptly disclose and describe to BioLine all inventions, improvements, designs, concepts, techniques, methods, processes, know how, and trade secrets, whether or not patentable, copyrightable or protectible as trade secrets that are made, developed, conceived or first reduced to practice or created by Employee, whether alone or jointly with others, during the provision of Consulting Services (i) which relate to BioLine’s business or actual or demonstrably anticipated research or development, (ii) which are developed in whole or in part on BioLine’s time or with the use of any of BioLine’s Confidential Information or other information, equipment, supplies, facilities or trade secret information, or (iii) which result directly or indirectly from any work performed by Employee for BioLine (the “</w:t>
      </w:r>
      <w:r>
        <w:rPr>
          <w:rFonts w:ascii="Arial" w:cs="Arial" w:eastAsia="Arial" w:hAnsi="Arial"/>
          <w:sz w:val="16"/>
          <w:szCs w:val="16"/>
          <w:b w:val="1"/>
          <w:bCs w:val="1"/>
          <w:color w:val="auto"/>
        </w:rPr>
        <w:t>Inventions</w:t>
      </w:r>
      <w:r>
        <w:rPr>
          <w:rFonts w:ascii="Arial" w:cs="Arial" w:eastAsia="Arial" w:hAnsi="Arial"/>
          <w:sz w:val="16"/>
          <w:szCs w:val="16"/>
          <w:color w:val="auto"/>
        </w:rPr>
        <w:t>”, and each an “</w:t>
      </w:r>
      <w:r>
        <w:rPr>
          <w:rFonts w:ascii="Arial" w:cs="Arial" w:eastAsia="Arial" w:hAnsi="Arial"/>
          <w:sz w:val="16"/>
          <w:szCs w:val="16"/>
          <w:b w:val="1"/>
          <w:bCs w:val="1"/>
          <w:color w:val="auto"/>
        </w:rPr>
        <w:t>Invention</w:t>
      </w:r>
      <w:r>
        <w:rPr>
          <w:rFonts w:ascii="Arial" w:cs="Arial" w:eastAsia="Arial" w:hAnsi="Arial"/>
          <w:sz w:val="16"/>
          <w:szCs w:val="16"/>
          <w:color w:val="auto"/>
        </w:rPr>
        <w:t>”).</w:t>
      </w:r>
    </w:p>
    <w:p>
      <w:pPr>
        <w:spacing w:after="0" w:line="192" w:lineRule="exact"/>
        <w:rPr>
          <w:rFonts w:ascii="Arial" w:cs="Arial" w:eastAsia="Arial" w:hAnsi="Arial"/>
          <w:sz w:val="16"/>
          <w:szCs w:val="16"/>
          <w:color w:val="auto"/>
        </w:rPr>
      </w:pPr>
    </w:p>
    <w:p>
      <w:pPr>
        <w:jc w:val="both"/>
        <w:ind w:left="283" w:right="20" w:hanging="283"/>
        <w:spacing w:after="0" w:line="260" w:lineRule="auto"/>
        <w:tabs>
          <w:tab w:leader="none" w:pos="28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Employee hereby assigns and agrees to assign in the future (when any such Inventions or Proprietary Rights (defined below) are first reduced to practice or first fixed in a tangible medium, as applicable) to BioLine or its designee(s) all of Employee’s right, title and interest in and to any and all Inventions (and all Proprietary Rights with respect thereto) whether or not patentable or registerable under copyright or similar statutes. Employee further specifically assigns to BioLine all original works of authorship, including any related moral rights, which are made by the Employee (solely or jointly with others) during the Employment Period which are protectable by copyright pursuant to applicable copyright law. Employee also agrees to assign all of his/her right, title and interest in and to any particular Invention to any third party, including without limitation government agency, as directed by BioLine.</w:t>
      </w:r>
    </w:p>
    <w:p>
      <w:pPr>
        <w:spacing w:after="0" w:line="188" w:lineRule="exact"/>
        <w:rPr>
          <w:rFonts w:ascii="Arial" w:cs="Arial" w:eastAsia="Arial" w:hAnsi="Arial"/>
          <w:sz w:val="16"/>
          <w:szCs w:val="16"/>
          <w:color w:val="auto"/>
        </w:rPr>
      </w:pPr>
    </w:p>
    <w:p>
      <w:pPr>
        <w:jc w:val="both"/>
        <w:ind w:left="283" w:right="20"/>
        <w:spacing w:after="0" w:line="285" w:lineRule="auto"/>
        <w:rPr>
          <w:rFonts w:ascii="Arial" w:cs="Arial" w:eastAsia="Arial" w:hAnsi="Arial"/>
          <w:sz w:val="16"/>
          <w:szCs w:val="16"/>
          <w:color w:val="auto"/>
        </w:rPr>
      </w:pPr>
      <w:r>
        <w:rPr>
          <w:rFonts w:ascii="Arial" w:cs="Arial" w:eastAsia="Arial" w:hAnsi="Arial"/>
          <w:sz w:val="14"/>
          <w:szCs w:val="14"/>
          <w:color w:val="auto"/>
        </w:rPr>
        <w:t>The term “</w:t>
      </w:r>
      <w:r>
        <w:rPr>
          <w:rFonts w:ascii="Arial" w:cs="Arial" w:eastAsia="Arial" w:hAnsi="Arial"/>
          <w:sz w:val="14"/>
          <w:szCs w:val="14"/>
          <w:b w:val="1"/>
          <w:bCs w:val="1"/>
          <w:color w:val="auto"/>
        </w:rPr>
        <w:t>Proprietary Rights</w:t>
      </w:r>
      <w:r>
        <w:rPr>
          <w:rFonts w:ascii="Arial" w:cs="Arial" w:eastAsia="Arial" w:hAnsi="Arial"/>
          <w:sz w:val="14"/>
          <w:szCs w:val="14"/>
          <w:color w:val="auto"/>
        </w:rPr>
        <w:t>” shall mean: (i) patents, whether in the form of utility patents or design patents and all pending applications for such patents; (ii) trademarks, trade names, service marks, designs, logos, trade dress, and trade styles, whether or not registered, and all pending applications for registration of the same;</w:t>
      </w:r>
    </w:p>
    <w:p>
      <w:pPr>
        <w:ind w:left="283" w:right="20" w:firstLine="10"/>
        <w:spacing w:after="0" w:line="249" w:lineRule="auto"/>
        <w:tabs>
          <w:tab w:leader="none" w:pos="577" w:val="left"/>
        </w:tabs>
        <w:numPr>
          <w:ilvl w:val="1"/>
          <w:numId w:val="199"/>
        </w:numPr>
        <w:rPr>
          <w:rFonts w:ascii="Arial" w:cs="Arial" w:eastAsia="Arial" w:hAnsi="Arial"/>
          <w:sz w:val="16"/>
          <w:szCs w:val="16"/>
          <w:color w:val="auto"/>
        </w:rPr>
      </w:pPr>
      <w:r>
        <w:rPr>
          <w:rFonts w:ascii="Arial" w:cs="Arial" w:eastAsia="Arial" w:hAnsi="Arial"/>
          <w:sz w:val="16"/>
          <w:szCs w:val="16"/>
          <w:color w:val="auto"/>
        </w:rPr>
        <w:t>copyrights or copyrightable material, including moral rights, including but not limited to books, articles and publications, whether or not registered, and all pending applications for registration of the same; and (iv) all other intellectual property rights throughout the world.</w:t>
      </w:r>
    </w:p>
    <w:p>
      <w:pPr>
        <w:spacing w:after="0" w:line="188" w:lineRule="exact"/>
        <w:rPr>
          <w:rFonts w:ascii="Arial" w:cs="Arial" w:eastAsia="Arial" w:hAnsi="Arial"/>
          <w:sz w:val="16"/>
          <w:szCs w:val="16"/>
          <w:color w:val="auto"/>
        </w:rPr>
      </w:pPr>
    </w:p>
    <w:p>
      <w:pPr>
        <w:jc w:val="both"/>
        <w:ind w:left="283" w:hanging="283"/>
        <w:spacing w:after="0" w:line="304" w:lineRule="auto"/>
        <w:tabs>
          <w:tab w:leader="none" w:pos="283" w:val="left"/>
        </w:tabs>
        <w:numPr>
          <w:ilvl w:val="0"/>
          <w:numId w:val="199"/>
        </w:numPr>
        <w:rPr>
          <w:rFonts w:ascii="Arial" w:cs="Arial" w:eastAsia="Arial" w:hAnsi="Arial"/>
          <w:sz w:val="14"/>
          <w:szCs w:val="14"/>
          <w:color w:val="auto"/>
        </w:rPr>
      </w:pPr>
      <w:r>
        <w:rPr>
          <w:rFonts w:ascii="Arial" w:cs="Arial" w:eastAsia="Arial" w:hAnsi="Arial"/>
          <w:sz w:val="14"/>
          <w:szCs w:val="14"/>
          <w:color w:val="auto"/>
        </w:rPr>
        <w:t>Employee will assist BioLine in every proper way to obtain, and from time to time enforce, any Proprietary Rights relating to any Inventions in any and all countries. To that end Employee will execute, verity and deliver such documents and perform such other acts (including appearances as a witness) as BioLine may reasonably request for use in applying for, obtaining, perfecting, evidencing, sustaining and enforcing such Proprietary Rights and the assignment thereof. In addition, Employee will execute, verify and deliver assignments of such Proprietary Rights to BioLine or its designee. Employee’s obligation to assist BioLine with respect to Proprietary Rights relating to any such Inventions in any and all countries shall continue indefinitely beyond termination of the Employment Period for any reason (the “</w:t>
      </w:r>
      <w:r>
        <w:rPr>
          <w:rFonts w:ascii="Arial" w:cs="Arial" w:eastAsia="Arial" w:hAnsi="Arial"/>
          <w:sz w:val="14"/>
          <w:szCs w:val="14"/>
          <w:b w:val="1"/>
          <w:bCs w:val="1"/>
          <w:color w:val="auto"/>
        </w:rPr>
        <w:t>Termination Date</w:t>
      </w:r>
      <w:r>
        <w:rPr>
          <w:rFonts w:ascii="Arial" w:cs="Arial" w:eastAsia="Arial" w:hAnsi="Arial"/>
          <w:sz w:val="14"/>
          <w:szCs w:val="14"/>
          <w:color w:val="auto"/>
        </w:rPr>
        <w:t>”), but BioLine shall compensate Employee at a reasonable rate after the Termination Date for the time actually spent by Employee at BioLine’s request on such assistance.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5" w:lineRule="exact"/>
        <w:rPr>
          <w:rFonts w:ascii="Arial" w:cs="Arial" w:eastAsia="Arial" w:hAnsi="Arial"/>
          <w:sz w:val="14"/>
          <w:szCs w:val="14"/>
          <w:color w:val="auto"/>
        </w:rPr>
      </w:pPr>
    </w:p>
    <w:p>
      <w:pPr>
        <w:ind w:left="10583" w:hanging="219"/>
        <w:spacing w:after="0"/>
        <w:tabs>
          <w:tab w:leader="none" w:pos="10583" w:val="left"/>
        </w:tabs>
        <w:numPr>
          <w:ilvl w:val="2"/>
          <w:numId w:val="199"/>
        </w:numPr>
        <w:rPr>
          <w:rFonts w:ascii="Arial" w:cs="Arial" w:eastAsia="Arial" w:hAnsi="Arial"/>
          <w:sz w:val="16"/>
          <w:szCs w:val="16"/>
          <w:color w:val="auto"/>
        </w:rPr>
      </w:pPr>
      <w:r>
        <w:rPr>
          <w:rFonts w:ascii="Arial" w:cs="Arial" w:eastAsia="Arial" w:hAnsi="Arial"/>
          <w:sz w:val="16"/>
          <w:szCs w:val="16"/>
          <w:color w:val="auto"/>
        </w:rPr>
        <w: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-394335</wp:posOffset>
            </wp:positionV>
            <wp:extent cx="1546225" cy="4254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46225" cy="425450"/>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47" w:right="219" w:bottom="1440" w:gutter="0" w:footer="0" w:header="0"/>
        </w:sectPr>
      </w:pPr>
    </w:p>
    <w:bookmarkStart w:id="250" w:name="page251"/>
    <w:bookmarkEnd w:id="250"/>
    <w:p>
      <w:pPr>
        <w:jc w:val="both"/>
        <w:ind w:left="283" w:right="20" w:hanging="283"/>
        <w:spacing w:after="0" w:line="260" w:lineRule="auto"/>
        <w:tabs>
          <w:tab w:leader="none" w:pos="283"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In the event that BioLine is unable for any reason, after reasonable effort, to secure Employee’s signature on any document needed in connection with the actions specified in the preceding paragraph, Employee hereby irrevocably designates and appoints BioLine and its duly authorized officers and agents as Employee’s agent and attorney in fact, which appointment is coupled with an interest, to act for and in Employee’s behalf to execute, verify and file any such documents and to do all other lawfully permitted acts to further the purposes of the preceding paragraph with the same legal force and effect as if executed by the Employee. Employee hereby waives and holds BioLine harmless from any and all claims, of any nature whatsoever, which Employee now or may hereafter have for infringement of any Proprietary Rights assigned hereunder to BioLine.</w:t>
      </w:r>
    </w:p>
    <w:p>
      <w:pPr>
        <w:spacing w:after="0" w:line="192" w:lineRule="exact"/>
        <w:rPr>
          <w:rFonts w:ascii="Arial" w:cs="Arial" w:eastAsia="Arial" w:hAnsi="Arial"/>
          <w:sz w:val="16"/>
          <w:szCs w:val="16"/>
          <w:color w:val="auto"/>
        </w:rPr>
      </w:pPr>
    </w:p>
    <w:p>
      <w:pPr>
        <w:jc w:val="both"/>
        <w:ind w:left="283" w:hanging="283"/>
        <w:spacing w:after="0" w:line="268" w:lineRule="auto"/>
        <w:tabs>
          <w:tab w:leader="none" w:pos="28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Employee agrees to keep and maintain adequate and current records (in the form of notes, sketches, drawings and in any other form that may be required by BioLine) of all Confidential Information developed by the Employee and all Inventions made by the Employee during the Employment Period to BioLine, which records shall be available to and remain the sole property of BioLine at all times.</w:t>
      </w:r>
    </w:p>
    <w:p>
      <w:pPr>
        <w:spacing w:after="0" w:line="187" w:lineRule="exact"/>
        <w:rPr>
          <w:rFonts w:ascii="Arial" w:cs="Arial" w:eastAsia="Arial" w:hAnsi="Arial"/>
          <w:sz w:val="16"/>
          <w:szCs w:val="16"/>
          <w:color w:val="auto"/>
        </w:rPr>
      </w:pPr>
    </w:p>
    <w:p>
      <w:pPr>
        <w:jc w:val="both"/>
        <w:ind w:left="283" w:right="20" w:hanging="283"/>
        <w:spacing w:after="0" w:line="263" w:lineRule="auto"/>
        <w:tabs>
          <w:tab w:leader="none" w:pos="28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During the Employment Period, Employee will not improperly use or disclose any confidential information or trade secrets, if any, of any former employer or any other person to whom Employee has an obligation of confidentiality, and Employee will not bring onto the premises of BioLine any unpublished documents or any property belonging to any former employer or any other person to whom Employee has an obligation of confidentiality unless consented to in writing by that former employer or person.</w:t>
      </w:r>
    </w:p>
    <w:p>
      <w:pPr>
        <w:spacing w:after="0" w:line="191" w:lineRule="exact"/>
        <w:rPr>
          <w:rFonts w:ascii="Arial" w:cs="Arial" w:eastAsia="Arial" w:hAnsi="Arial"/>
          <w:sz w:val="16"/>
          <w:szCs w:val="16"/>
          <w:color w:val="auto"/>
        </w:rPr>
      </w:pPr>
    </w:p>
    <w:p>
      <w:pPr>
        <w:jc w:val="both"/>
        <w:ind w:left="283" w:right="20" w:hanging="283"/>
        <w:spacing w:after="0" w:line="268" w:lineRule="auto"/>
        <w:tabs>
          <w:tab w:leader="none" w:pos="28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Upon the earlier of (i) a written request by BioLine; or (ii) the expiration or termination of the employment, Employee shall promptly return to BioLine all Confidential Information, together with any and all copies or excerpts thereof and any and all other information directly or indirectly derived therefrom. Return or destruction of the Confidential Information as required hereunder shall not affect Employee’s remaining obligations pursuant to this Agreement.</w:t>
      </w:r>
    </w:p>
    <w:p>
      <w:pPr>
        <w:spacing w:after="0" w:line="183" w:lineRule="exact"/>
        <w:rPr>
          <w:rFonts w:ascii="Arial" w:cs="Arial" w:eastAsia="Arial" w:hAnsi="Arial"/>
          <w:sz w:val="16"/>
          <w:szCs w:val="16"/>
          <w:color w:val="auto"/>
        </w:rPr>
      </w:pPr>
    </w:p>
    <w:p>
      <w:pPr>
        <w:ind w:left="283" w:hanging="283"/>
        <w:spacing w:after="0"/>
        <w:tabs>
          <w:tab w:leader="none" w:pos="283" w:val="left"/>
        </w:tabs>
        <w:numPr>
          <w:ilvl w:val="0"/>
          <w:numId w:val="200"/>
        </w:numPr>
        <w:rPr>
          <w:rFonts w:ascii="Arial" w:cs="Arial" w:eastAsia="Arial" w:hAnsi="Arial"/>
          <w:sz w:val="16"/>
          <w:szCs w:val="16"/>
          <w:color w:val="auto"/>
        </w:rPr>
      </w:pPr>
      <w:r>
        <w:rPr>
          <w:rFonts w:ascii="Arial" w:cs="Arial" w:eastAsia="Arial" w:hAnsi="Arial"/>
          <w:sz w:val="16"/>
          <w:szCs w:val="16"/>
          <w:b w:val="1"/>
          <w:bCs w:val="1"/>
          <w:color w:val="auto"/>
        </w:rPr>
        <w:t>Non Competition; Non Solicitation.</w:t>
      </w:r>
    </w:p>
    <w:p>
      <w:pPr>
        <w:spacing w:after="0" w:line="233" w:lineRule="exact"/>
        <w:rPr>
          <w:rFonts w:ascii="Arial" w:cs="Arial" w:eastAsia="Arial" w:hAnsi="Arial"/>
          <w:sz w:val="16"/>
          <w:szCs w:val="16"/>
          <w:color w:val="auto"/>
        </w:rPr>
      </w:pPr>
    </w:p>
    <w:p>
      <w:pPr>
        <w:ind w:left="723" w:right="20" w:hanging="438"/>
        <w:spacing w:after="0" w:line="275" w:lineRule="auto"/>
        <w:rPr>
          <w:rFonts w:ascii="Arial" w:cs="Arial" w:eastAsia="Arial" w:hAnsi="Arial"/>
          <w:sz w:val="16"/>
          <w:szCs w:val="16"/>
          <w:color w:val="auto"/>
        </w:rPr>
      </w:pPr>
      <w:r>
        <w:rPr>
          <w:rFonts w:ascii="Arial" w:cs="Arial" w:eastAsia="Arial" w:hAnsi="Arial"/>
          <w:sz w:val="15"/>
          <w:szCs w:val="15"/>
          <w:color w:val="auto"/>
        </w:rPr>
        <w:t xml:space="preserve">12.1. In consideration of Employee’s terms of employment, which include special compensation for Employee’s undertakings under this Section 12, and in order to enable BioLine to effectively protect its Proprietary Information, Employee undertakes that during the Employment Period and for a period of twelve (12) months from the Termination Date, Employee will not directly or indirectly: (i) carry on or hold an interest in any company, venture, entity or other business (other than a minority interest in a publicly traded company) which directly competes with the products or services of BioLine, (a </w:t>
      </w:r>
      <w:r>
        <w:rPr>
          <w:rFonts w:ascii="Arial" w:cs="Arial" w:eastAsia="Arial" w:hAnsi="Arial"/>
          <w:sz w:val="15"/>
          <w:szCs w:val="15"/>
          <w:b w:val="1"/>
          <w:bCs w:val="1"/>
          <w:color w:val="auto"/>
        </w:rPr>
        <w:t>“Competing Business”)</w:t>
      </w:r>
      <w:r>
        <w:rPr>
          <w:rFonts w:ascii="Arial" w:cs="Arial" w:eastAsia="Arial" w:hAnsi="Arial"/>
          <w:sz w:val="15"/>
          <w:szCs w:val="15"/>
          <w:color w:val="auto"/>
        </w:rPr>
        <w:t xml:space="preserve"> (including, without limitation, as a shareholder); (ii) act as a consultant or employee or officer or in any managerial capacity in a Competing Business, or supply in direct competition with BioLine services to any person who, to Employee’s knowledge, was provided with services by BioLine any time during the twelve (12) months immediately prior to the Termination Date; (iii) solicit, canvass or approach or endeavor to solicit, canvass or approach any person who, to Employee’s knowledge, was provided with services by BioLine at any time during the twelve (12) months immediately prior to the Termination Date, for the purpose of offering services or products which directly compete with the services or products supplied by BioLine at the Termination Date; or (iv) employ, solicit or entice away or endeavor to solicit or entice away from BioLine any person employed by BioLine any time during the twelve (12) months immediately prior the Termination Date with a view to inducing that person to leave such employment and to act for another employer in the same or a similar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127635</wp:posOffset>
            </wp:positionV>
            <wp:extent cx="464185" cy="4095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64185"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9640"/>
        <w:spacing w:after="0"/>
        <w:rPr>
          <w:sz w:val="20"/>
          <w:szCs w:val="20"/>
          <w:color w:val="auto"/>
        </w:rPr>
      </w:pPr>
      <w:r>
        <w:rPr>
          <w:rFonts w:ascii="Arial" w:cs="Arial" w:eastAsia="Arial" w:hAnsi="Arial"/>
          <w:sz w:val="16"/>
          <w:szCs w:val="16"/>
          <w:color w:val="auto"/>
        </w:rPr>
        <w:t>M.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14605</wp:posOffset>
            </wp:positionV>
            <wp:extent cx="154622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46225" cy="15240"/>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5995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247" w:right="219" w:bottom="1440" w:gutter="0" w:footer="0" w:header="0"/>
        </w:sectPr>
      </w:pPr>
    </w:p>
    <w:bookmarkStart w:id="251" w:name="page252"/>
    <w:bookmarkEnd w:id="251"/>
    <w:p>
      <w:pPr>
        <w:jc w:val="both"/>
        <w:ind w:left="723" w:hanging="437"/>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2385060</wp:posOffset>
            </wp:positionH>
            <wp:positionV relativeFrom="page">
              <wp:posOffset>88900</wp:posOffset>
            </wp:positionV>
            <wp:extent cx="2791460" cy="5721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12.2. Insofar as the protective covenants set forthin this Agreement are concerned, Employee specifically acknowledges, stipulates and agrees as follows: (i) the protective covenants are reasonable and necessary to protect the goodwill, property and Proprietary Information of BioLine, and the operations and business of BioLine; and (ii) the time duration of the protective covenants is reasonable and necessary to protect the goodwill and the operations and business of BioLine, and does not impose a greater restrain than is necessary to protect the goodwill or other business interests of BioLine. Nevertheless, if any of the restrictions set forth in this Agreement is found by a court having jurisdiction to be unreasonable or overly-broad as to geographic area, scope or time or to be otherwise unenforceable, the parties intend for the restrictions set forth in this Agreement to be reformed, modified and redefined by such court so as to be reasonable and enforceable and, as so modified by such court, to be fully enforced.</w:t>
      </w:r>
    </w:p>
    <w:p>
      <w:pPr>
        <w:spacing w:after="0" w:line="193" w:lineRule="exact"/>
        <w:rPr>
          <w:sz w:val="20"/>
          <w:szCs w:val="20"/>
          <w:color w:val="auto"/>
        </w:rPr>
      </w:pPr>
    </w:p>
    <w:p>
      <w:pPr>
        <w:jc w:val="both"/>
        <w:ind w:left="283" w:hanging="283"/>
        <w:spacing w:after="0" w:line="268" w:lineRule="auto"/>
        <w:tabs>
          <w:tab w:leader="none" w:pos="28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Employee represents that Employee’s performance of all the terms of the Employment Agreement and this Agreement does not and will not breach any agreement to keep in confidence information acquired by Employee in confidence or in trust prior to Employee’s relationship with BioLine. Employee has not entered into, and agrees that he/she will not enter into, any agreement either written or oral in conflict herewith.</w:t>
      </w:r>
    </w:p>
    <w:p>
      <w:pPr>
        <w:spacing w:after="0" w:line="187"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Employee hereby consents that in the event that the Employee leaves the employ of BioLine. Employee shall notify any new employer of Employee’s rights and obligations under this Agreement.</w:t>
      </w:r>
    </w:p>
    <w:p>
      <w:pPr>
        <w:spacing w:after="0" w:line="174"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Employee acknowledges that any violation or threatened violation of this Agreement may cause irreparable injury to BioLine, entitling BioLine to seek injunctive relief in addition to all other legal remedies.</w:t>
      </w:r>
    </w:p>
    <w:p>
      <w:pPr>
        <w:spacing w:after="0" w:line="174" w:lineRule="exact"/>
        <w:rPr>
          <w:rFonts w:ascii="Arial" w:cs="Arial" w:eastAsia="Arial" w:hAnsi="Arial"/>
          <w:sz w:val="16"/>
          <w:szCs w:val="16"/>
          <w:color w:val="auto"/>
        </w:rPr>
      </w:pPr>
    </w:p>
    <w:p>
      <w:pPr>
        <w:jc w:val="both"/>
        <w:ind w:left="283" w:hanging="283"/>
        <w:spacing w:after="0" w:line="294" w:lineRule="auto"/>
        <w:tabs>
          <w:tab w:leader="none" w:pos="283" w:val="left"/>
        </w:tabs>
        <w:numPr>
          <w:ilvl w:val="0"/>
          <w:numId w:val="201"/>
        </w:numPr>
        <w:rPr>
          <w:rFonts w:ascii="Arial" w:cs="Arial" w:eastAsia="Arial" w:hAnsi="Arial"/>
          <w:sz w:val="15"/>
          <w:szCs w:val="15"/>
          <w:color w:val="auto"/>
        </w:rPr>
      </w:pPr>
      <w:r>
        <w:rPr>
          <w:rFonts w:ascii="Arial" w:cs="Arial" w:eastAsia="Arial" w:hAnsi="Arial"/>
          <w:sz w:val="15"/>
          <w:szCs w:val="15"/>
          <w:color w:val="auto"/>
        </w:rPr>
        <w:t>Employee recognizes and agrees that: (i) this Agreement is necessary and essential to protect the business of BioLine and to realize and derive all the benefits, rights and expectations of conducting BioLine’s business; (ii) the area and duration of the protective covenants contained herein are in all things reasonable; and (iii) good and valuable consideration exists under the Employment Agreement, for Employee’s agreement to be bound by the provisions of this Agreement.</w:t>
      </w:r>
    </w:p>
    <w:p>
      <w:pPr>
        <w:spacing w:after="0" w:line="169" w:lineRule="exact"/>
        <w:rPr>
          <w:rFonts w:ascii="Arial" w:cs="Arial" w:eastAsia="Arial" w:hAnsi="Arial"/>
          <w:sz w:val="15"/>
          <w:szCs w:val="15"/>
          <w:color w:val="auto"/>
        </w:rPr>
      </w:pPr>
    </w:p>
    <w:p>
      <w:pPr>
        <w:ind w:left="283" w:hanging="283"/>
        <w:spacing w:after="0"/>
        <w:tabs>
          <w:tab w:leader="none" w:pos="28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General terms of the Employment Agreement (Section 11) shall apply to this Agreement, </w:t>
      </w:r>
      <w:r>
        <w:rPr>
          <w:rFonts w:ascii="Arial" w:cs="Arial" w:eastAsia="Arial" w:hAnsi="Arial"/>
          <w:sz w:val="16"/>
          <w:szCs w:val="16"/>
          <w:i w:val="1"/>
          <w:iCs w:val="1"/>
          <w:color w:val="auto"/>
        </w:rPr>
        <w:t>mutatis mutandis.</w:t>
      </w:r>
    </w:p>
    <w:p>
      <w:pPr>
        <w:spacing w:after="0" w:line="229"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EMPLOYEE ACKNOWLEDGES THAT HE/SHE HAS READ THIS AGREEMENT CAREFULLY, UNDERSTANDS ITS TERMS, AND HAS BEEN GIVEN THE OPPORTUNITY TO DISCUSS IT WITH INDEPENDENT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5605780</wp:posOffset>
            </wp:positionH>
            <wp:positionV relativeFrom="paragraph">
              <wp:posOffset>227330</wp:posOffset>
            </wp:positionV>
            <wp:extent cx="464185" cy="4095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64185"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383"/>
        <w:spacing w:after="0"/>
        <w:rPr>
          <w:sz w:val="20"/>
          <w:szCs w:val="20"/>
          <w:color w:val="auto"/>
        </w:rPr>
      </w:pPr>
      <w:r>
        <w:rPr>
          <w:rFonts w:ascii="Arial" w:cs="Arial" w:eastAsia="Arial" w:hAnsi="Arial"/>
          <w:sz w:val="16"/>
          <w:szCs w:val="16"/>
          <w:color w:val="auto"/>
        </w:rPr>
        <w:t>M.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14605</wp:posOffset>
            </wp:positionV>
            <wp:extent cx="153860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38605" cy="15240"/>
                    </a:xfrm>
                    <a:prstGeom prst="rect">
                      <a:avLst/>
                    </a:prstGeom>
                    <a:noFill/>
                  </pic:spPr>
                </pic:pic>
              </a:graphicData>
            </a:graphic>
          </wp:anchor>
        </w:drawing>
      </w:r>
    </w:p>
    <w:p>
      <w:pPr>
        <w:spacing w:after="0" w:line="15" w:lineRule="exact"/>
        <w:rPr>
          <w:sz w:val="20"/>
          <w:szCs w:val="20"/>
          <w:color w:val="auto"/>
        </w:rPr>
      </w:pPr>
    </w:p>
    <w:p>
      <w:pPr>
        <w:ind w:left="8943"/>
        <w:spacing w:after="0"/>
        <w:tabs>
          <w:tab w:leader="none" w:pos="101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5995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47" w:right="239" w:bottom="1440" w:gutter="0" w:footer="0" w:header="0"/>
        </w:sectPr>
      </w:pPr>
    </w:p>
    <w:bookmarkStart w:id="252" w:name="page253"/>
    <w:bookmarkEnd w:id="252"/>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2392680</wp:posOffset>
            </wp:positionH>
            <wp:positionV relativeFrom="page">
              <wp:posOffset>88900</wp:posOffset>
            </wp:positionV>
            <wp:extent cx="2791460" cy="5721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2791460" cy="572135"/>
                    </a:xfrm>
                    <a:prstGeom prst="rect">
                      <a:avLst/>
                    </a:prstGeom>
                    <a:noFill/>
                  </pic:spPr>
                </pic:pic>
              </a:graphicData>
            </a:graphic>
          </wp:anchor>
        </w:drawing>
        <w:t>Exhibit C</w:t>
      </w:r>
    </w:p>
    <w:p>
      <w:pPr>
        <w:spacing w:after="0" w:line="230"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General Approval Regarding Payments by Employers to a Pension Fund and Insurance Fund in lieu of Severance Pay under the Severance Pay Law 5723-1963</w:t>
      </w:r>
    </w:p>
    <w:p>
      <w:pPr>
        <w:spacing w:after="0" w:line="241" w:lineRule="exact"/>
        <w:rPr>
          <w:sz w:val="20"/>
          <w:szCs w:val="20"/>
          <w:color w:val="auto"/>
        </w:rPr>
      </w:pPr>
    </w:p>
    <w:p>
      <w:pPr>
        <w:jc w:val="both"/>
        <w:ind w:left="6"/>
        <w:spacing w:after="0" w:line="259" w:lineRule="auto"/>
        <w:rPr>
          <w:sz w:val="20"/>
          <w:szCs w:val="20"/>
          <w:color w:val="auto"/>
        </w:rPr>
      </w:pPr>
      <w:r>
        <w:rPr>
          <w:rFonts w:ascii="Arial" w:cs="Arial" w:eastAsia="Arial" w:hAnsi="Arial"/>
          <w:sz w:val="16"/>
          <w:szCs w:val="16"/>
          <w:color w:val="auto"/>
        </w:rPr>
        <w:t xml:space="preserve">By virtue of my power under Section 14 of the Severance Pay Law, 5723-1963 (hereinafter: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w:t>
      </w:r>
      <w:r>
        <w:rPr>
          <w:rFonts w:ascii="Arial" w:cs="Arial" w:eastAsia="Arial" w:hAnsi="Arial"/>
          <w:sz w:val="16"/>
          <w:szCs w:val="16"/>
          <w:b w:val="1"/>
          <w:bCs w:val="1"/>
          <w:color w:val="auto"/>
        </w:rPr>
        <w:t>“Pension Fund”)</w:t>
      </w:r>
      <w:r>
        <w:rPr>
          <w:rFonts w:ascii="Arial" w:cs="Arial" w:eastAsia="Arial" w:hAnsi="Arial"/>
          <w:sz w:val="16"/>
          <w:szCs w:val="16"/>
          <w:color w:val="auto"/>
        </w:rPr>
        <w:t xml:space="preserve"> or to managers’ insurance which includes the possibility to receive annuity payments under an insurance fund as aforesaid, (hereinafter: the “</w:t>
      </w:r>
      <w:r>
        <w:rPr>
          <w:rFonts w:ascii="Arial" w:cs="Arial" w:eastAsia="Arial" w:hAnsi="Arial"/>
          <w:sz w:val="16"/>
          <w:szCs w:val="16"/>
          <w:b w:val="1"/>
          <w:bCs w:val="1"/>
          <w:color w:val="auto"/>
        </w:rPr>
        <w:t>Insurance Fund</w:t>
      </w:r>
      <w:r>
        <w:rPr>
          <w:rFonts w:ascii="Arial" w:cs="Arial" w:eastAsia="Arial" w:hAnsi="Arial"/>
          <w:sz w:val="16"/>
          <w:szCs w:val="16"/>
          <w:color w:val="auto"/>
        </w:rPr>
        <w:t xml:space="preserve">”), including payments made by the employer by a combination of payments to a Pension Fund and an Insurance Fund (hereinafter: </w:t>
      </w:r>
      <w:r>
        <w:rPr>
          <w:rFonts w:ascii="Arial" w:cs="Arial" w:eastAsia="Arial" w:hAnsi="Arial"/>
          <w:sz w:val="16"/>
          <w:szCs w:val="16"/>
          <w:b w:val="1"/>
          <w:bCs w:val="1"/>
          <w:color w:val="auto"/>
        </w:rPr>
        <w:t>“Employer’s Payments”),</w:t>
      </w:r>
      <w:r>
        <w:rPr>
          <w:rFonts w:ascii="Arial" w:cs="Arial" w:eastAsia="Arial" w:hAnsi="Arial"/>
          <w:sz w:val="16"/>
          <w:szCs w:val="16"/>
          <w:color w:val="auto"/>
        </w:rPr>
        <w:t xml:space="preserve"> shall be made in lieu of severance pay due to said employee with respect to the salary from which said payments were made and for the period they were paid (hereinafter: the </w:t>
      </w:r>
      <w:r>
        <w:rPr>
          <w:rFonts w:ascii="Arial" w:cs="Arial" w:eastAsia="Arial" w:hAnsi="Arial"/>
          <w:sz w:val="16"/>
          <w:szCs w:val="16"/>
          <w:b w:val="1"/>
          <w:bCs w:val="1"/>
          <w:color w:val="auto"/>
        </w:rPr>
        <w:t>“Exempt Salary”),</w:t>
      </w:r>
      <w:r>
        <w:rPr>
          <w:rFonts w:ascii="Arial" w:cs="Arial" w:eastAsia="Arial" w:hAnsi="Arial"/>
          <w:sz w:val="16"/>
          <w:szCs w:val="16"/>
          <w:color w:val="auto"/>
        </w:rPr>
        <w:t xml:space="preserve"> provided that all the following conditions are fulfilled:</w:t>
      </w:r>
    </w:p>
    <w:p>
      <w:pPr>
        <w:spacing w:after="0" w:line="197" w:lineRule="exact"/>
        <w:rPr>
          <w:sz w:val="20"/>
          <w:szCs w:val="20"/>
          <w:color w:val="auto"/>
        </w:rPr>
      </w:pPr>
    </w:p>
    <w:p>
      <w:pPr>
        <w:ind w:left="426" w:hanging="426"/>
        <w:spacing w:after="0"/>
        <w:tabs>
          <w:tab w:leader="none" w:pos="42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Employer’s Payments —</w:t>
      </w:r>
    </w:p>
    <w:p>
      <w:pPr>
        <w:spacing w:after="0" w:line="224" w:lineRule="exact"/>
        <w:rPr>
          <w:sz w:val="20"/>
          <w:szCs w:val="20"/>
          <w:color w:val="auto"/>
        </w:rPr>
      </w:pPr>
    </w:p>
    <w:p>
      <w:pPr>
        <w:jc w:val="both"/>
        <w:ind w:left="6" w:right="20" w:hanging="6"/>
        <w:spacing w:after="0" w:line="360" w:lineRule="auto"/>
        <w:tabs>
          <w:tab w:leader="none" w:pos="491" w:val="left"/>
        </w:tabs>
        <w:numPr>
          <w:ilvl w:val="0"/>
          <w:numId w:val="203"/>
        </w:numPr>
        <w:rPr>
          <w:rFonts w:ascii="Arial" w:cs="Arial" w:eastAsia="Arial" w:hAnsi="Arial"/>
          <w:sz w:val="14"/>
          <w:szCs w:val="14"/>
          <w:color w:val="auto"/>
        </w:rPr>
      </w:pPr>
      <w:r>
        <w:rPr>
          <w:rFonts w:ascii="Arial" w:cs="Arial" w:eastAsia="Arial" w:hAnsi="Arial"/>
          <w:sz w:val="14"/>
          <w:szCs w:val="14"/>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of2⅓%of the Exempt Salary. In the event that the employer has not paid the above mentioned2⅓%in addition to said 12%, his payments shall come in lieu of only 72% of the employee’s severance pay;</w:t>
      </w:r>
    </w:p>
    <w:p>
      <w:pPr>
        <w:spacing w:after="0" w:line="133" w:lineRule="exact"/>
        <w:rPr>
          <w:rFonts w:ascii="Arial" w:cs="Arial" w:eastAsia="Arial" w:hAnsi="Arial"/>
          <w:sz w:val="14"/>
          <w:szCs w:val="14"/>
          <w:color w:val="auto"/>
        </w:rPr>
      </w:pPr>
    </w:p>
    <w:p>
      <w:pPr>
        <w:ind w:left="426" w:hanging="426"/>
        <w:spacing w:after="0"/>
        <w:tabs>
          <w:tab w:leader="none" w:pos="42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to the Insurance Fund are not less than one of the following:</w:t>
      </w:r>
    </w:p>
    <w:p>
      <w:pPr>
        <w:spacing w:after="0" w:line="224" w:lineRule="exact"/>
        <w:rPr>
          <w:sz w:val="20"/>
          <w:szCs w:val="20"/>
          <w:color w:val="auto"/>
        </w:rPr>
      </w:pPr>
    </w:p>
    <w:p>
      <w:pPr>
        <w:jc w:val="both"/>
        <w:ind w:left="6" w:right="20" w:hanging="6"/>
        <w:spacing w:after="0" w:line="315" w:lineRule="auto"/>
        <w:tabs>
          <w:tab w:leader="none" w:pos="50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of2½%of the Exempt Salary (hereinafter: “Disability Insurance Payment”);</w:t>
      </w:r>
    </w:p>
    <w:p>
      <w:pPr>
        <w:spacing w:after="0" w:line="154" w:lineRule="exact"/>
        <w:rPr>
          <w:rFonts w:ascii="Arial" w:cs="Arial" w:eastAsia="Arial" w:hAnsi="Arial"/>
          <w:sz w:val="15"/>
          <w:szCs w:val="15"/>
          <w:color w:val="auto"/>
        </w:rPr>
      </w:pPr>
    </w:p>
    <w:p>
      <w:pPr>
        <w:jc w:val="both"/>
        <w:ind w:left="6" w:hanging="6"/>
        <w:spacing w:after="0" w:line="263" w:lineRule="auto"/>
        <w:tabs>
          <w:tab w:leader="none" w:pos="4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amountof 2⅓%of the Exempt Salary, the Employer’s Payments shall come in lieu of 100% of the employee’s severance pay.</w:t>
      </w:r>
    </w:p>
    <w:p>
      <w:pPr>
        <w:spacing w:after="0" w:line="216" w:lineRule="exact"/>
        <w:rPr>
          <w:sz w:val="20"/>
          <w:szCs w:val="20"/>
          <w:color w:val="auto"/>
        </w:rPr>
      </w:pPr>
    </w:p>
    <w:p>
      <w:pPr>
        <w:ind w:left="6" w:hanging="6"/>
        <w:spacing w:after="0" w:line="283" w:lineRule="auto"/>
        <w:tabs>
          <w:tab w:leader="none" w:pos="53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No later than three months from the commencement of the Employer’s Payment, a written agreement was executed between the employer and the employee, which includes:</w:t>
      </w:r>
    </w:p>
    <w:p>
      <w:pPr>
        <w:spacing w:after="0" w:line="199" w:lineRule="exact"/>
        <w:rPr>
          <w:sz w:val="20"/>
          <w:szCs w:val="20"/>
          <w:color w:val="auto"/>
        </w:rPr>
      </w:pPr>
    </w:p>
    <w:p>
      <w:pPr>
        <w:ind w:left="6" w:right="20" w:hanging="6"/>
        <w:spacing w:after="0" w:line="283" w:lineRule="auto"/>
        <w:tabs>
          <w:tab w:leader="none" w:pos="47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99" w:lineRule="exact"/>
        <w:rPr>
          <w:rFonts w:ascii="Arial" w:cs="Arial" w:eastAsia="Arial" w:hAnsi="Arial"/>
          <w:sz w:val="16"/>
          <w:szCs w:val="16"/>
          <w:color w:val="auto"/>
        </w:rPr>
      </w:pPr>
    </w:p>
    <w:p>
      <w:pPr>
        <w:jc w:val="both"/>
        <w:ind w:left="6" w:right="20" w:hanging="6"/>
        <w:spacing w:after="0" w:line="294" w:lineRule="auto"/>
        <w:tabs>
          <w:tab w:leader="none" w:pos="597" w:val="left"/>
        </w:tabs>
        <w:numPr>
          <w:ilvl w:val="0"/>
          <w:numId w:val="206"/>
        </w:numPr>
        <w:rPr>
          <w:rFonts w:ascii="Arial" w:cs="Arial" w:eastAsia="Arial" w:hAnsi="Arial"/>
          <w:sz w:val="15"/>
          <w:szCs w:val="15"/>
          <w:color w:val="auto"/>
        </w:rPr>
      </w:pPr>
      <w:r>
        <w:rPr>
          <w:rFonts w:ascii="Arial" w:cs="Arial" w:eastAsia="Arial" w:hAnsi="Arial"/>
          <w:sz w:val="15"/>
          <w:szCs w:val="15"/>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94" w:lineRule="exact"/>
        <w:rPr>
          <w:sz w:val="20"/>
          <w:szCs w:val="20"/>
          <w:color w:val="auto"/>
        </w:rPr>
      </w:pPr>
    </w:p>
    <w:p>
      <w:pPr>
        <w:ind w:left="6" w:right="20" w:hanging="6"/>
        <w:spacing w:after="0" w:line="283" w:lineRule="auto"/>
        <w:tabs>
          <w:tab w:leader="none" w:pos="5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This approval shall not derogate from the employee’s right to severance pay pursuant to any law, collective agreement, extension order or employment agreement with respect to compensation in excess of the Exempt Salary.</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color w:val="auto"/>
        </w:rPr>
        <w:t>15th Sivan 5758 (June 9th,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153670</wp:posOffset>
            </wp:positionV>
            <wp:extent cx="464185" cy="4095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64185"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346"/>
        <w:spacing w:after="0"/>
        <w:rPr>
          <w:sz w:val="20"/>
          <w:szCs w:val="20"/>
          <w:color w:val="auto"/>
        </w:rPr>
      </w:pPr>
      <w:r>
        <w:rPr>
          <w:rFonts w:ascii="Arial" w:cs="Arial" w:eastAsia="Arial" w:hAnsi="Arial"/>
          <w:sz w:val="16"/>
          <w:szCs w:val="16"/>
          <w:color w:val="auto"/>
        </w:rPr>
        <w:t>M. 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5479415</wp:posOffset>
            </wp:positionH>
            <wp:positionV relativeFrom="paragraph">
              <wp:posOffset>14605</wp:posOffset>
            </wp:positionV>
            <wp:extent cx="154622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46225" cy="15240"/>
                    </a:xfrm>
                    <a:prstGeom prst="rect">
                      <a:avLst/>
                    </a:prstGeom>
                    <a:noFill/>
                  </pic:spPr>
                </pic:pic>
              </a:graphicData>
            </a:graphic>
          </wp:anchor>
        </w:drawing>
      </w:r>
    </w:p>
    <w:p>
      <w:pPr>
        <w:spacing w:after="0" w:line="15" w:lineRule="exact"/>
        <w:rPr>
          <w:sz w:val="20"/>
          <w:szCs w:val="20"/>
          <w:color w:val="auto"/>
        </w:rPr>
      </w:pPr>
    </w:p>
    <w:p>
      <w:pPr>
        <w:ind w:left="8926"/>
        <w:spacing w:after="0"/>
        <w:tabs>
          <w:tab w:leader="none" w:pos="10166"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38100</wp:posOffset>
            </wp:positionV>
            <wp:extent cx="725995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6"/>
          </w:cols>
          <w:pgMar w:left="254" w:top="1219" w:right="239" w:bottom="1440" w:gutter="0" w:footer="0" w:header="0"/>
        </w:sectPr>
      </w:pPr>
    </w:p>
    <w:bookmarkStart w:id="253" w:name="page254"/>
    <w:bookmarkEnd w:id="253"/>
    <w:p>
      <w:pPr>
        <w:ind w:left="8583"/>
        <w:spacing w:after="0"/>
        <w:rPr>
          <w:sz w:val="20"/>
          <w:szCs w:val="20"/>
          <w:color w:val="auto"/>
        </w:rPr>
      </w:pPr>
      <w:r>
        <w:rPr>
          <w:rFonts w:ascii="Arial" w:cs="Arial" w:eastAsia="Arial" w:hAnsi="Arial"/>
          <w:sz w:val="16"/>
          <w:szCs w:val="16"/>
          <w:color w:val="auto"/>
        </w:rPr>
        <w:t>Modi’in Technology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2103120" cy="425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03120" cy="425450"/>
                    </a:xfrm>
                    <a:prstGeom prst="rect">
                      <a:avLst/>
                    </a:prstGeom>
                    <a:noFill/>
                  </pic:spPr>
                </pic:pic>
              </a:graphicData>
            </a:graphic>
          </wp:anchor>
        </w:drawing>
      </w:r>
    </w:p>
    <w:p>
      <w:pPr>
        <w:spacing w:after="0" w:line="3" w:lineRule="exact"/>
        <w:rPr>
          <w:sz w:val="20"/>
          <w:szCs w:val="20"/>
          <w:color w:val="auto"/>
        </w:rPr>
      </w:pPr>
    </w:p>
    <w:p>
      <w:pPr>
        <w:ind w:left="8583"/>
        <w:spacing w:after="0"/>
        <w:rPr>
          <w:sz w:val="20"/>
          <w:szCs w:val="20"/>
          <w:color w:val="auto"/>
        </w:rPr>
      </w:pPr>
      <w:r>
        <w:rPr>
          <w:rFonts w:ascii="Arial" w:cs="Arial" w:eastAsia="Arial" w:hAnsi="Arial"/>
          <w:sz w:val="16"/>
          <w:szCs w:val="16"/>
          <w:color w:val="auto"/>
        </w:rPr>
        <w:t>2 HaMa’ayan Street</w:t>
      </w:r>
    </w:p>
    <w:p>
      <w:pPr>
        <w:spacing w:after="0" w:line="11" w:lineRule="exact"/>
        <w:rPr>
          <w:sz w:val="20"/>
          <w:szCs w:val="20"/>
          <w:color w:val="auto"/>
        </w:rPr>
      </w:pPr>
    </w:p>
    <w:p>
      <w:pPr>
        <w:ind w:left="8583"/>
        <w:spacing w:after="0"/>
        <w:rPr>
          <w:sz w:val="20"/>
          <w:szCs w:val="20"/>
          <w:color w:val="auto"/>
        </w:rPr>
      </w:pPr>
      <w:r>
        <w:rPr>
          <w:rFonts w:ascii="Arial" w:cs="Arial" w:eastAsia="Arial" w:hAnsi="Arial"/>
          <w:sz w:val="16"/>
          <w:szCs w:val="16"/>
          <w:color w:val="auto"/>
        </w:rPr>
        <w:t>Modi’in 7177871, Israel</w:t>
      </w:r>
    </w:p>
    <w:p>
      <w:pPr>
        <w:spacing w:after="0" w:line="190" w:lineRule="exact"/>
        <w:rPr>
          <w:sz w:val="20"/>
          <w:szCs w:val="20"/>
          <w:color w:val="auto"/>
        </w:rPr>
      </w:pPr>
    </w:p>
    <w:p>
      <w:pPr>
        <w:ind w:left="8583"/>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972-8-642-9100</w:t>
      </w:r>
    </w:p>
    <w:p>
      <w:pPr>
        <w:spacing w:after="0" w:line="27" w:lineRule="exact"/>
        <w:rPr>
          <w:sz w:val="20"/>
          <w:szCs w:val="20"/>
          <w:color w:val="auto"/>
        </w:rPr>
      </w:pPr>
    </w:p>
    <w:p>
      <w:pPr>
        <w:ind w:left="8583"/>
        <w:spacing w:after="0"/>
        <w:tabs>
          <w:tab w:leader="none" w:pos="9202" w:val="left"/>
        </w:tabs>
        <w:rPr>
          <w:sz w:val="20"/>
          <w:szCs w:val="20"/>
          <w:color w:val="auto"/>
        </w:rPr>
      </w:pPr>
      <w:r>
        <w:rPr>
          <w:rFonts w:ascii="Arial" w:cs="Arial" w:eastAsia="Arial" w:hAnsi="Arial"/>
          <w:sz w:val="16"/>
          <w:szCs w:val="16"/>
          <w:b w:val="1"/>
          <w:bCs w:val="1"/>
          <w:color w:val="auto"/>
        </w:rPr>
        <w:t>Fax:</w:t>
      </w:r>
      <w:r>
        <w:rPr>
          <w:sz w:val="20"/>
          <w:szCs w:val="20"/>
          <w:color w:val="auto"/>
        </w:rPr>
        <w:tab/>
      </w:r>
      <w:r>
        <w:rPr>
          <w:rFonts w:ascii="Arial" w:cs="Arial" w:eastAsia="Arial" w:hAnsi="Arial"/>
          <w:sz w:val="16"/>
          <w:szCs w:val="16"/>
          <w:color w:val="auto"/>
        </w:rPr>
        <w:t>972-8-642-9101</w:t>
      </w:r>
    </w:p>
    <w:p>
      <w:pPr>
        <w:spacing w:after="0" w:line="11" w:lineRule="exact"/>
        <w:rPr>
          <w:sz w:val="20"/>
          <w:szCs w:val="20"/>
          <w:color w:val="auto"/>
        </w:rPr>
      </w:pPr>
    </w:p>
    <w:p>
      <w:pPr>
        <w:jc w:val="both"/>
        <w:ind w:left="8583"/>
        <w:spacing w:after="0"/>
        <w:tabs>
          <w:tab w:leader="none" w:pos="9222" w:val="left"/>
        </w:tabs>
        <w:rPr>
          <w:sz w:val="20"/>
          <w:szCs w:val="20"/>
          <w:color w:val="auto"/>
        </w:rPr>
      </w:pPr>
      <w:r>
        <w:rPr>
          <w:rFonts w:ascii="Arial" w:cs="Arial" w:eastAsia="Arial" w:hAnsi="Arial"/>
          <w:sz w:val="16"/>
          <w:szCs w:val="16"/>
          <w:b w:val="1"/>
          <w:bCs w:val="1"/>
          <w:color w:val="auto"/>
        </w:rPr>
        <w:t>web:</w:t>
      </w:r>
      <w:r>
        <w:rPr>
          <w:sz w:val="20"/>
          <w:szCs w:val="20"/>
          <w:color w:val="auto"/>
        </w:rPr>
        <w:tab/>
      </w:r>
      <w:r>
        <w:rPr>
          <w:rFonts w:ascii="Arial" w:cs="Arial" w:eastAsia="Arial" w:hAnsi="Arial"/>
          <w:sz w:val="16"/>
          <w:szCs w:val="16"/>
          <w:color w:val="auto"/>
        </w:rPr>
        <w:t>www.BioLineRx.com</w:t>
      </w:r>
    </w:p>
    <w:p>
      <w:pPr>
        <w:spacing w:after="0" w:line="243" w:lineRule="exact"/>
        <w:rPr>
          <w:sz w:val="20"/>
          <w:szCs w:val="20"/>
          <w:color w:val="auto"/>
        </w:rPr>
      </w:pPr>
    </w:p>
    <w:p>
      <w:pPr>
        <w:ind w:left="3"/>
        <w:spacing w:after="0"/>
        <w:rPr>
          <w:sz w:val="20"/>
          <w:szCs w:val="20"/>
          <w:color w:val="auto"/>
        </w:rPr>
      </w:pPr>
      <w:r>
        <w:rPr>
          <w:rFonts w:ascii="Arial" w:cs="Arial" w:eastAsia="Arial" w:hAnsi="Arial"/>
          <w:sz w:val="16"/>
          <w:szCs w:val="16"/>
          <w:color w:val="auto"/>
        </w:rPr>
        <w:t>October 10, 2016</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color w:val="auto"/>
        </w:rPr>
        <w:t>To: Mali Zeevi</w:t>
      </w:r>
    </w:p>
    <w:p>
      <w:pPr>
        <w:spacing w:after="0" w:line="2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Re: </w:t>
      </w:r>
      <w:r>
        <w:rPr>
          <w:rFonts w:ascii="Arial" w:cs="Arial" w:eastAsia="Arial" w:hAnsi="Arial"/>
          <w:sz w:val="16"/>
          <w:szCs w:val="16"/>
          <w:b w:val="1"/>
          <w:bCs w:val="1"/>
          <w:u w:val="single" w:color="auto"/>
          <w:color w:val="auto"/>
        </w:rPr>
        <w:t>Change of Employment Terms</w:t>
      </w:r>
    </w:p>
    <w:p>
      <w:pPr>
        <w:spacing w:after="0" w:line="258" w:lineRule="exact"/>
        <w:rPr>
          <w:sz w:val="20"/>
          <w:szCs w:val="20"/>
          <w:color w:val="auto"/>
        </w:rPr>
      </w:pPr>
    </w:p>
    <w:p>
      <w:pPr>
        <w:ind w:left="3"/>
        <w:spacing w:after="0"/>
        <w:rPr>
          <w:sz w:val="20"/>
          <w:szCs w:val="20"/>
          <w:color w:val="auto"/>
        </w:rPr>
      </w:pPr>
      <w:r>
        <w:rPr>
          <w:rFonts w:ascii="Arial" w:cs="Arial" w:eastAsia="Arial" w:hAnsi="Arial"/>
          <w:sz w:val="16"/>
          <w:szCs w:val="16"/>
          <w:color w:val="auto"/>
        </w:rPr>
        <w:t>Dear Mali,</w:t>
      </w:r>
    </w:p>
    <w:p>
      <w:pPr>
        <w:spacing w:after="0" w:line="250" w:lineRule="exact"/>
        <w:rPr>
          <w:sz w:val="20"/>
          <w:szCs w:val="20"/>
          <w:color w:val="auto"/>
        </w:rPr>
      </w:pPr>
    </w:p>
    <w:p>
      <w:pPr>
        <w:ind w:left="3" w:right="140"/>
        <w:spacing w:after="0" w:line="288" w:lineRule="auto"/>
        <w:rPr>
          <w:sz w:val="20"/>
          <w:szCs w:val="20"/>
          <w:color w:val="auto"/>
        </w:rPr>
      </w:pPr>
      <w:r>
        <w:rPr>
          <w:rFonts w:ascii="Arial" w:cs="Arial" w:eastAsia="Arial" w:hAnsi="Arial"/>
          <w:sz w:val="16"/>
          <w:szCs w:val="16"/>
          <w:color w:val="auto"/>
        </w:rPr>
        <w:t>This is to confirm that the Board of Directors has approved the following changes in your Employment Agreement dated September 16, 2009 (the “</w:t>
      </w:r>
      <w:r>
        <w:rPr>
          <w:rFonts w:ascii="Arial" w:cs="Arial" w:eastAsia="Arial" w:hAnsi="Arial"/>
          <w:sz w:val="16"/>
          <w:szCs w:val="16"/>
          <w:b w:val="1"/>
          <w:bCs w:val="1"/>
          <w:color w:val="auto"/>
        </w:rPr>
        <w:t>Agreement</w:t>
      </w:r>
      <w:r>
        <w:rPr>
          <w:rFonts w:ascii="Arial" w:cs="Arial" w:eastAsia="Arial" w:hAnsi="Arial"/>
          <w:sz w:val="16"/>
          <w:szCs w:val="16"/>
          <w:color w:val="auto"/>
        </w:rPr>
        <w:t>”), beginning October 10, 2016:</w:t>
      </w:r>
    </w:p>
    <w:p>
      <w:pPr>
        <w:spacing w:after="0" w:line="232" w:lineRule="exact"/>
        <w:rPr>
          <w:sz w:val="20"/>
          <w:szCs w:val="20"/>
          <w:color w:val="auto"/>
        </w:rPr>
      </w:pPr>
    </w:p>
    <w:p>
      <w:pPr>
        <w:ind w:left="543" w:hanging="543"/>
        <w:spacing w:after="0"/>
        <w:tabs>
          <w:tab w:leader="none" w:pos="54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you have been appointed as Chief Financial Officer of the Company; and</w:t>
      </w:r>
    </w:p>
    <w:p>
      <w:pPr>
        <w:spacing w:after="0" w:line="59" w:lineRule="exact"/>
        <w:rPr>
          <w:rFonts w:ascii="Arial" w:cs="Arial" w:eastAsia="Arial" w:hAnsi="Arial"/>
          <w:sz w:val="16"/>
          <w:szCs w:val="16"/>
          <w:color w:val="auto"/>
        </w:rPr>
      </w:pPr>
    </w:p>
    <w:p>
      <w:pPr>
        <w:ind w:left="543" w:hanging="543"/>
        <w:spacing w:after="0"/>
        <w:tabs>
          <w:tab w:leader="none" w:pos="54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your total Salary as defined in your Employment Agreement will be increased to NIS 42,000 per month.</w:t>
      </w:r>
    </w:p>
    <w:p>
      <w:pPr>
        <w:spacing w:after="0" w:line="267" w:lineRule="exact"/>
        <w:rPr>
          <w:sz w:val="20"/>
          <w:szCs w:val="20"/>
          <w:color w:val="auto"/>
        </w:rPr>
      </w:pPr>
    </w:p>
    <w:p>
      <w:pPr>
        <w:ind w:left="3"/>
        <w:spacing w:after="0"/>
        <w:rPr>
          <w:sz w:val="20"/>
          <w:szCs w:val="20"/>
          <w:color w:val="auto"/>
        </w:rPr>
      </w:pPr>
      <w:r>
        <w:rPr>
          <w:rFonts w:ascii="Arial" w:cs="Arial" w:eastAsia="Arial" w:hAnsi="Arial"/>
          <w:sz w:val="16"/>
          <w:szCs w:val="16"/>
          <w:color w:val="auto"/>
        </w:rPr>
        <w:t>All other terms of your Agreement will remain the same.</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color w:val="auto"/>
        </w:rPr>
        <w:t>Please indicate your confirmation of the foregoing by signing below where indicated and returning a copy to BioLine.</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appreciate your continued contributions to the Company.</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color w:val="auto"/>
        </w:rPr>
        <w:t>Sincerely,</w:t>
      </w:r>
    </w:p>
    <w:p>
      <w:pPr>
        <w:spacing w:after="0" w:line="291"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/s/ Philip Serlin</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color w:val="auto"/>
        </w:rPr>
        <w:t>Chief Executive Officer</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color w:val="auto"/>
        </w:rPr>
        <w:t>BioLineRx Ltd.</w:t>
      </w:r>
    </w:p>
    <w:p>
      <w:pPr>
        <w:spacing w:after="0" w:line="243" w:lineRule="exact"/>
        <w:rPr>
          <w:sz w:val="20"/>
          <w:szCs w:val="20"/>
          <w:color w:val="auto"/>
        </w:rPr>
      </w:pPr>
    </w:p>
    <w:p>
      <w:pPr>
        <w:ind w:left="3"/>
        <w:spacing w:after="0"/>
        <w:rPr>
          <w:sz w:val="20"/>
          <w:szCs w:val="20"/>
          <w:color w:val="auto"/>
        </w:rPr>
      </w:pPr>
      <w:r>
        <w:rPr>
          <w:rFonts w:ascii="Arial" w:cs="Arial" w:eastAsia="Arial" w:hAnsi="Arial"/>
          <w:sz w:val="16"/>
          <w:szCs w:val="16"/>
          <w:color w:val="auto"/>
        </w:rPr>
        <w:t>Confirmed:</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u w:val="single" w:color="auto"/>
          <w:color w:val="auto"/>
        </w:rPr>
        <w:t>/s/ Mali Zeevi</w:t>
      </w:r>
    </w:p>
    <w:p>
      <w:pPr>
        <w:spacing w:after="0" w:line="254" w:lineRule="exact"/>
        <w:rPr>
          <w:sz w:val="20"/>
          <w:szCs w:val="20"/>
          <w:color w:val="auto"/>
        </w:rPr>
      </w:pPr>
    </w:p>
    <w:p>
      <w:pPr>
        <w:ind w:left="564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995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7259955" cy="311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0663"/>
          </w:cols>
          <w:pgMar w:left="237" w:top="590" w:right="9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197485</wp:posOffset>
            </wp:positionV>
            <wp:extent cx="725995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311150</wp:posOffset>
            </wp:positionV>
            <wp:extent cx="2597785" cy="4406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9778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7"/>
        <w:spacing w:after="0"/>
        <w:rPr>
          <w:sz w:val="20"/>
          <w:szCs w:val="20"/>
          <w:color w:val="auto"/>
        </w:rPr>
      </w:pPr>
      <w:r>
        <w:rPr>
          <w:rFonts w:ascii="Arial" w:cs="Arial" w:eastAsia="Arial" w:hAnsi="Arial"/>
          <w:sz w:val="16"/>
          <w:szCs w:val="16"/>
          <w:b w:val="1"/>
          <w:bCs w:val="1"/>
          <w:u w:val="single" w:color="auto"/>
          <w:color w:val="auto"/>
        </w:rPr>
        <w:t>Employment Agreement</w:t>
      </w:r>
    </w:p>
    <w:p>
      <w:pPr>
        <w:spacing w:after="0" w:line="254" w:lineRule="exact"/>
        <w:rPr>
          <w:sz w:val="20"/>
          <w:szCs w:val="20"/>
          <w:color w:val="auto"/>
        </w:rPr>
      </w:pPr>
    </w:p>
    <w:p>
      <w:pPr>
        <w:jc w:val="both"/>
        <w:ind w:left="3" w:right="40"/>
        <w:spacing w:after="0" w:line="271" w:lineRule="auto"/>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entered into on this 2nd day of April, 2014 by and between </w:t>
      </w:r>
      <w:r>
        <w:rPr>
          <w:rFonts w:ascii="Arial" w:cs="Arial" w:eastAsia="Arial" w:hAnsi="Arial"/>
          <w:sz w:val="16"/>
          <w:szCs w:val="16"/>
          <w:b w:val="1"/>
          <w:bCs w:val="1"/>
          <w:color w:val="auto"/>
        </w:rPr>
        <w:t>BioLineRx Ltd.</w:t>
      </w:r>
      <w:r>
        <w:rPr>
          <w:rFonts w:ascii="Arial" w:cs="Arial" w:eastAsia="Arial" w:hAnsi="Arial"/>
          <w:sz w:val="16"/>
          <w:szCs w:val="16"/>
          <w:color w:val="auto"/>
        </w:rPr>
        <w:t>, a company organized under the laws of the State of Israel, with its offices at 19 Hartum Street, P.O. Box 45158, Jerusalem 9777518 (“</w:t>
      </w:r>
      <w:r>
        <w:rPr>
          <w:rFonts w:ascii="Arial" w:cs="Arial" w:eastAsia="Arial" w:hAnsi="Arial"/>
          <w:sz w:val="16"/>
          <w:szCs w:val="16"/>
          <w:b w:val="1"/>
          <w:bCs w:val="1"/>
          <w:color w:val="auto"/>
        </w:rPr>
        <w:t>BioLine</w:t>
      </w:r>
      <w:r>
        <w:rPr>
          <w:rFonts w:ascii="Arial" w:cs="Arial" w:eastAsia="Arial" w:hAnsi="Arial"/>
          <w:sz w:val="16"/>
          <w:szCs w:val="16"/>
          <w:color w:val="auto"/>
        </w:rPr>
        <w:t xml:space="preserve">”), and </w:t>
      </w:r>
      <w:r>
        <w:rPr>
          <w:rFonts w:ascii="Arial" w:cs="Arial" w:eastAsia="Arial" w:hAnsi="Arial"/>
          <w:sz w:val="16"/>
          <w:szCs w:val="16"/>
          <w:b w:val="1"/>
          <w:bCs w:val="1"/>
          <w:color w:val="auto"/>
        </w:rPr>
        <w:t>Abi Vainstein</w:t>
      </w:r>
      <w:r>
        <w:rPr>
          <w:rFonts w:ascii="Arial" w:cs="Arial" w:eastAsia="Arial" w:hAnsi="Arial"/>
          <w:sz w:val="16"/>
          <w:szCs w:val="16"/>
          <w:color w:val="auto"/>
        </w:rPr>
        <w:t>, I.D. Number 324556646, with an address at Ben Shalom 7, Herzliya 4640852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209"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WHEREAS, BioLine desires to employ Employee and Employee desires to enter into such employment, on the terms and conditions hereinafter set forth.</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color w:val="auto"/>
        </w:rPr>
        <w:t>NOW THEREFORE, in consideration of the mutual covenants and conditions hereinafter set forth, the parties agree as follows:</w:t>
      </w:r>
    </w:p>
    <w:p>
      <w:pPr>
        <w:spacing w:after="0" w:line="250" w:lineRule="exact"/>
        <w:rPr>
          <w:sz w:val="20"/>
          <w:szCs w:val="20"/>
          <w:color w:val="auto"/>
        </w:rPr>
      </w:pPr>
    </w:p>
    <w:p>
      <w:pPr>
        <w:ind w:left="283" w:hanging="283"/>
        <w:spacing w:after="0"/>
        <w:tabs>
          <w:tab w:leader="none" w:pos="283"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Employment</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683" w:right="20" w:hanging="390"/>
        <w:spacing w:after="0" w:line="288" w:lineRule="auto"/>
        <w:rPr>
          <w:rFonts w:ascii="Arial" w:cs="Arial" w:eastAsia="Arial" w:hAnsi="Arial"/>
          <w:sz w:val="16"/>
          <w:szCs w:val="16"/>
          <w:color w:val="auto"/>
        </w:rPr>
      </w:pPr>
      <w:r>
        <w:rPr>
          <w:rFonts w:ascii="Arial" w:cs="Arial" w:eastAsia="Arial" w:hAnsi="Arial"/>
          <w:sz w:val="15"/>
          <w:szCs w:val="15"/>
          <w:color w:val="auto"/>
        </w:rPr>
        <w:t xml:space="preserve">1.1. Employee shall serve in the position described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commencing on June 1, 2014 (the “</w:t>
      </w:r>
      <w:r>
        <w:rPr>
          <w:rFonts w:ascii="Arial" w:cs="Arial" w:eastAsia="Arial" w:hAnsi="Arial"/>
          <w:sz w:val="15"/>
          <w:szCs w:val="15"/>
          <w:b w:val="1"/>
          <w:bCs w:val="1"/>
          <w:color w:val="auto"/>
        </w:rPr>
        <w:t>Commencement Date</w:t>
      </w:r>
      <w:r>
        <w:rPr>
          <w:rFonts w:ascii="Arial" w:cs="Arial" w:eastAsia="Arial" w:hAnsi="Arial"/>
          <w:sz w:val="15"/>
          <w:szCs w:val="15"/>
          <w:color w:val="auto"/>
        </w:rPr>
        <w:t>”). Employee shall be under the direct supervision of the Vice President of Medical Affairs and/or any individual designated by BioLine at its sole discretion (the “</w:t>
      </w:r>
      <w:r>
        <w:rPr>
          <w:rFonts w:ascii="Arial" w:cs="Arial" w:eastAsia="Arial" w:hAnsi="Arial"/>
          <w:sz w:val="15"/>
          <w:szCs w:val="15"/>
          <w:b w:val="1"/>
          <w:bCs w:val="1"/>
          <w:color w:val="auto"/>
        </w:rPr>
        <w:t>Supervisor</w:t>
      </w:r>
      <w:r>
        <w:rPr>
          <w:rFonts w:ascii="Arial" w:cs="Arial" w:eastAsia="Arial" w:hAnsi="Arial"/>
          <w:sz w:val="15"/>
          <w:szCs w:val="15"/>
          <w:color w:val="auto"/>
        </w:rPr>
        <w:t>”). Employee shall perform the duties, undertake the responsibilities and exercise the authority as determined from time to time by the Supervisor diligently, conscientiously and in furtherance of BioLine’s best interests. Employee’s duties and responsibilities hereunder may also include other services performed for affiliates of BioLine.</w:t>
      </w:r>
    </w:p>
    <w:p>
      <w:pPr>
        <w:spacing w:after="0" w:line="198" w:lineRule="exact"/>
        <w:rPr>
          <w:rFonts w:ascii="Arial" w:cs="Arial" w:eastAsia="Arial" w:hAnsi="Arial"/>
          <w:sz w:val="16"/>
          <w:szCs w:val="16"/>
          <w:color w:val="auto"/>
        </w:rPr>
      </w:pPr>
    </w:p>
    <w:p>
      <w:pPr>
        <w:ind w:left="663" w:right="20" w:hanging="390"/>
        <w:spacing w:after="0" w:line="268" w:lineRule="auto"/>
        <w:rPr>
          <w:rFonts w:ascii="Arial" w:cs="Arial" w:eastAsia="Arial" w:hAnsi="Arial"/>
          <w:sz w:val="16"/>
          <w:szCs w:val="16"/>
          <w:color w:val="auto"/>
        </w:rPr>
      </w:pPr>
      <w:r>
        <w:rPr>
          <w:rFonts w:ascii="Arial" w:cs="Arial" w:eastAsia="Arial" w:hAnsi="Arial"/>
          <w:sz w:val="16"/>
          <w:szCs w:val="16"/>
          <w:color w:val="auto"/>
        </w:rPr>
        <w:t>1.2. During the Employment Period (as defined in Section 5), Employee shall honestly, diligently, skillfully and faithfully serve BioLine, and undertakes to devote all of Employee’s efforts and the best of his/her qualifications and skills to promoting the business and affairs of BioLine, and shall at all times act in a manner suitable of his/her position and status in BioLine.</w:t>
      </w:r>
    </w:p>
    <w:p>
      <w:pPr>
        <w:spacing w:after="0" w:line="211" w:lineRule="exact"/>
        <w:rPr>
          <w:rFonts w:ascii="Arial" w:cs="Arial" w:eastAsia="Arial" w:hAnsi="Arial"/>
          <w:sz w:val="16"/>
          <w:szCs w:val="16"/>
          <w:color w:val="auto"/>
        </w:rPr>
      </w:pPr>
    </w:p>
    <w:p>
      <w:pPr>
        <w:ind w:left="663" w:right="20" w:hanging="390"/>
        <w:spacing w:after="0" w:line="268" w:lineRule="auto"/>
        <w:rPr>
          <w:rFonts w:ascii="Arial" w:cs="Arial" w:eastAsia="Arial" w:hAnsi="Arial"/>
          <w:sz w:val="16"/>
          <w:szCs w:val="16"/>
          <w:color w:val="auto"/>
        </w:rPr>
      </w:pPr>
      <w:r>
        <w:rPr>
          <w:rFonts w:ascii="Arial" w:cs="Arial" w:eastAsia="Arial" w:hAnsi="Arial"/>
          <w:sz w:val="16"/>
          <w:szCs w:val="16"/>
          <w:color w:val="auto"/>
        </w:rPr>
        <w:t>1.3. Employee agrees and undertakes to inform BioLine, immediately after becoming aware of any matter that may in any way raise a conflict of interest between Employee and BioLine. Employee shall not receive any payment, compensation or benefit from any third party in connection, directly or indirectly, with the execution of Employee’s position in BioLine.</w:t>
      </w:r>
    </w:p>
    <w:p>
      <w:pPr>
        <w:spacing w:after="0" w:line="211" w:lineRule="exact"/>
        <w:rPr>
          <w:rFonts w:ascii="Arial" w:cs="Arial" w:eastAsia="Arial" w:hAnsi="Arial"/>
          <w:sz w:val="16"/>
          <w:szCs w:val="16"/>
          <w:color w:val="auto"/>
        </w:rPr>
      </w:pPr>
    </w:p>
    <w:p>
      <w:pPr>
        <w:ind w:left="663" w:right="20" w:hanging="390"/>
        <w:spacing w:after="0" w:line="268" w:lineRule="auto"/>
        <w:rPr>
          <w:rFonts w:ascii="Arial" w:cs="Arial" w:eastAsia="Arial" w:hAnsi="Arial"/>
          <w:sz w:val="16"/>
          <w:szCs w:val="16"/>
          <w:color w:val="auto"/>
        </w:rPr>
      </w:pPr>
      <w:r>
        <w:rPr>
          <w:rFonts w:ascii="Arial" w:cs="Arial" w:eastAsia="Arial" w:hAnsi="Arial"/>
          <w:sz w:val="16"/>
          <w:szCs w:val="16"/>
          <w:color w:val="auto"/>
        </w:rPr>
        <w:t>1.4. Employee will be employed on a full time basis of no less than 43 hours per week. Employee shall work no less than 8.6 hours per day Sunday through Thursday. Employee shall not undertake or accept any other paid or unpaid employment or occupation or engage in any other business activity except with the prior written consent of BioLine, which shall not be unreasonably withheld.</w:t>
      </w:r>
    </w:p>
    <w:p>
      <w:pPr>
        <w:spacing w:after="0" w:line="211" w:lineRule="exact"/>
        <w:rPr>
          <w:rFonts w:ascii="Arial" w:cs="Arial" w:eastAsia="Arial" w:hAnsi="Arial"/>
          <w:sz w:val="16"/>
          <w:szCs w:val="16"/>
          <w:color w:val="auto"/>
        </w:rPr>
      </w:pPr>
    </w:p>
    <w:p>
      <w:pPr>
        <w:ind w:left="663" w:right="20" w:hanging="390"/>
        <w:spacing w:after="0" w:line="268" w:lineRule="auto"/>
        <w:rPr>
          <w:rFonts w:ascii="Arial" w:cs="Arial" w:eastAsia="Arial" w:hAnsi="Arial"/>
          <w:sz w:val="16"/>
          <w:szCs w:val="16"/>
          <w:color w:val="auto"/>
        </w:rPr>
      </w:pPr>
      <w:r>
        <w:rPr>
          <w:rFonts w:ascii="Arial" w:cs="Arial" w:eastAsia="Arial" w:hAnsi="Arial"/>
          <w:sz w:val="16"/>
          <w:szCs w:val="16"/>
          <w:color w:val="auto"/>
        </w:rPr>
        <w:t>1.5. Employee may also work outside of regular working hours and outside of regular working days, as may be required by BioLine from time to time. Employee must obtain Supervisor’s prior approval for work in excess of the quota of overtime work hours per month set forth in Section 6 below and must notify BioLine if this average quota is exceeded.</w:t>
      </w:r>
    </w:p>
    <w:p>
      <w:pPr>
        <w:spacing w:after="0" w:line="211" w:lineRule="exact"/>
        <w:rPr>
          <w:rFonts w:ascii="Arial" w:cs="Arial" w:eastAsia="Arial" w:hAnsi="Arial"/>
          <w:sz w:val="16"/>
          <w:szCs w:val="16"/>
          <w:color w:val="auto"/>
        </w:rPr>
      </w:pPr>
    </w:p>
    <w:p>
      <w:pPr>
        <w:ind w:left="663" w:right="20" w:hanging="390"/>
        <w:spacing w:after="0" w:line="283" w:lineRule="auto"/>
        <w:rPr>
          <w:rFonts w:ascii="Arial" w:cs="Arial" w:eastAsia="Arial" w:hAnsi="Arial"/>
          <w:sz w:val="16"/>
          <w:szCs w:val="16"/>
          <w:color w:val="auto"/>
        </w:rPr>
      </w:pPr>
      <w:r>
        <w:rPr>
          <w:rFonts w:ascii="Arial" w:cs="Arial" w:eastAsia="Arial" w:hAnsi="Arial"/>
          <w:sz w:val="16"/>
          <w:szCs w:val="16"/>
          <w:color w:val="auto"/>
        </w:rPr>
        <w:t>1.6. The parties hereby confirm that this is an agreement for personal services and that the relationship between the parties shall not be subject to any general or special collective employment agreement or any custom or practice of BioLine with respect to any of its other employees or contractors.</w:t>
      </w:r>
    </w:p>
    <w:p>
      <w:pPr>
        <w:spacing w:after="0" w:line="195" w:lineRule="exact"/>
        <w:rPr>
          <w:rFonts w:ascii="Arial" w:cs="Arial" w:eastAsia="Arial" w:hAnsi="Arial"/>
          <w:sz w:val="16"/>
          <w:szCs w:val="16"/>
          <w:color w:val="auto"/>
        </w:rPr>
      </w:pPr>
    </w:p>
    <w:p>
      <w:pPr>
        <w:jc w:val="both"/>
        <w:ind w:left="283" w:hanging="283"/>
        <w:spacing w:after="0" w:line="271" w:lineRule="auto"/>
        <w:tabs>
          <w:tab w:leader="none" w:pos="283"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Place of Performance</w:t>
      </w:r>
      <w:r>
        <w:rPr>
          <w:rFonts w:ascii="Arial" w:cs="Arial" w:eastAsia="Arial" w:hAnsi="Arial"/>
          <w:sz w:val="16"/>
          <w:szCs w:val="16"/>
          <w:color w:val="auto"/>
        </w:rPr>
        <w:t>. Employee shall be based at BioLine’s facilities in Jerusalem. In addition, Employee may be required to perform work at such other places as are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the functions being performed by BioLine. Employee acknowledges and agrees that his/her position may involve significant domestic and international travel.</w:t>
      </w:r>
    </w:p>
    <w:p>
      <w:pPr>
        <w:spacing w:after="0" w:line="204" w:lineRule="exact"/>
        <w:rPr>
          <w:rFonts w:ascii="Arial" w:cs="Arial" w:eastAsia="Arial" w:hAnsi="Arial"/>
          <w:sz w:val="16"/>
          <w:szCs w:val="16"/>
          <w:color w:val="auto"/>
        </w:rPr>
      </w:pPr>
    </w:p>
    <w:p>
      <w:pPr>
        <w:jc w:val="both"/>
        <w:ind w:left="283" w:hanging="283"/>
        <w:spacing w:after="0" w:line="300" w:lineRule="auto"/>
        <w:tabs>
          <w:tab w:leader="none" w:pos="283" w:val="left"/>
        </w:tabs>
        <w:numPr>
          <w:ilvl w:val="0"/>
          <w:numId w:val="209"/>
        </w:numPr>
        <w:rPr>
          <w:rFonts w:ascii="Arial" w:cs="Arial" w:eastAsia="Arial" w:hAnsi="Arial"/>
          <w:sz w:val="14"/>
          <w:szCs w:val="14"/>
          <w:color w:val="auto"/>
        </w:rPr>
      </w:pPr>
      <w:r>
        <w:rPr>
          <w:rFonts w:ascii="Arial" w:cs="Arial" w:eastAsia="Arial" w:hAnsi="Arial"/>
          <w:sz w:val="14"/>
          <w:szCs w:val="14"/>
          <w:b w:val="1"/>
          <w:bCs w:val="1"/>
          <w:color w:val="auto"/>
        </w:rPr>
        <w:t>Employee’s Representations and Warranties</w:t>
      </w:r>
      <w:r>
        <w:rPr>
          <w:rFonts w:ascii="Arial" w:cs="Arial" w:eastAsia="Arial" w:hAnsi="Arial"/>
          <w:sz w:val="14"/>
          <w:szCs w:val="14"/>
          <w:color w:val="auto"/>
        </w:rPr>
        <w:t>. Employee represents and warrants that the execution and delivery of this Agreement and the fulfillment of all its terms: (i)</w:t>
      </w:r>
      <w:r>
        <w:rPr>
          <w:rFonts w:ascii="Arial" w:cs="Arial" w:eastAsia="Arial" w:hAnsi="Arial"/>
          <w:sz w:val="14"/>
          <w:szCs w:val="14"/>
          <w:b w:val="1"/>
          <w:bCs w:val="1"/>
          <w:color w:val="auto"/>
        </w:rPr>
        <w:t xml:space="preserve"> </w:t>
      </w:r>
      <w:r>
        <w:rPr>
          <w:rFonts w:ascii="Arial" w:cs="Arial" w:eastAsia="Arial" w:hAnsi="Arial"/>
          <w:sz w:val="14"/>
          <w:szCs w:val="14"/>
          <w:color w:val="auto"/>
        </w:rPr>
        <w:t>will not constitute a default under or conflict with any agreement or other instrument to which Employee is a party or by which Employee is bound; and (ii) do not require the consent of any person or entity. Further, with respect to any past engagement Employee may have had with third parties and with respect to any allowed engagement Employee may have with any third party during the term of his/her engagement with BioLine (for purposes hereof, such third parties shall be referred to as “</w:t>
      </w:r>
      <w:r>
        <w:rPr>
          <w:rFonts w:ascii="Arial" w:cs="Arial" w:eastAsia="Arial" w:hAnsi="Arial"/>
          <w:sz w:val="14"/>
          <w:szCs w:val="14"/>
          <w:b w:val="1"/>
          <w:bCs w:val="1"/>
          <w:color w:val="auto"/>
        </w:rPr>
        <w:t>Other</w:t>
      </w:r>
      <w:r>
        <w:rPr>
          <w:rFonts w:ascii="Arial" w:cs="Arial" w:eastAsia="Arial" w:hAnsi="Arial"/>
          <w:sz w:val="14"/>
          <w:szCs w:val="14"/>
          <w:color w:val="auto"/>
        </w:rPr>
        <w:t xml:space="preserve"> </w:t>
      </w:r>
      <w:r>
        <w:rPr>
          <w:rFonts w:ascii="Arial" w:cs="Arial" w:eastAsia="Arial" w:hAnsi="Arial"/>
          <w:sz w:val="14"/>
          <w:szCs w:val="14"/>
          <w:b w:val="1"/>
          <w:bCs w:val="1"/>
          <w:color w:val="auto"/>
        </w:rPr>
        <w:t>Employers</w:t>
      </w:r>
      <w:r>
        <w:rPr>
          <w:rFonts w:ascii="Arial" w:cs="Arial" w:eastAsia="Arial" w:hAnsi="Arial"/>
          <w:sz w:val="14"/>
          <w:szCs w:val="14"/>
          <w:color w:val="auto"/>
        </w:rPr>
        <w:t>”), Employee represents, warrants and undertakes that: (a) Employee’s engagement with BioLine is and will not be in breach of Employee’s undertakings</w:t>
      </w:r>
      <w:r>
        <w:rPr>
          <w:rFonts w:ascii="Arial" w:cs="Arial" w:eastAsia="Arial" w:hAnsi="Arial"/>
          <w:sz w:val="14"/>
          <w:szCs w:val="14"/>
          <w:b w:val="1"/>
          <w:bCs w:val="1"/>
          <w:color w:val="auto"/>
        </w:rPr>
        <w:t xml:space="preserve"> </w:t>
      </w:r>
      <w:r>
        <w:rPr>
          <w:rFonts w:ascii="Arial" w:cs="Arial" w:eastAsia="Arial" w:hAnsi="Arial"/>
          <w:sz w:val="14"/>
          <w:szCs w:val="14"/>
          <w:color w:val="auto"/>
        </w:rPr>
        <w:t>towards Other Employers, and (b) Employee will not disclose to BioLine, or use, in provision of any services to BioLine, any proprietary or confidential information belonging to any Other Employers. Employee further represents and warrants that: (y) he/she does not suffer from any medical condition that may prevent from complying with duties and obligations under this Agreement; and (z) to Employee’s best knowledge, the employment by BioLine will not cause any hazard to Employee’s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25995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622" w:right="219" w:bottom="1440" w:gutter="0" w:footer="0" w:header="0"/>
        </w:sectPr>
      </w:pPr>
    </w:p>
    <w:bookmarkStart w:id="255" w:name="page256"/>
    <w:bookmarkEnd w:id="255"/>
    <w:p>
      <w:pPr>
        <w:jc w:val="both"/>
        <w:ind w:left="283" w:hanging="283"/>
        <w:spacing w:after="0" w:line="297" w:lineRule="auto"/>
        <w:tabs>
          <w:tab w:leader="none" w:pos="283" w:val="left"/>
        </w:tabs>
        <w:numPr>
          <w:ilvl w:val="0"/>
          <w:numId w:val="210"/>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Proprietary Information; Confidentiality and Non-Competition</w:t>
      </w:r>
      <w:r>
        <w:rPr>
          <w:rFonts w:ascii="Arial" w:cs="Arial" w:eastAsia="Arial" w:hAnsi="Arial"/>
          <w:sz w:val="15"/>
          <w:szCs w:val="15"/>
          <w:color w:val="auto"/>
        </w:rPr>
        <w:t>. By executing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Information, Confidentiality and Non-Competition Agreement attached as </w:t>
      </w:r>
      <w:r>
        <w:rPr>
          <w:rFonts w:ascii="Arial" w:cs="Arial" w:eastAsia="Arial" w:hAnsi="Arial"/>
          <w:sz w:val="15"/>
          <w:szCs w:val="15"/>
          <w:b w:val="1"/>
          <w:bCs w:val="1"/>
          <w:color w:val="auto"/>
        </w:rPr>
        <w:t>Exhibit B</w:t>
      </w:r>
      <w:r>
        <w:rPr>
          <w:rFonts w:ascii="Arial" w:cs="Arial" w:eastAsia="Arial" w:hAnsi="Arial"/>
          <w:sz w:val="15"/>
          <w:szCs w:val="15"/>
          <w:color w:val="auto"/>
        </w:rPr>
        <w:t xml:space="preserve"> Employee undertakes to refrain from disclosing such terms to any third party.</w:t>
      </w:r>
    </w:p>
    <w:p>
      <w:pPr>
        <w:spacing w:after="0" w:line="20" w:lineRule="exact"/>
        <w:rPr>
          <w:sz w:val="20"/>
          <w:szCs w:val="20"/>
          <w:color w:val="auto"/>
        </w:rPr>
      </w:pPr>
      <w:r>
        <w:rPr>
          <w:sz w:val="20"/>
          <w:szCs w:val="20"/>
          <w:color w:val="auto"/>
        </w:rPr>
        <w:br w:type="column"/>
      </w:r>
    </w:p>
    <w:p>
      <w:pPr>
        <w:ind w:right="20" w:firstLine="2"/>
        <w:spacing w:after="0" w:line="318" w:lineRule="auto"/>
        <w:rPr>
          <w:sz w:val="20"/>
          <w:szCs w:val="20"/>
          <w:color w:val="auto"/>
        </w:rPr>
      </w:pPr>
      <w:r>
        <w:rPr>
          <w:rFonts w:ascii="Arial" w:cs="Arial" w:eastAsia="Arial" w:hAnsi="Arial"/>
          <w:sz w:val="15"/>
          <w:szCs w:val="15"/>
          <w:color w:val="auto"/>
        </w:rPr>
        <w:t>this Agreement, Employee agrees to the provisions of BioLine’s Proprietary hereto. The terms of Employee’s employment are personal and confidential, and</w:t>
      </w:r>
    </w:p>
    <w:p>
      <w:pPr>
        <w:spacing w:after="0" w:line="367" w:lineRule="exact"/>
        <w:rPr>
          <w:sz w:val="20"/>
          <w:szCs w:val="20"/>
          <w:color w:val="auto"/>
        </w:rPr>
      </w:pPr>
    </w:p>
    <w:p>
      <w:pPr>
        <w:sectPr>
          <w:pgSz w:w="11900" w:h="16838" w:orient="portrait"/>
          <w:cols w:equalWidth="0" w:num="2">
            <w:col w:w="5963" w:space="60"/>
            <w:col w:w="5420"/>
          </w:cols>
          <w:pgMar w:left="237" w:top="1061" w:right="219" w:bottom="1440" w:gutter="0" w:footer="0" w:header="0"/>
        </w:sectPr>
      </w:pPr>
    </w:p>
    <w:p>
      <w:pPr>
        <w:ind w:left="283" w:right="20" w:hanging="283"/>
        <w:spacing w:after="0" w:line="324" w:lineRule="auto"/>
        <w:tabs>
          <w:tab w:leader="none" w:pos="283" w:val="left"/>
        </w:tabs>
        <w:numPr>
          <w:ilvl w:val="0"/>
          <w:numId w:val="211"/>
        </w:numPr>
        <w:rPr>
          <w:rFonts w:ascii="Arial" w:cs="Arial" w:eastAsia="Arial" w:hAnsi="Arial"/>
          <w:sz w:val="15"/>
          <w:szCs w:val="15"/>
          <w:color w:val="auto"/>
        </w:rPr>
      </w:pPr>
      <w:r>
        <w:rPr>
          <w:rFonts w:ascii="Arial" w:cs="Arial" w:eastAsia="Arial" w:hAnsi="Arial"/>
          <w:sz w:val="15"/>
          <w:szCs w:val="15"/>
          <w:b w:val="1"/>
          <w:bCs w:val="1"/>
          <w:color w:val="auto"/>
        </w:rPr>
        <w:t>Period of Employment</w:t>
      </w:r>
      <w:r>
        <w:rPr>
          <w:rFonts w:ascii="Arial" w:cs="Arial" w:eastAsia="Arial" w:hAnsi="Arial"/>
          <w:sz w:val="15"/>
          <w:szCs w:val="15"/>
          <w:color w:val="auto"/>
        </w:rPr>
        <w:t>. Employee’s employment by BioLine commences on the Commencement Date and shall then continue, unless terminated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The time during which Employee shall be employed by BioLine shall be referred to as the “</w:t>
      </w:r>
      <w:r>
        <w:rPr>
          <w:rFonts w:ascii="Arial" w:cs="Arial" w:eastAsia="Arial" w:hAnsi="Arial"/>
          <w:sz w:val="15"/>
          <w:szCs w:val="15"/>
          <w:b w:val="1"/>
          <w:bCs w:val="1"/>
          <w:color w:val="auto"/>
        </w:rPr>
        <w:t>Employment Period</w:t>
      </w:r>
      <w:r>
        <w:rPr>
          <w:rFonts w:ascii="Arial" w:cs="Arial" w:eastAsia="Arial" w:hAnsi="Arial"/>
          <w:sz w:val="15"/>
          <w:szCs w:val="15"/>
          <w:color w:val="auto"/>
        </w:rPr>
        <w:t>”.</w:t>
      </w:r>
    </w:p>
    <w:p>
      <w:pPr>
        <w:spacing w:after="0" w:line="171" w:lineRule="exact"/>
        <w:rPr>
          <w:sz w:val="20"/>
          <w:szCs w:val="20"/>
          <w:color w:val="auto"/>
        </w:rPr>
      </w:pPr>
    </w:p>
    <w:p>
      <w:pPr>
        <w:jc w:val="both"/>
        <w:ind w:left="663" w:right="20" w:hanging="340"/>
        <w:spacing w:after="0" w:line="26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Employee’s employment will terminate upon the death of the Employee, and BioLine may terminate Employee’s employment after having established Employee’s disability. For purposes of this Agreement, “disability” means a physical or mental infirmity which impairs Employee’s ability to substantially perform Employee’s duties under this Agreement which continues for a period of at least ninety (90) consecutive days. Upon termination for disability, Employee shall be entitled to severance pay required by law, in accordance with the terms of this Agreement.</w:t>
      </w:r>
    </w:p>
    <w:p>
      <w:pPr>
        <w:spacing w:after="0" w:line="216" w:lineRule="exact"/>
        <w:rPr>
          <w:sz w:val="20"/>
          <w:szCs w:val="20"/>
          <w:color w:val="auto"/>
        </w:rPr>
      </w:pPr>
    </w:p>
    <w:p>
      <w:pPr>
        <w:jc w:val="both"/>
        <w:ind w:left="663" w:right="20" w:hanging="340"/>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Termination at Will</w:t>
      </w:r>
      <w:r>
        <w:rPr>
          <w:rFonts w:ascii="Arial" w:cs="Arial" w:eastAsia="Arial" w:hAnsi="Arial"/>
          <w:sz w:val="16"/>
          <w:szCs w:val="16"/>
          <w:color w:val="auto"/>
        </w:rPr>
        <w:t>. Either party may terminate the employment relationship hereunder at any time by giving the other party prior written notice, as set forth in Exhibit A (the “</w:t>
      </w:r>
      <w:r>
        <w:rPr>
          <w:rFonts w:ascii="Arial" w:cs="Arial" w:eastAsia="Arial" w:hAnsi="Arial"/>
          <w:sz w:val="16"/>
          <w:szCs w:val="16"/>
          <w:b w:val="1"/>
          <w:bCs w:val="1"/>
          <w:color w:val="auto"/>
        </w:rPr>
        <w:t>Notice Period</w:t>
      </w:r>
      <w:r>
        <w:rPr>
          <w:rFonts w:ascii="Arial" w:cs="Arial" w:eastAsia="Arial" w:hAnsi="Arial"/>
          <w:sz w:val="16"/>
          <w:szCs w:val="16"/>
          <w:color w:val="auto"/>
        </w:rPr>
        <w:t>”).</w:t>
      </w:r>
    </w:p>
    <w:p>
      <w:pPr>
        <w:spacing w:after="0" w:line="199" w:lineRule="exact"/>
        <w:rPr>
          <w:sz w:val="20"/>
          <w:szCs w:val="20"/>
          <w:color w:val="auto"/>
        </w:rPr>
      </w:pPr>
    </w:p>
    <w:p>
      <w:pPr>
        <w:jc w:val="both"/>
        <w:ind w:left="663" w:hanging="340"/>
        <w:spacing w:after="0" w:line="25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In the event of a termination for Cause (as defined below), BioLine may immediately terminate the employment relationship effective as of the time of notice of the same, and without payment in lieu of prior notice. “</w:t>
      </w:r>
      <w:r>
        <w:rPr>
          <w:rFonts w:ascii="Arial" w:cs="Arial" w:eastAsia="Arial" w:hAnsi="Arial"/>
          <w:sz w:val="16"/>
          <w:szCs w:val="16"/>
          <w:b w:val="1"/>
          <w:bCs w:val="1"/>
          <w:color w:val="auto"/>
        </w:rPr>
        <w:t>Cause</w:t>
      </w:r>
      <w:r>
        <w:rPr>
          <w:rFonts w:ascii="Arial" w:cs="Arial" w:eastAsia="Arial" w:hAnsi="Arial"/>
          <w:sz w:val="16"/>
          <w:szCs w:val="16"/>
          <w:color w:val="auto"/>
        </w:rPr>
        <w:t>” means (i) a serious breach of trust including but not limited to theft, embezzlement, self-dealing, prohibited disclosure to unauthorized persons or entities of confidential or proprietary information of or relating to BioLine or its affiliates, and the engaging by Employee in any prohibited business competitive to the business of BioLine; (ii) any willful failure to perform or failure to perform competently any of Employee’s fundamental functions or duties hereunder, which was not cured within thirty (30) days after receipt by Employee of written notice thereof; (iii) any breach of this Agreement by Employee; and (iv) any other cause justifying termination or dismissal without severance payment under applicable law.</w:t>
      </w:r>
    </w:p>
    <w:p>
      <w:pPr>
        <w:spacing w:after="0" w:line="217" w:lineRule="exact"/>
        <w:rPr>
          <w:sz w:val="20"/>
          <w:szCs w:val="20"/>
          <w:color w:val="auto"/>
        </w:rPr>
      </w:pPr>
    </w:p>
    <w:p>
      <w:pPr>
        <w:jc w:val="both"/>
        <w:ind w:left="663" w:right="20" w:hanging="340"/>
        <w:spacing w:after="0" w:line="277"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Notice Period; End of Relations</w:t>
      </w:r>
      <w:r>
        <w:rPr>
          <w:rFonts w:ascii="Arial" w:cs="Arial" w:eastAsia="Arial" w:hAnsi="Arial"/>
          <w:sz w:val="15"/>
          <w:szCs w:val="15"/>
          <w:color w:val="auto"/>
        </w:rPr>
        <w:t>. During the Notice Period, the employment relationship hereunder shall remain in full force and effect and there shall be no change in Employee’s position with BioLine, the Salary, or in any other obligations of either party hereunder, unless otherwise determined by BioLine in a written notice to Employee. At the option of BioLine, Employee shall during such period either continue with Employee’s duties or remain absent from BioLine’s premises. However, BioLine, at its own discretion, may terminate this Agreement and the employment relationship at any time immediately upon a written notice and pay Employee an amount equal to the Salary referred to in Section 6 below that would have been paid to Employee during the Notice Period in lieu of the prior notice. In any event of the termination of this Agreement, Employee shall (a) immediately return all company property, equipment, materials and documents and (b) cooperate with BioLine and use the Employee’s best efforts to assist with the integration into BioLine’s organization of the person or persons who will assume the Employee’s responsibilities. Under no circumstances will the Employee have a lien over any property provided by or belonging to BioLine.</w:t>
      </w:r>
    </w:p>
    <w:p>
      <w:pPr>
        <w:spacing w:after="0" w:line="209" w:lineRule="exact"/>
        <w:rPr>
          <w:sz w:val="20"/>
          <w:szCs w:val="20"/>
          <w:color w:val="auto"/>
        </w:rPr>
      </w:pPr>
    </w:p>
    <w:p>
      <w:pPr>
        <w:jc w:val="both"/>
        <w:ind w:left="663" w:right="20" w:hanging="340"/>
        <w:spacing w:after="0" w:line="283" w:lineRule="auto"/>
        <w:rPr>
          <w:sz w:val="20"/>
          <w:szCs w:val="20"/>
          <w:color w:val="auto"/>
        </w:rPr>
      </w:pPr>
      <w:r>
        <w:rPr>
          <w:rFonts w:ascii="Arial" w:cs="Arial" w:eastAsia="Arial" w:hAnsi="Arial"/>
          <w:sz w:val="16"/>
          <w:szCs w:val="16"/>
          <w:color w:val="auto"/>
        </w:rPr>
        <w:t>5.5. Without derogating from all of BioLine’s rights according to the provisions of this Agreement and the law, upon the termination of this Agreement, BioLine shall have the right to deduct from any payment to be paid to the Employee any sum owed by Employee to BioLine.</w:t>
      </w:r>
    </w:p>
    <w:p>
      <w:pPr>
        <w:spacing w:after="0" w:line="35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61" w:right="219" w:bottom="1440" w:gutter="0" w:footer="0" w:header="0"/>
          <w:type w:val="continuous"/>
        </w:sectPr>
      </w:pPr>
    </w:p>
    <w:bookmarkStart w:id="256" w:name="page257"/>
    <w:bookmarkEnd w:id="256"/>
    <w:p>
      <w:pPr>
        <w:ind w:left="283" w:hanging="283"/>
        <w:spacing w:after="0"/>
        <w:tabs>
          <w:tab w:leader="none" w:pos="283" w:val="left"/>
        </w:tabs>
        <w:numPr>
          <w:ilvl w:val="0"/>
          <w:numId w:val="21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Salary</w:t>
      </w:r>
      <w:r>
        <w:rPr>
          <w:rFonts w:ascii="Arial" w:cs="Arial" w:eastAsia="Arial" w:hAnsi="Arial"/>
          <w:sz w:val="16"/>
          <w:szCs w:val="16"/>
          <w:color w:val="auto"/>
        </w:rPr>
        <w:t>.</w:t>
      </w:r>
    </w:p>
    <w:p>
      <w:pPr>
        <w:spacing w:after="0" w:line="254" w:lineRule="exact"/>
        <w:rPr>
          <w:sz w:val="20"/>
          <w:szCs w:val="20"/>
          <w:color w:val="auto"/>
        </w:rPr>
      </w:pPr>
    </w:p>
    <w:p>
      <w:pPr>
        <w:jc w:val="both"/>
        <w:ind w:left="663" w:hanging="340"/>
        <w:spacing w:after="0" w:line="284" w:lineRule="auto"/>
        <w:rPr>
          <w:sz w:val="20"/>
          <w:szCs w:val="20"/>
          <w:color w:val="auto"/>
        </w:rPr>
      </w:pPr>
      <w:r>
        <w:rPr>
          <w:rFonts w:ascii="Arial" w:cs="Arial" w:eastAsia="Arial" w:hAnsi="Arial"/>
          <w:sz w:val="15"/>
          <w:szCs w:val="15"/>
          <w:color w:val="auto"/>
        </w:rPr>
        <w:t xml:space="preserve">6.1. BioLine shall pay or cause to be paid to Employee during the term of this Agreement a gross monthly salary in the amount set forth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per month (the “</w:t>
      </w:r>
      <w:r>
        <w:rPr>
          <w:rFonts w:ascii="Arial" w:cs="Arial" w:eastAsia="Arial" w:hAnsi="Arial"/>
          <w:sz w:val="15"/>
          <w:szCs w:val="15"/>
          <w:b w:val="1"/>
          <w:bCs w:val="1"/>
          <w:color w:val="auto"/>
        </w:rPr>
        <w:t>Base Salary</w:t>
      </w:r>
      <w:r>
        <w:rPr>
          <w:rFonts w:ascii="Arial" w:cs="Arial" w:eastAsia="Arial" w:hAnsi="Arial"/>
          <w:sz w:val="15"/>
          <w:szCs w:val="15"/>
          <w:color w:val="auto"/>
        </w:rPr>
        <w:t>”). Employee may be required to work outside of regular working hours and outside of regular working days as stated in Section 1.5 above. In order to avoid calculation of Employee’s overtime payment entitlement on a monthly basis, BioLine agrees to pay to Employee during the term of this Agreement a gross payment in the amount set forth in Exhibit A per month (the “</w:t>
      </w:r>
      <w:r>
        <w:rPr>
          <w:rFonts w:ascii="Arial" w:cs="Arial" w:eastAsia="Arial" w:hAnsi="Arial"/>
          <w:sz w:val="15"/>
          <w:szCs w:val="15"/>
          <w:b w:val="1"/>
          <w:bCs w:val="1"/>
          <w:color w:val="auto"/>
        </w:rPr>
        <w:t>Overtime Payment</w:t>
      </w:r>
      <w:r>
        <w:rPr>
          <w:rFonts w:ascii="Arial" w:cs="Arial" w:eastAsia="Arial" w:hAnsi="Arial"/>
          <w:sz w:val="15"/>
          <w:szCs w:val="15"/>
          <w:color w:val="auto"/>
        </w:rPr>
        <w:t>”) on account of forty five (45) global overtime work hours per month. The Base Salary and the Overtime Payment together shall constitute the “</w:t>
      </w:r>
      <w:r>
        <w:rPr>
          <w:rFonts w:ascii="Arial" w:cs="Arial" w:eastAsia="Arial" w:hAnsi="Arial"/>
          <w:sz w:val="15"/>
          <w:szCs w:val="15"/>
          <w:b w:val="1"/>
          <w:bCs w:val="1"/>
          <w:color w:val="auto"/>
        </w:rPr>
        <w:t>Salary</w:t>
      </w:r>
      <w:r>
        <w:rPr>
          <w:rFonts w:ascii="Arial" w:cs="Arial" w:eastAsia="Arial" w:hAnsi="Arial"/>
          <w:sz w:val="15"/>
          <w:szCs w:val="15"/>
          <w:color w:val="auto"/>
        </w:rPr>
        <w:t>” for purposes of this Agreement.</w:t>
      </w:r>
    </w:p>
    <w:p>
      <w:pPr>
        <w:spacing w:after="0" w:line="201" w:lineRule="exact"/>
        <w:rPr>
          <w:sz w:val="20"/>
          <w:szCs w:val="20"/>
          <w:color w:val="auto"/>
        </w:rPr>
      </w:pPr>
    </w:p>
    <w:p>
      <w:pPr>
        <w:jc w:val="both"/>
        <w:ind w:left="663" w:hanging="340"/>
        <w:spacing w:after="0" w:line="268" w:lineRule="auto"/>
        <w:rPr>
          <w:sz w:val="20"/>
          <w:szCs w:val="20"/>
          <w:color w:val="auto"/>
        </w:rPr>
      </w:pPr>
      <w:r>
        <w:rPr>
          <w:rFonts w:ascii="Arial" w:cs="Arial" w:eastAsia="Arial" w:hAnsi="Arial"/>
          <w:sz w:val="16"/>
          <w:szCs w:val="16"/>
          <w:color w:val="auto"/>
        </w:rPr>
        <w:t>6.2. The Salary will be paid no later than the ninth day of each calendar month after the month for which the Salary is paid, after deduction of any and all taxes and charges applicable to Employee, as may be in effect or which may hereafter be enacted or required by law. Employee shall notify BioLine of any change which may affect Employee’s tax liability.</w:t>
      </w:r>
    </w:p>
    <w:p>
      <w:pPr>
        <w:spacing w:after="0" w:line="208" w:lineRule="exact"/>
        <w:rPr>
          <w:sz w:val="20"/>
          <w:szCs w:val="20"/>
          <w:color w:val="auto"/>
        </w:rPr>
      </w:pPr>
    </w:p>
    <w:p>
      <w:pPr>
        <w:ind w:left="283" w:hanging="283"/>
        <w:spacing w:after="0"/>
        <w:tabs>
          <w:tab w:leader="none" w:pos="283"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Insurance and Social Benefits</w:t>
      </w:r>
      <w:r>
        <w:rPr>
          <w:rFonts w:ascii="Arial" w:cs="Arial" w:eastAsia="Arial" w:hAnsi="Arial"/>
          <w:sz w:val="16"/>
          <w:szCs w:val="16"/>
          <w:color w:val="auto"/>
        </w:rPr>
        <w:t>.</w:t>
      </w:r>
    </w:p>
    <w:p>
      <w:pPr>
        <w:spacing w:after="0" w:line="258"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Employee shall be entitled to the following benefits:</w:t>
      </w:r>
    </w:p>
    <w:p>
      <w:pPr>
        <w:spacing w:after="0" w:line="254" w:lineRule="exact"/>
        <w:rPr>
          <w:rFonts w:ascii="Arial" w:cs="Arial" w:eastAsia="Arial" w:hAnsi="Arial"/>
          <w:sz w:val="16"/>
          <w:szCs w:val="16"/>
          <w:color w:val="auto"/>
        </w:rPr>
      </w:pPr>
    </w:p>
    <w:p>
      <w:pPr>
        <w:ind w:left="663" w:hanging="390"/>
        <w:spacing w:after="0" w:line="259" w:lineRule="auto"/>
        <w:rPr>
          <w:rFonts w:ascii="Arial" w:cs="Arial" w:eastAsia="Arial" w:hAnsi="Arial"/>
          <w:sz w:val="16"/>
          <w:szCs w:val="16"/>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Manager’s Insurance/Pension Fund</w:t>
      </w:r>
      <w:r>
        <w:rPr>
          <w:rFonts w:ascii="Arial" w:cs="Arial" w:eastAsia="Arial" w:hAnsi="Arial"/>
          <w:sz w:val="16"/>
          <w:szCs w:val="16"/>
          <w:color w:val="auto"/>
        </w:rPr>
        <w:t>. During the Employment Period, BioLine will insure Employee under a “Manager’s Insurance Scheme” or pension fund as agreed to by the parties (collectively the “</w:t>
      </w:r>
      <w:r>
        <w:rPr>
          <w:rFonts w:ascii="Arial" w:cs="Arial" w:eastAsia="Arial" w:hAnsi="Arial"/>
          <w:sz w:val="16"/>
          <w:szCs w:val="16"/>
          <w:b w:val="1"/>
          <w:bCs w:val="1"/>
          <w:color w:val="auto"/>
        </w:rPr>
        <w:t>Policy</w:t>
      </w:r>
      <w:r>
        <w:rPr>
          <w:rFonts w:ascii="Arial" w:cs="Arial" w:eastAsia="Arial" w:hAnsi="Arial"/>
          <w:sz w:val="16"/>
          <w:szCs w:val="16"/>
          <w:color w:val="auto"/>
        </w:rPr>
        <w:t>”). In the case of a Manager’s Insurance Scheme, BioLine will pay an amount equal to 13⅓% of the Salary towards such Policy, of which 5% shall be for pension payments and 8⅓% shall serve to cover severance compensation. In addition, BioLine shall deduct from the Salary an amount equal to 5% of the Salary and forward the same to the Policy. In the case of a pension fund, BioLine will pay an amount equal to 14⅓% of the Salary towards such Policy, of which 6% shall be for pension fund payments and 8⅓% shall serve to cover severance compensation, and in addition, BioLine shall deduct from the Salary an amount equal to 5.5% of the Salary and forward the same to the Policy. Any tax payable in respect of such contributions to the Policy shall be borne and paid by Employee.</w:t>
      </w:r>
    </w:p>
    <w:p>
      <w:pPr>
        <w:spacing w:after="0" w:line="217" w:lineRule="exact"/>
        <w:rPr>
          <w:rFonts w:ascii="Arial" w:cs="Arial" w:eastAsia="Arial" w:hAnsi="Arial"/>
          <w:sz w:val="16"/>
          <w:szCs w:val="16"/>
          <w:color w:val="auto"/>
        </w:rPr>
      </w:pPr>
    </w:p>
    <w:p>
      <w:pPr>
        <w:ind w:left="663" w:hanging="390"/>
        <w:spacing w:after="0" w:line="258" w:lineRule="auto"/>
        <w:rPr>
          <w:rFonts w:ascii="Arial" w:cs="Arial" w:eastAsia="Arial" w:hAnsi="Arial"/>
          <w:sz w:val="16"/>
          <w:szCs w:val="16"/>
          <w:color w:val="auto"/>
        </w:rPr>
      </w:pPr>
      <w:r>
        <w:rPr>
          <w:rFonts w:ascii="Arial" w:cs="Arial" w:eastAsia="Arial" w:hAnsi="Arial"/>
          <w:sz w:val="16"/>
          <w:szCs w:val="16"/>
          <w:color w:val="auto"/>
        </w:rPr>
        <w:t>7.2. Employee hereby agrees and acknowledges that all of the payments that BioLine shall make to the abovementioned Policy shall be instead of any severance pay to which Employee or Employee’s successors shall be entitled to receive from BioLine with respect to the salary from which these payments were made and the period during which they were made, in accordance with Section 14 of the Severance Pay Law 5723-1963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parties hereby adopt the General Approval of the Minister of Labor and Welfare, published in the Official Publications Gazette No. 4659 on June 30, 1998,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BioLine hereby waives in advance any claim it has or may have to be refunded any of the payments made to the manager’s insurance policy, unless (i) Employee’s right to severance pay is invalidated by a court ruling on the basis of Sections 16 or 17 of the Law (and in such case only to the extent it is invalidated), or (ii) Employee withdrew funds from the manager’s insurance policy for reasons other than an “Entitling Event”. An “Entitling Event” means death, disability or retirement at the age of sixty (60) or more.</w:t>
      </w:r>
    </w:p>
    <w:p>
      <w:pPr>
        <w:spacing w:after="0" w:line="219" w:lineRule="exact"/>
        <w:rPr>
          <w:rFonts w:ascii="Arial" w:cs="Arial" w:eastAsia="Arial" w:hAnsi="Arial"/>
          <w:sz w:val="16"/>
          <w:szCs w:val="16"/>
          <w:color w:val="auto"/>
        </w:rPr>
      </w:pPr>
    </w:p>
    <w:p>
      <w:pPr>
        <w:ind w:left="663" w:hanging="390"/>
        <w:spacing w:after="0" w:line="318" w:lineRule="auto"/>
        <w:rPr>
          <w:rFonts w:ascii="Arial" w:cs="Arial" w:eastAsia="Arial" w:hAnsi="Arial"/>
          <w:sz w:val="16"/>
          <w:szCs w:val="16"/>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Disability Insurance</w:t>
      </w:r>
      <w:r>
        <w:rPr>
          <w:rFonts w:ascii="Arial" w:cs="Arial" w:eastAsia="Arial" w:hAnsi="Arial"/>
          <w:sz w:val="15"/>
          <w:szCs w:val="15"/>
          <w:color w:val="auto"/>
        </w:rPr>
        <w:t>. In addition to the foregoing, during the Employment Period BioLine will bear the cost of disability insurance with an insurance company (</w:t>
      </w:r>
      <w:r>
        <w:rPr>
          <w:rFonts w:ascii="Arial" w:cs="Arial" w:eastAsia="Arial" w:hAnsi="Arial"/>
          <w:sz w:val="15"/>
          <w:szCs w:val="15"/>
          <w:i w:val="1"/>
          <w:iCs w:val="1"/>
          <w:color w:val="auto"/>
        </w:rPr>
        <w:t>Ovdan Kosher Avoda</w:t>
      </w:r>
      <w:r>
        <w:rPr>
          <w:rFonts w:ascii="Arial" w:cs="Arial" w:eastAsia="Arial" w:hAnsi="Arial"/>
          <w:sz w:val="15"/>
          <w:szCs w:val="15"/>
          <w:color w:val="auto"/>
        </w:rPr>
        <w:t>). The amount paid by BioLine for such insurance shall be as generally accepted, but shall not exceed 2.5% of the Salary.</w:t>
      </w:r>
    </w:p>
    <w:p>
      <w:pPr>
        <w:spacing w:after="0" w:line="33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061" w:right="239" w:bottom="1440" w:gutter="0" w:footer="0" w:header="0"/>
        </w:sectPr>
      </w:pPr>
    </w:p>
    <w:bookmarkStart w:id="257" w:name="page258"/>
    <w:bookmarkEnd w:id="257"/>
    <w:p>
      <w:pPr>
        <w:jc w:val="both"/>
        <w:ind w:left="380" w:right="20" w:hanging="389"/>
        <w:spacing w:after="0" w:line="263" w:lineRule="auto"/>
        <w:tabs>
          <w:tab w:leader="none" w:pos="3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7.4.</w:t>
      </w:r>
      <w:r>
        <w:rPr>
          <w:sz w:val="20"/>
          <w:szCs w:val="20"/>
          <w:color w:val="auto"/>
        </w:rPr>
        <w:tab/>
      </w:r>
      <w:r>
        <w:rPr>
          <w:rFonts w:ascii="Arial" w:cs="Arial" w:eastAsia="Arial" w:hAnsi="Arial"/>
          <w:sz w:val="16"/>
          <w:szCs w:val="16"/>
          <w:u w:val="single" w:color="auto"/>
          <w:color w:val="auto"/>
        </w:rPr>
        <w:t>Advanced Study Fund</w:t>
      </w:r>
      <w:r>
        <w:rPr>
          <w:rFonts w:ascii="Arial" w:cs="Arial" w:eastAsia="Arial" w:hAnsi="Arial"/>
          <w:sz w:val="16"/>
          <w:szCs w:val="16"/>
          <w:color w:val="auto"/>
        </w:rPr>
        <w:t>. During the Employment Period, BioLine will maintain for the Employee an advanced study fund (</w:t>
      </w:r>
      <w:r>
        <w:rPr>
          <w:rFonts w:ascii="Arial" w:cs="Arial" w:eastAsia="Arial" w:hAnsi="Arial"/>
          <w:sz w:val="16"/>
          <w:szCs w:val="16"/>
          <w:i w:val="1"/>
          <w:iCs w:val="1"/>
          <w:color w:val="auto"/>
        </w:rPr>
        <w:t>Keren Hishtalmut</w:t>
      </w:r>
      <w:r>
        <w:rPr>
          <w:rFonts w:ascii="Arial" w:cs="Arial" w:eastAsia="Arial" w:hAnsi="Arial"/>
          <w:sz w:val="16"/>
          <w:szCs w:val="16"/>
          <w:color w:val="auto"/>
        </w:rPr>
        <w:t>) recognized by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Israeli Income Tax Authorities, such that BioLine and Employee shall contribute to such fund an amount equal to 7.5% of the Salary and 2.5% of the Salary, respectively. Any tax payable in respect of such contributions to such fund shall be borne and paid by Employee. All payments and contributions of BioLine with respect to these benefits shall be limited to the Salary and up to the highest amount recognized by the tax authorities.</w:t>
      </w:r>
    </w:p>
    <w:p>
      <w:pPr>
        <w:spacing w:after="0" w:line="21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4"/>
          <w:szCs w:val="14"/>
          <w:u w:val="single" w:color="auto"/>
          <w:color w:val="auto"/>
        </w:rPr>
        <w:t>Convalescence</w:t>
      </w:r>
      <w:r>
        <w:rPr>
          <w:rFonts w:ascii="Arial" w:cs="Arial" w:eastAsia="Arial" w:hAnsi="Arial"/>
          <w:sz w:val="14"/>
          <w:szCs w:val="14"/>
          <w:color w:val="auto"/>
        </w:rPr>
        <w:t>. During the Employment Period, Employee shall be entitled to receive convalescence allowance (</w:t>
      </w:r>
      <w:r>
        <w:rPr>
          <w:rFonts w:ascii="Arial" w:cs="Arial" w:eastAsia="Arial" w:hAnsi="Arial"/>
          <w:sz w:val="14"/>
          <w:szCs w:val="14"/>
          <w:i w:val="1"/>
          <w:iCs w:val="1"/>
          <w:color w:val="auto"/>
        </w:rPr>
        <w:t>Dmei Havra’a</w:t>
      </w:r>
      <w:r>
        <w:rPr>
          <w:rFonts w:ascii="Arial" w:cs="Arial" w:eastAsia="Arial" w:hAnsi="Arial"/>
          <w:sz w:val="14"/>
          <w:szCs w:val="14"/>
          <w:color w:val="auto"/>
        </w:rPr>
        <w:t>) pursuant to applicable law.</w:t>
      </w:r>
    </w:p>
    <w:p>
      <w:pPr>
        <w:spacing w:after="0" w:line="254" w:lineRule="exact"/>
        <w:rPr>
          <w:sz w:val="20"/>
          <w:szCs w:val="20"/>
          <w:color w:val="auto"/>
        </w:rPr>
      </w:pPr>
    </w:p>
    <w:p>
      <w:pPr>
        <w:jc w:val="both"/>
        <w:ind w:left="380" w:right="20" w:hanging="389"/>
        <w:spacing w:after="0" w:line="268" w:lineRule="auto"/>
        <w:tabs>
          <w:tab w:leader="none" w:pos="36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u w:val="single" w:color="auto"/>
          <w:color w:val="auto"/>
        </w:rPr>
        <w:t>Sick Leave</w:t>
      </w:r>
      <w:r>
        <w:rPr>
          <w:rFonts w:ascii="Arial" w:cs="Arial" w:eastAsia="Arial" w:hAnsi="Arial"/>
          <w:sz w:val="16"/>
          <w:szCs w:val="16"/>
          <w:color w:val="auto"/>
        </w:rPr>
        <w:t>. Employee shall be entitled to be absent from work each year due to illness for the number of days allowed pursuant to the Sick Pay Law 5736 - 1976,</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shall be entitled to fully paid sick leave upon presentation of appropriate medical documentation regarding said illness. Any amounts paid to Employee on account of the disability insurance indicated in subsection 7.3 will be on account of sick leave payment.</w:t>
      </w:r>
    </w:p>
    <w:p>
      <w:pPr>
        <w:spacing w:after="0" w:line="21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5"/>
          <w:szCs w:val="15"/>
          <w:u w:val="single" w:color="auto"/>
          <w:color w:val="auto"/>
        </w:rPr>
        <w:t>Reserve Service</w:t>
      </w:r>
      <w:r>
        <w:rPr>
          <w:rFonts w:ascii="Arial" w:cs="Arial" w:eastAsia="Arial" w:hAnsi="Arial"/>
          <w:sz w:val="15"/>
          <w:szCs w:val="15"/>
          <w:color w:val="auto"/>
        </w:rPr>
        <w:t>. During the Employment Period, BioLine shall pay the full salary of Employee during the period of the Employee’s military reserve service.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National Insurance Institute transfers in connection with such military reserved duty shall be retained by BioLine in accordance with applicable law.</w:t>
      </w:r>
    </w:p>
    <w:p>
      <w:pPr>
        <w:spacing w:after="0" w:line="239" w:lineRule="exact"/>
        <w:rPr>
          <w:sz w:val="20"/>
          <w:szCs w:val="20"/>
          <w:color w:val="auto"/>
        </w:rPr>
      </w:pPr>
    </w:p>
    <w:p>
      <w:pPr>
        <w:jc w:val="both"/>
        <w:ind w:left="380" w:right="20" w:hanging="389"/>
        <w:spacing w:after="0" w:line="265" w:lineRule="auto"/>
        <w:tabs>
          <w:tab w:leader="none" w:pos="36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u w:val="single" w:color="auto"/>
          <w:color w:val="auto"/>
        </w:rPr>
        <w:t>Vacation</w:t>
      </w:r>
      <w:r>
        <w:rPr>
          <w:rFonts w:ascii="Arial" w:cs="Arial" w:eastAsia="Arial" w:hAnsi="Arial"/>
          <w:sz w:val="16"/>
          <w:szCs w:val="16"/>
          <w:color w:val="auto"/>
        </w:rPr>
        <w:t>. During the Employment Period, Employee shall be entitled to vacation in the number of working days per year as set forth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Exhibit A</w:t>
      </w:r>
      <w:r>
        <w:rPr>
          <w:rFonts w:ascii="Arial" w:cs="Arial" w:eastAsia="Arial" w:hAnsi="Arial"/>
          <w:sz w:val="16"/>
          <w:szCs w:val="16"/>
          <w:color w:val="auto"/>
        </w:rPr>
        <w:t>, as adjusted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applicable law. A “working day” shall mean Sunday to Thursday inclusive, and the use of said vacation days will be coordinated with BioLine. Employee shall be entitled to accumulation and redemption of vacation days in accordance with BioLine’s policies, which may be amended from time to time in BioLine’s sole discretion.</w:t>
      </w:r>
    </w:p>
    <w:p>
      <w:pPr>
        <w:spacing w:after="0" w:line="214" w:lineRule="exact"/>
        <w:rPr>
          <w:sz w:val="20"/>
          <w:szCs w:val="20"/>
          <w:color w:val="auto"/>
        </w:rPr>
      </w:pPr>
    </w:p>
    <w:p>
      <w:pPr>
        <w:jc w:val="both"/>
        <w:ind w:left="400" w:right="20" w:hanging="389"/>
        <w:spacing w:after="0" w:line="263" w:lineRule="auto"/>
        <w:tabs>
          <w:tab w:leader="none" w:pos="380" w:val="left"/>
        </w:tabs>
        <w:rPr>
          <w:sz w:val="20"/>
          <w:szCs w:val="20"/>
          <w:color w:val="auto"/>
        </w:rPr>
      </w:pPr>
      <w:r>
        <w:rPr>
          <w:rFonts w:ascii="Arial" w:cs="Arial" w:eastAsia="Arial" w:hAnsi="Arial"/>
          <w:sz w:val="16"/>
          <w:szCs w:val="16"/>
          <w:color w:val="auto"/>
        </w:rPr>
        <w:t>7.9.</w:t>
      </w:r>
      <w:r>
        <w:rPr>
          <w:sz w:val="20"/>
          <w:szCs w:val="20"/>
          <w:color w:val="auto"/>
        </w:rPr>
        <w:tab/>
      </w:r>
      <w:r>
        <w:rPr>
          <w:rFonts w:ascii="Arial" w:cs="Arial" w:eastAsia="Arial" w:hAnsi="Arial"/>
          <w:sz w:val="16"/>
          <w:szCs w:val="16"/>
          <w:u w:val="single" w:color="auto"/>
          <w:color w:val="auto"/>
        </w:rPr>
        <w:t>Mobile Phone; Computer</w:t>
      </w:r>
      <w:r>
        <w:rPr>
          <w:rFonts w:ascii="Arial" w:cs="Arial" w:eastAsia="Arial" w:hAnsi="Arial"/>
          <w:sz w:val="16"/>
          <w:szCs w:val="16"/>
          <w:color w:val="auto"/>
        </w:rPr>
        <w:t>. During the Employment Period, Employee shall be entitled to receive a mobile phone and laptop computer. Employee shall use the mobile</w:t>
      </w:r>
      <w:r>
        <w:rPr>
          <w:rFonts w:ascii="Arial" w:cs="Arial" w:eastAsia="Arial" w:hAnsi="Arial"/>
          <w:sz w:val="16"/>
          <w:szCs w:val="16"/>
          <w:u w:val="single" w:color="auto"/>
          <w:color w:val="auto"/>
        </w:rPr>
        <w:t xml:space="preserve"> </w:t>
      </w:r>
      <w:r>
        <w:rPr>
          <w:rFonts w:ascii="Arial" w:cs="Arial" w:eastAsia="Arial" w:hAnsi="Arial"/>
          <w:sz w:val="16"/>
          <w:szCs w:val="16"/>
          <w:color w:val="auto"/>
        </w:rPr>
        <w:t>phone and computer (together hereinafter: the “</w:t>
      </w:r>
      <w:r>
        <w:rPr>
          <w:rFonts w:ascii="Arial" w:cs="Arial" w:eastAsia="Arial" w:hAnsi="Arial"/>
          <w:sz w:val="16"/>
          <w:szCs w:val="16"/>
          <w:b w:val="1"/>
          <w:bCs w:val="1"/>
          <w:color w:val="auto"/>
        </w:rPr>
        <w:t>Equipment</w:t>
      </w:r>
      <w:r>
        <w:rPr>
          <w:rFonts w:ascii="Arial" w:cs="Arial" w:eastAsia="Arial" w:hAnsi="Arial"/>
          <w:sz w:val="16"/>
          <w:szCs w:val="16"/>
          <w:color w:val="auto"/>
        </w:rPr>
        <w:t>”) in a standard and reasonable manner, and in accordance with BioLine’s policies. The Employee hereby agrees that any amount due by Employee to BioLine in connection with the Equipment (including, e.g., charges for use above the authorized limit and compensation for loss or damage of the Equipment) shall be deducted from Employee’s Salary.</w:t>
      </w:r>
    </w:p>
    <w:p>
      <w:pPr>
        <w:spacing w:after="0" w:line="216" w:lineRule="exact"/>
        <w:rPr>
          <w:sz w:val="20"/>
          <w:szCs w:val="20"/>
          <w:color w:val="auto"/>
        </w:rPr>
      </w:pPr>
    </w:p>
    <w:p>
      <w:pPr>
        <w:jc w:val="both"/>
        <w:ind w:left="380" w:hanging="389"/>
        <w:spacing w:after="0" w:line="295" w:lineRule="auto"/>
        <w:rPr>
          <w:sz w:val="20"/>
          <w:szCs w:val="20"/>
          <w:color w:val="auto"/>
        </w:rPr>
      </w:pPr>
      <w:r>
        <w:rPr>
          <w:rFonts w:ascii="Arial" w:cs="Arial" w:eastAsia="Arial" w:hAnsi="Arial"/>
          <w:sz w:val="14"/>
          <w:szCs w:val="14"/>
          <w:color w:val="auto"/>
        </w:rPr>
        <w:t xml:space="preserve">7.10. </w:t>
      </w:r>
      <w:r>
        <w:rPr>
          <w:rFonts w:ascii="Arial" w:cs="Arial" w:eastAsia="Arial" w:hAnsi="Arial"/>
          <w:sz w:val="14"/>
          <w:szCs w:val="14"/>
          <w:u w:val="single" w:color="auto"/>
          <w:color w:val="auto"/>
        </w:rPr>
        <w:t>Automobile.</w:t>
      </w:r>
      <w:r>
        <w:rPr>
          <w:rFonts w:ascii="Arial" w:cs="Arial" w:eastAsia="Arial" w:hAnsi="Arial"/>
          <w:sz w:val="14"/>
          <w:szCs w:val="14"/>
          <w:color w:val="auto"/>
        </w:rPr>
        <w:t xml:space="preserve"> For purposes of performance of Employee’s duties and tasks, and during the Employment Period, BioLine shall make available to Employee a company vehicle, leased or owned by BioLine of a type to be elected by BioLine, in accordance with its policies which may be amended from time to time (the “</w:t>
      </w:r>
      <w:r>
        <w:rPr>
          <w:rFonts w:ascii="Arial" w:cs="Arial" w:eastAsia="Arial" w:hAnsi="Arial"/>
          <w:sz w:val="14"/>
          <w:szCs w:val="14"/>
          <w:b w:val="1"/>
          <w:bCs w:val="1"/>
          <w:color w:val="auto"/>
        </w:rPr>
        <w:t>Company</w:t>
      </w:r>
      <w:r>
        <w:rPr>
          <w:rFonts w:ascii="Arial" w:cs="Arial" w:eastAsia="Arial" w:hAnsi="Arial"/>
          <w:sz w:val="14"/>
          <w:szCs w:val="14"/>
          <w:color w:val="auto"/>
        </w:rPr>
        <w:t xml:space="preserve"> </w:t>
      </w:r>
      <w:r>
        <w:rPr>
          <w:rFonts w:ascii="Arial" w:cs="Arial" w:eastAsia="Arial" w:hAnsi="Arial"/>
          <w:sz w:val="14"/>
          <w:szCs w:val="14"/>
          <w:b w:val="1"/>
          <w:bCs w:val="1"/>
          <w:color w:val="auto"/>
        </w:rPr>
        <w:t>Car</w:t>
      </w:r>
      <w:r>
        <w:rPr>
          <w:rFonts w:ascii="Arial" w:cs="Arial" w:eastAsia="Arial" w:hAnsi="Arial"/>
          <w:sz w:val="14"/>
          <w:szCs w:val="14"/>
          <w:color w:val="auto"/>
        </w:rPr>
        <w:t>”). Employee shall use the Company Car in accordance with BioLine’s car policy then in effect, as well as the requirements of the leasing company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insurance company. BioLine shall bear the cost of maintenance and repairs, and any insurance deductibles for the Company Car, in accordance with its policies and a separate Car Agreement which will be signed between Employee and BioLine. Employee shall be required to follow rules and regulations as to the usage of the Company Car as described in the “Company Car Lease Agreement” or “Car Addendum” provided to Employee prior to receipt of the Company Car. Employee shall be liable for paying (a) any parking and/or traffic fines received in connection with the use of the Company Car; and (b) for any damages and expenses related to negligent use of the Company Car and/or use of the Company Car not in accordance with BioLine’s applicable policies, including but not limited to the cost of fuel for kilometers driven over the agreed quota. All taxes arising out of the use of the Company Car shall be borne by Employee, and Employee acknowledges that such taxes will be withheld from Employee’s salary as required by law. Employee further acknowledges that the tax treatment of the use of the Company Car by Employee is subject to change without notice, and any economic impact resulting from such changes will be Employee’s sole responsibility. For the avoidance of doubt, Employee agrees that the cost of the leasing and/or the cost of the use of the Company Car shall not constitute a component of Employee’s Salary, including with regard to social benefits and/or any other right to which Employee is entitled by virtue of this Agreement or under law. The Company Car will remain in BioLine’s ownership, and will be returned to BioLine immediately upon termination of Employee’s employment with BioLine for any reason, as of the date of termination. Employee shall not be entitled to use a Company Car during unpaid leaves or absences, unless specifically approved by BioLine in writing.</w:t>
      </w:r>
    </w:p>
    <w:p>
      <w:pPr>
        <w:spacing w:after="0" w:line="35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45720</wp:posOffset>
            </wp:positionV>
            <wp:extent cx="725995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160"/>
          </w:cols>
          <w:pgMar w:left="520" w:top="1065" w:right="219" w:bottom="1440" w:gutter="0" w:footer="0" w:header="0"/>
        </w:sectPr>
      </w:pPr>
    </w:p>
    <w:bookmarkStart w:id="258" w:name="page259"/>
    <w:bookmarkEnd w:id="258"/>
    <w:p>
      <w:pPr>
        <w:jc w:val="both"/>
        <w:ind w:left="283" w:hanging="283"/>
        <w:spacing w:after="0" w:line="277" w:lineRule="auto"/>
        <w:tabs>
          <w:tab w:leader="none" w:pos="283"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BioLine Property</w:t>
      </w:r>
      <w:r>
        <w:rPr>
          <w:rFonts w:ascii="Arial" w:cs="Arial" w:eastAsia="Arial" w:hAnsi="Arial"/>
          <w:sz w:val="15"/>
          <w:szCs w:val="15"/>
          <w:color w:val="auto"/>
        </w:rPr>
        <w:t>. Employee acknowledges and agrees that the Equipment, email account and any other device or system providing for transmittal and storage of</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which are placed at Employee’s disposal by BioLine during the Employment Period are and shall remain the property of BioLine. Employee confirms its understanding that BioLine regularly reviews email correspondence and other information transmitted and stored by using the equipment stated above, and BioLine reserves the right to copy, store, present to others, and use such information. Employee acknowledges and agrees that any messages and data sent from, received by, or stored in or upon BioLine’s computers and communications systems are the sole property of BioLine, regardless of the form and/or content of these messages and data. Employee should not consider messages and data sent from, received by, or stored in or upon BioLine’s computer and communications systems to be private and should not send, receive, or store sensitive personal or private information using these systems. Employee is deemed to have consented to any reasonable use, transfer and disclosure of all messages and data contained or sent via the BioLine’s computer and communications systems, including electronic mail. Employee shall fully comply with BioLine’s policies regarding computer and network, as may be in effect from time to time.</w:t>
      </w:r>
    </w:p>
    <w:p>
      <w:pPr>
        <w:spacing w:after="0" w:line="205" w:lineRule="exact"/>
        <w:rPr>
          <w:rFonts w:ascii="Arial" w:cs="Arial" w:eastAsia="Arial" w:hAnsi="Arial"/>
          <w:sz w:val="15"/>
          <w:szCs w:val="15"/>
          <w:color w:val="auto"/>
        </w:rPr>
      </w:pPr>
    </w:p>
    <w:p>
      <w:pPr>
        <w:jc w:val="both"/>
        <w:ind w:left="283" w:hanging="283"/>
        <w:spacing w:after="0" w:line="297" w:lineRule="auto"/>
        <w:tabs>
          <w:tab w:leader="none" w:pos="283"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Expenses</w:t>
      </w:r>
      <w:r>
        <w:rPr>
          <w:rFonts w:ascii="Arial" w:cs="Arial" w:eastAsia="Arial" w:hAnsi="Arial"/>
          <w:sz w:val="15"/>
          <w:szCs w:val="15"/>
          <w:color w:val="auto"/>
        </w:rPr>
        <w:t>. Employee shall be reimbursed for all direct business expenses borne by Employee, in accordance with BioLine’s policies as determined by BioLine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to time, provided that such expenses were approved by Employee’s Supervisor in advance. As a condition to reimbursement, Employee shall be required to provide BioLine with all invoices, receipts and other evidence of expenditures as may be reasonably required by BioLine from time to time.</w:t>
      </w:r>
    </w:p>
    <w:p>
      <w:pPr>
        <w:spacing w:after="0" w:line="187" w:lineRule="exact"/>
        <w:rPr>
          <w:rFonts w:ascii="Arial" w:cs="Arial" w:eastAsia="Arial" w:hAnsi="Arial"/>
          <w:sz w:val="15"/>
          <w:szCs w:val="15"/>
          <w:color w:val="auto"/>
        </w:rPr>
      </w:pPr>
    </w:p>
    <w:p>
      <w:pPr>
        <w:jc w:val="both"/>
        <w:ind w:left="283" w:hanging="283"/>
        <w:spacing w:after="0" w:line="271" w:lineRule="auto"/>
        <w:tabs>
          <w:tab w:leader="none" w:pos="283"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Options</w:t>
      </w:r>
      <w:r>
        <w:rPr>
          <w:rFonts w:ascii="Arial" w:cs="Arial" w:eastAsia="Arial" w:hAnsi="Arial"/>
          <w:sz w:val="16"/>
          <w:szCs w:val="16"/>
          <w:color w:val="auto"/>
        </w:rPr>
        <w:t>. Subject to the approval of the Board of Directors of BioLine and the execution of an option agreement and any other documents reasonably required by BioLine,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be granted options to purchase Ordinary Shares par value NIS 0.01 each of BioLine, in the amount set forth in Exhibit A, to be granted pursuant to, and in accordance with, the terms and conditions of the share option plan adopted by BioLine (the “</w:t>
      </w:r>
      <w:r>
        <w:rPr>
          <w:rFonts w:ascii="Arial" w:cs="Arial" w:eastAsia="Arial" w:hAnsi="Arial"/>
          <w:sz w:val="16"/>
          <w:szCs w:val="16"/>
          <w:b w:val="1"/>
          <w:bCs w:val="1"/>
          <w:color w:val="auto"/>
        </w:rPr>
        <w:t>Options</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left="283" w:hanging="283"/>
        <w:spacing w:after="0" w:line="284" w:lineRule="auto"/>
        <w:tabs>
          <w:tab w:leader="none" w:pos="283" w:val="left"/>
        </w:tabs>
        <w:numPr>
          <w:ilvl w:val="0"/>
          <w:numId w:val="214"/>
        </w:numPr>
        <w:rPr>
          <w:rFonts w:ascii="Arial" w:cs="Arial" w:eastAsia="Arial" w:hAnsi="Arial"/>
          <w:sz w:val="15"/>
          <w:szCs w:val="15"/>
          <w:color w:val="auto"/>
        </w:rPr>
      </w:pPr>
      <w:r>
        <w:rPr>
          <w:rFonts w:ascii="Arial" w:cs="Arial" w:eastAsia="Arial" w:hAnsi="Arial"/>
          <w:sz w:val="15"/>
          <w:szCs w:val="15"/>
          <w:b w:val="1"/>
          <w:bCs w:val="1"/>
          <w:color w:val="auto"/>
        </w:rPr>
        <w:t xml:space="preserve">Code of Business Conduct and Ethics; Internal Policies. </w:t>
      </w:r>
      <w:r>
        <w:rPr>
          <w:rFonts w:ascii="Arial" w:cs="Arial" w:eastAsia="Arial" w:hAnsi="Arial"/>
          <w:sz w:val="15"/>
          <w:szCs w:val="15"/>
          <w:color w:val="auto"/>
        </w:rPr>
        <w:t>Employee shall at all times comply with the Code of Business Conduct and Ethics attached hereto as</w:t>
      </w:r>
      <w:r>
        <w:rPr>
          <w:rFonts w:ascii="Arial" w:cs="Arial" w:eastAsia="Arial" w:hAnsi="Arial"/>
          <w:sz w:val="15"/>
          <w:szCs w:val="15"/>
          <w:b w:val="1"/>
          <w:bCs w:val="1"/>
          <w:color w:val="auto"/>
        </w:rPr>
        <w:t xml:space="preserve"> Exhibit D</w:t>
      </w:r>
      <w:r>
        <w:rPr>
          <w:rFonts w:ascii="Arial" w:cs="Arial" w:eastAsia="Arial" w:hAnsi="Arial"/>
          <w:sz w:val="15"/>
          <w:szCs w:val="15"/>
          <w:color w:val="auto"/>
        </w:rPr>
        <w:t>, the Policy regarding Securities Trades by Company Personnel attached hereto as</w:t>
      </w:r>
      <w:r>
        <w:rPr>
          <w:rFonts w:ascii="Arial" w:cs="Arial" w:eastAsia="Arial" w:hAnsi="Arial"/>
          <w:sz w:val="15"/>
          <w:szCs w:val="15"/>
          <w:b w:val="1"/>
          <w:bCs w:val="1"/>
          <w:color w:val="auto"/>
        </w:rPr>
        <w:t xml:space="preserve"> Exhibit E</w:t>
      </w:r>
      <w:r>
        <w:rPr>
          <w:rFonts w:ascii="Arial" w:cs="Arial" w:eastAsia="Arial" w:hAnsi="Arial"/>
          <w:sz w:val="15"/>
          <w:szCs w:val="15"/>
          <w:color w:val="auto"/>
        </w:rPr>
        <w:t>, the Company’s Internal Enforcement Policy attached hereto as</w:t>
      </w:r>
      <w:r>
        <w:rPr>
          <w:rFonts w:ascii="Arial" w:cs="Arial" w:eastAsia="Arial" w:hAnsi="Arial"/>
          <w:sz w:val="15"/>
          <w:szCs w:val="15"/>
          <w:b w:val="1"/>
          <w:bCs w:val="1"/>
          <w:color w:val="auto"/>
        </w:rPr>
        <w:t xml:space="preserve"> Exhibit F</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all other internal policies and procedures of BioLine, as shall be updated from time to time. Updates to Exhibits D, E and F, and copies of BioLine’s internal policies and procedures, can be obtained at BioLine’s HR office. Employee represents that he/she has read Exhibits D, E and F, will acquaint himself/herself with BioLine’s other internal policies and procedures and agrees to comply with their terms, including any amendments and updates thereto.</w:t>
      </w:r>
    </w:p>
    <w:p>
      <w:pPr>
        <w:spacing w:after="0" w:line="197" w:lineRule="exact"/>
        <w:rPr>
          <w:rFonts w:ascii="Arial" w:cs="Arial" w:eastAsia="Arial" w:hAnsi="Arial"/>
          <w:sz w:val="15"/>
          <w:szCs w:val="15"/>
          <w:color w:val="auto"/>
        </w:rPr>
      </w:pPr>
    </w:p>
    <w:p>
      <w:pPr>
        <w:ind w:left="283" w:hanging="283"/>
        <w:spacing w:after="0"/>
        <w:tabs>
          <w:tab w:leader="none" w:pos="283"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w:t>
      </w:r>
    </w:p>
    <w:p>
      <w:pPr>
        <w:spacing w:after="0" w:line="258" w:lineRule="exact"/>
        <w:rPr>
          <w:sz w:val="20"/>
          <w:szCs w:val="20"/>
          <w:color w:val="auto"/>
        </w:rPr>
      </w:pPr>
    </w:p>
    <w:p>
      <w:pPr>
        <w:jc w:val="both"/>
        <w:ind w:left="663" w:hanging="449"/>
        <w:spacing w:after="0" w:line="324" w:lineRule="auto"/>
        <w:rPr>
          <w:sz w:val="20"/>
          <w:szCs w:val="20"/>
          <w:color w:val="auto"/>
        </w:rPr>
      </w:pPr>
      <w:r>
        <w:rPr>
          <w:rFonts w:ascii="Arial" w:cs="Arial" w:eastAsia="Arial" w:hAnsi="Arial"/>
          <w:sz w:val="14"/>
          <w:szCs w:val="14"/>
          <w:color w:val="auto"/>
        </w:rPr>
        <w:t>12.1. The laws of the State of Israel shall apply to this Agreement and the sole and exclusive place of jurisdiction in any matter arising out of or in connection with this Agreement shall be the Jerusalem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w:t>
      </w:r>
    </w:p>
    <w:p>
      <w:pPr>
        <w:spacing w:after="0" w:line="33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061" w:right="239" w:bottom="1440" w:gutter="0" w:footer="0" w:header="0"/>
        </w:sectPr>
      </w:pPr>
    </w:p>
    <w:bookmarkStart w:id="259" w:name="page260"/>
    <w:bookmarkEnd w:id="259"/>
    <w:p>
      <w:pPr>
        <w:jc w:val="both"/>
        <w:ind w:left="660" w:hanging="449"/>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12.2. This Agreement constitutes the entire agreement and understanding between the parties with respect to the subject matter hereof, and supersedes all prior written or oral agreements with respect to the subject matter hereof. This Agreement may not be modified except by written instrument signed by a duly authorized representative of each party.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If it shall be determined under any applicable law that a certain provision set forth in this Agreement is invalid or unenforceable, such determination shall not affect the remaining provisions of this Agreement.</w:t>
      </w:r>
    </w:p>
    <w:p>
      <w:pPr>
        <w:spacing w:after="0" w:line="217" w:lineRule="exact"/>
        <w:rPr>
          <w:sz w:val="20"/>
          <w:szCs w:val="20"/>
          <w:color w:val="auto"/>
        </w:rPr>
      </w:pPr>
    </w:p>
    <w:p>
      <w:pPr>
        <w:jc w:val="both"/>
        <w:ind w:left="660" w:right="20" w:hanging="449"/>
        <w:spacing w:after="0" w:line="294" w:lineRule="auto"/>
        <w:rPr>
          <w:sz w:val="20"/>
          <w:szCs w:val="20"/>
          <w:color w:val="auto"/>
        </w:rPr>
      </w:pPr>
      <w:r>
        <w:rPr>
          <w:rFonts w:ascii="Arial" w:cs="Arial" w:eastAsia="Arial" w:hAnsi="Arial"/>
          <w:sz w:val="15"/>
          <w:szCs w:val="15"/>
          <w:color w:val="auto"/>
        </w:rPr>
        <w:t>12.3. This Agreement may be assigned by BioLine. Employee may not assign or delegate his/her duties under this Agreement without the prior written consent of BioLine. This agreement shall be binding upon the heirs, successors and permitted assignees of Employee. The provisions of this Agreement shall survive the termination of the Employment Period and the assignment of this Agreement by BioLine to any successor or other assignee.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12.4.  The parties agree that this Agreement constitutes, among other things, notification in accordance with the Notice to Employees (Employment Terms) Law, 2002.</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Agreement as of the date first set forth above.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40" w:type="dxa"/>
            <w:vAlign w:val="bottom"/>
            <w:gridSpan w:val="3"/>
          </w:tcPr>
          <w:p>
            <w:pPr>
              <w:spacing w:after="0"/>
              <w:rPr>
                <w:sz w:val="20"/>
                <w:szCs w:val="20"/>
                <w:color w:val="auto"/>
              </w:rPr>
            </w:pPr>
            <w:r>
              <w:rPr>
                <w:rFonts w:ascii="Arial" w:cs="Arial" w:eastAsia="Arial" w:hAnsi="Arial"/>
                <w:sz w:val="16"/>
                <w:szCs w:val="16"/>
                <w:b w:val="1"/>
                <w:bCs w:val="1"/>
                <w:color w:val="auto"/>
              </w:rPr>
              <w:t>BioLineRx Ltd.</w:t>
            </w:r>
          </w:p>
        </w:tc>
        <w:tc>
          <w:tcPr>
            <w:tcW w:w="9300" w:type="dxa"/>
            <w:vAlign w:val="bottom"/>
            <w:gridSpan w:val="3"/>
          </w:tcPr>
          <w:p>
            <w:pPr>
              <w:ind w:left="3400"/>
              <w:spacing w:after="0"/>
              <w:rPr>
                <w:sz w:val="20"/>
                <w:szCs w:val="20"/>
                <w:color w:val="auto"/>
              </w:rPr>
            </w:pPr>
            <w:r>
              <w:rPr>
                <w:rFonts w:ascii="Arial" w:cs="Arial" w:eastAsia="Arial" w:hAnsi="Arial"/>
                <w:sz w:val="16"/>
                <w:szCs w:val="16"/>
                <w:b w:val="1"/>
                <w:bCs w:val="1"/>
                <w:color w:val="auto"/>
              </w:rPr>
              <w:t>Abi Vainstein</w:t>
            </w:r>
          </w:p>
        </w:tc>
      </w:tr>
      <w:tr>
        <w:trPr>
          <w:trHeight w:val="354"/>
        </w:trPr>
        <w:tc>
          <w:tcPr>
            <w:tcW w:w="340" w:type="dxa"/>
            <w:vAlign w:val="bottom"/>
          </w:tcPr>
          <w:p>
            <w:pPr>
              <w:spacing w:after="0"/>
              <w:rPr>
                <w:sz w:val="20"/>
                <w:szCs w:val="20"/>
                <w:color w:val="auto"/>
              </w:rPr>
            </w:pPr>
            <w:r>
              <w:rPr>
                <w:rFonts w:ascii="Arial" w:cs="Arial" w:eastAsia="Arial" w:hAnsi="Arial"/>
                <w:sz w:val="16"/>
                <w:szCs w:val="16"/>
                <w:color w:val="auto"/>
              </w:rPr>
              <w:t>By:</w:t>
            </w:r>
          </w:p>
        </w:tc>
        <w:tc>
          <w:tcPr>
            <w:tcW w:w="1800" w:type="dxa"/>
            <w:vAlign w:val="bottom"/>
            <w:gridSpan w:val="2"/>
          </w:tcPr>
          <w:p>
            <w:pPr>
              <w:spacing w:after="0"/>
              <w:rPr>
                <w:sz w:val="24"/>
                <w:szCs w:val="24"/>
                <w:color w:val="auto"/>
              </w:rPr>
            </w:pPr>
          </w:p>
        </w:tc>
        <w:tc>
          <w:tcPr>
            <w:tcW w:w="9300" w:type="dxa"/>
            <w:vAlign w:val="bottom"/>
            <w:gridSpan w:val="3"/>
          </w:tcPr>
          <w:p>
            <w:pPr>
              <w:ind w:left="3400"/>
              <w:spacing w:after="0"/>
              <w:rPr>
                <w:sz w:val="20"/>
                <w:szCs w:val="20"/>
                <w:color w:val="auto"/>
              </w:rPr>
            </w:pPr>
            <w:r>
              <w:rPr>
                <w:rFonts w:ascii="Arial" w:cs="Arial" w:eastAsia="Arial" w:hAnsi="Arial"/>
                <w:sz w:val="16"/>
                <w:szCs w:val="16"/>
                <w:color w:val="auto"/>
              </w:rPr>
              <w:t>Signature: /s/ Abi Vainstein</w:t>
            </w: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70"/>
        </w:trPr>
        <w:tc>
          <w:tcPr>
            <w:tcW w:w="480" w:type="dxa"/>
            <w:vAlign w:val="bottom"/>
            <w:gridSpan w:val="2"/>
          </w:tcPr>
          <w:p>
            <w:pPr>
              <w:spacing w:after="0"/>
              <w:rPr>
                <w:sz w:val="20"/>
                <w:szCs w:val="20"/>
                <w:color w:val="auto"/>
              </w:rPr>
            </w:pPr>
            <w:r>
              <w:rPr>
                <w:rFonts w:ascii="Arial" w:cs="Arial" w:eastAsia="Arial" w:hAnsi="Arial"/>
                <w:sz w:val="16"/>
                <w:szCs w:val="16"/>
                <w:color w:val="auto"/>
                <w:w w:val="97"/>
              </w:rPr>
              <w:t>Name:</w:t>
            </w:r>
          </w:p>
        </w:tc>
        <w:tc>
          <w:tcPr>
            <w:tcW w:w="16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70"/>
        </w:trPr>
        <w:tc>
          <w:tcPr>
            <w:tcW w:w="2140" w:type="dxa"/>
            <w:vAlign w:val="bottom"/>
            <w:gridSpan w:val="3"/>
          </w:tcPr>
          <w:p>
            <w:pPr>
              <w:spacing w:after="0"/>
              <w:rPr>
                <w:sz w:val="20"/>
                <w:szCs w:val="20"/>
                <w:color w:val="auto"/>
              </w:rPr>
            </w:pPr>
            <w:r>
              <w:rPr>
                <w:rFonts w:ascii="Arial" w:cs="Arial" w:eastAsia="Arial" w:hAnsi="Arial"/>
                <w:sz w:val="16"/>
                <w:szCs w:val="16"/>
                <w:color w:val="auto"/>
              </w:rPr>
              <w:t>Title:</w:t>
            </w:r>
          </w:p>
        </w:tc>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612"/>
        </w:trPr>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4120" w:type="dxa"/>
            <w:vAlign w:val="bottom"/>
          </w:tcPr>
          <w:p>
            <w:pPr>
              <w:jc w:val="right"/>
              <w:ind w:right="419"/>
              <w:spacing w:after="0"/>
              <w:rPr>
                <w:sz w:val="20"/>
                <w:szCs w:val="20"/>
                <w:color w:val="auto"/>
              </w:rPr>
            </w:pPr>
            <w:r>
              <w:rPr>
                <w:rFonts w:ascii="Arial" w:cs="Arial" w:eastAsia="Arial" w:hAnsi="Arial"/>
                <w:sz w:val="16"/>
                <w:szCs w:val="16"/>
                <w:color w:val="auto"/>
              </w:rPr>
              <w:t>6</w:t>
            </w:r>
          </w:p>
        </w:tc>
        <w:tc>
          <w:tcPr>
            <w:tcW w:w="10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4"/>
        </w:trPr>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065" w:right="219" w:bottom="1440" w:gutter="0" w:footer="0" w:header="0"/>
        </w:sectPr>
      </w:pPr>
    </w:p>
    <w:bookmarkStart w:id="260" w:name="page261"/>
    <w:bookmarkEnd w:id="2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2486025</wp:posOffset>
            </wp:positionH>
            <wp:positionV relativeFrom="page">
              <wp:posOffset>243840</wp:posOffset>
            </wp:positionV>
            <wp:extent cx="2597785" cy="4406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Exhibit A</w:t>
            </w:r>
          </w:p>
        </w:tc>
        <w:tc>
          <w:tcPr>
            <w:tcW w:w="1120" w:type="dxa"/>
            <w:vAlign w:val="bottom"/>
          </w:tcPr>
          <w:p>
            <w:pPr>
              <w:spacing w:after="0"/>
              <w:rPr>
                <w:sz w:val="16"/>
                <w:szCs w:val="16"/>
                <w:color w:val="auto"/>
              </w:rPr>
            </w:pPr>
          </w:p>
        </w:tc>
        <w:tc>
          <w:tcPr>
            <w:tcW w:w="3000" w:type="dxa"/>
            <w:vAlign w:val="bottom"/>
          </w:tcPr>
          <w:p>
            <w:pPr>
              <w:spacing w:after="0"/>
              <w:rPr>
                <w:sz w:val="16"/>
                <w:szCs w:val="16"/>
                <w:color w:val="auto"/>
              </w:rPr>
            </w:pPr>
          </w:p>
        </w:tc>
      </w:tr>
      <w:tr>
        <w:trPr>
          <w:trHeight w:val="211"/>
        </w:trPr>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Particulars of Employment</w:t>
            </w:r>
          </w:p>
        </w:tc>
        <w:tc>
          <w:tcPr>
            <w:tcW w:w="11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00"/>
        </w:trPr>
        <w:tc>
          <w:tcPr>
            <w:tcW w:w="7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Name of Employee:</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Abi Vainstein</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2.</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ID No. of Employee:</w:t>
            </w:r>
          </w:p>
        </w:tc>
        <w:tc>
          <w:tcPr>
            <w:tcW w:w="1420" w:type="dxa"/>
            <w:vAlign w:val="bottom"/>
          </w:tcPr>
          <w:p>
            <w:pPr>
              <w:ind w:left="20"/>
              <w:spacing w:after="0"/>
              <w:rPr>
                <w:sz w:val="20"/>
                <w:szCs w:val="20"/>
                <w:color w:val="auto"/>
              </w:rPr>
            </w:pPr>
            <w:r>
              <w:rPr>
                <w:rFonts w:ascii="Arial" w:cs="Arial" w:eastAsia="Arial" w:hAnsi="Arial"/>
                <w:sz w:val="16"/>
                <w:szCs w:val="16"/>
                <w:color w:val="auto"/>
              </w:rPr>
              <w:t>324556646</w:t>
            </w: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3.</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Address of Employee:</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Ben Shalom 7, Herzliya 4640852</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4.</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Position in BioLine:</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Medical Director</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5.</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Commencement Date:</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June 1, 2014</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6.</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Notice Period:</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30 days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7.</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Base Salary:</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NIS 23,250</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8.</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Overtime Payment</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NIS  7,750</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9.</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Options</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150,000 (subject to Board approval)</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10.</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Vacation Days Per Year:</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20 days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11.</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Manager’s Insurance/Pension Fund</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12.</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Disability Insurance</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13.</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Advanced Study Fund</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14.</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Mobile Phone</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15.</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218"/>
        </w:trPr>
        <w:tc>
          <w:tcPr>
            <w:tcW w:w="70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16.</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Computer</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1120" w:type="dxa"/>
            <w:vAlign w:val="bottom"/>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r>
      <w:tr>
        <w:trPr>
          <w:trHeight w:val="29"/>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402"/>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Philip Serlin</w:t>
            </w:r>
          </w:p>
        </w:tc>
        <w:tc>
          <w:tcPr>
            <w:tcW w:w="84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/s/ Abi Vainstein</w:t>
            </w:r>
          </w:p>
        </w:tc>
        <w:tc>
          <w:tcPr>
            <w:tcW w:w="3000" w:type="dxa"/>
            <w:vAlign w:val="bottom"/>
          </w:tcPr>
          <w:p>
            <w:pPr>
              <w:spacing w:after="0"/>
              <w:rPr>
                <w:sz w:val="24"/>
                <w:szCs w:val="24"/>
                <w:color w:val="auto"/>
              </w:rPr>
            </w:pPr>
          </w:p>
        </w:tc>
      </w:tr>
      <w:tr>
        <w:trPr>
          <w:trHeight w:val="211"/>
        </w:trPr>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right="840"/>
              <w:spacing w:after="0"/>
              <w:rPr>
                <w:sz w:val="20"/>
                <w:szCs w:val="20"/>
                <w:color w:val="auto"/>
              </w:rPr>
            </w:pPr>
            <w:r>
              <w:rPr>
                <w:rFonts w:ascii="Arial" w:cs="Arial" w:eastAsia="Arial" w:hAnsi="Arial"/>
                <w:sz w:val="16"/>
                <w:szCs w:val="16"/>
                <w:color w:val="auto"/>
              </w:rPr>
              <w:t>BioLine</w:t>
            </w:r>
          </w:p>
        </w:tc>
        <w:tc>
          <w:tcPr>
            <w:tcW w:w="4120" w:type="dxa"/>
            <w:vAlign w:val="bottom"/>
            <w:gridSpan w:val="2"/>
          </w:tcPr>
          <w:p>
            <w:pPr>
              <w:ind w:left="280"/>
              <w:spacing w:after="0"/>
              <w:rPr>
                <w:sz w:val="20"/>
                <w:szCs w:val="20"/>
                <w:color w:val="auto"/>
              </w:rPr>
            </w:pPr>
            <w:r>
              <w:rPr>
                <w:rFonts w:ascii="Arial" w:cs="Arial" w:eastAsia="Arial" w:hAnsi="Arial"/>
                <w:sz w:val="16"/>
                <w:szCs w:val="16"/>
                <w:color w:val="auto"/>
              </w:rPr>
              <w:t>Employee</w:t>
            </w:r>
          </w:p>
        </w:tc>
      </w:tr>
      <w:tr>
        <w:trPr>
          <w:trHeight w:val="791"/>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80" w:type="dxa"/>
            <w:vAlign w:val="bottom"/>
            <w:gridSpan w:val="2"/>
          </w:tcPr>
          <w:p>
            <w:pPr>
              <w:jc w:val="center"/>
              <w:ind w:left="879"/>
              <w:spacing w:after="0"/>
              <w:rPr>
                <w:sz w:val="20"/>
                <w:szCs w:val="20"/>
                <w:color w:val="auto"/>
              </w:rPr>
            </w:pPr>
            <w:r>
              <w:rPr>
                <w:rFonts w:ascii="Arial" w:cs="Arial" w:eastAsia="Arial" w:hAnsi="Arial"/>
                <w:sz w:val="16"/>
                <w:szCs w:val="16"/>
                <w:color w:val="auto"/>
                <w:w w:val="89"/>
              </w:rPr>
              <w:t>7</w:t>
            </w: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304" w:right="219" w:bottom="1440" w:gutter="0" w:footer="0" w:header="0"/>
        </w:sectPr>
      </w:pPr>
    </w:p>
    <w:bookmarkStart w:id="261" w:name="page262"/>
    <w:bookmarkEnd w:id="261"/>
    <w:p>
      <w:pPr>
        <w:jc w:val="center"/>
        <w:ind w:right="3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2486025</wp:posOffset>
            </wp:positionH>
            <wp:positionV relativeFrom="page">
              <wp:posOffset>243840</wp:posOffset>
            </wp:positionV>
            <wp:extent cx="2597785" cy="4406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Exhibit B</w:t>
      </w:r>
    </w:p>
    <w:p>
      <w:pPr>
        <w:spacing w:after="0" w:line="254" w:lineRule="exact"/>
        <w:rPr>
          <w:sz w:val="20"/>
          <w:szCs w:val="20"/>
          <w:color w:val="auto"/>
        </w:rPr>
      </w:pPr>
    </w:p>
    <w:p>
      <w:pPr>
        <w:jc w:val="center"/>
        <w:ind w:right="37"/>
        <w:spacing w:after="0"/>
        <w:rPr>
          <w:sz w:val="20"/>
          <w:szCs w:val="20"/>
          <w:color w:val="auto"/>
        </w:rPr>
      </w:pPr>
      <w:r>
        <w:rPr>
          <w:rFonts w:ascii="Arial" w:cs="Arial" w:eastAsia="Arial" w:hAnsi="Arial"/>
          <w:sz w:val="16"/>
          <w:szCs w:val="16"/>
          <w:b w:val="1"/>
          <w:bCs w:val="1"/>
          <w:color w:val="auto"/>
        </w:rPr>
        <w:t>Proprietary Information, Confidentiality and Non-Competition Agreement</w:t>
      </w:r>
    </w:p>
    <w:p>
      <w:pPr>
        <w:spacing w:after="0" w:line="254" w:lineRule="exact"/>
        <w:rPr>
          <w:sz w:val="20"/>
          <w:szCs w:val="20"/>
          <w:color w:val="auto"/>
        </w:rPr>
      </w:pPr>
    </w:p>
    <w:p>
      <w:pPr>
        <w:ind w:left="283" w:hanging="283"/>
        <w:spacing w:after="0"/>
        <w:tabs>
          <w:tab w:leader="none" w:pos="283" w:val="left"/>
        </w:tabs>
        <w:numPr>
          <w:ilvl w:val="0"/>
          <w:numId w:val="215"/>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643" w:right="20" w:hanging="341"/>
        <w:spacing w:after="0" w:line="324" w:lineRule="auto"/>
        <w:rPr>
          <w:rFonts w:ascii="Arial" w:cs="Arial" w:eastAsia="Arial" w:hAnsi="Arial"/>
          <w:sz w:val="16"/>
          <w:szCs w:val="16"/>
          <w:color w:val="auto"/>
        </w:rPr>
      </w:pPr>
      <w:r>
        <w:rPr>
          <w:rFonts w:ascii="Arial" w:cs="Arial" w:eastAsia="Arial" w:hAnsi="Arial"/>
          <w:sz w:val="15"/>
          <w:szCs w:val="15"/>
          <w:color w:val="auto"/>
        </w:rPr>
        <w:t>1.1. All capitalized terms herein shall have the meanings ascribed to them in the Employment Agreement to which this Exhibit B is attached (the “</w:t>
      </w:r>
      <w:r>
        <w:rPr>
          <w:rFonts w:ascii="Arial" w:cs="Arial" w:eastAsia="Arial" w:hAnsi="Arial"/>
          <w:sz w:val="15"/>
          <w:szCs w:val="15"/>
          <w:b w:val="1"/>
          <w:bCs w:val="1"/>
          <w:color w:val="auto"/>
        </w:rPr>
        <w:t>Employment</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For purposes of any undertaking of Employee toward BioLine, the term BioLine shall include all subsidiaries and affiliates of BioLine.</w:t>
      </w:r>
    </w:p>
    <w:p>
      <w:pPr>
        <w:spacing w:after="0" w:line="167" w:lineRule="exact"/>
        <w:rPr>
          <w:rFonts w:ascii="Arial" w:cs="Arial" w:eastAsia="Arial" w:hAnsi="Arial"/>
          <w:sz w:val="16"/>
          <w:szCs w:val="16"/>
          <w:color w:val="auto"/>
        </w:rPr>
      </w:pPr>
    </w:p>
    <w:p>
      <w:pPr>
        <w:ind w:left="643" w:right="20" w:hanging="341"/>
        <w:spacing w:after="0" w:line="271" w:lineRule="auto"/>
        <w:rPr>
          <w:rFonts w:ascii="Arial" w:cs="Arial" w:eastAsia="Arial" w:hAnsi="Arial"/>
          <w:sz w:val="16"/>
          <w:szCs w:val="16"/>
          <w:color w:val="auto"/>
        </w:rPr>
      </w:pPr>
      <w:r>
        <w:rPr>
          <w:rFonts w:ascii="Arial" w:cs="Arial" w:eastAsia="Arial" w:hAnsi="Arial"/>
          <w:sz w:val="16"/>
          <w:szCs w:val="16"/>
          <w:color w:val="auto"/>
        </w:rPr>
        <w:t>1.2. Employee’s obligations and representations and BioLine’s rights under this Exhibit B (this “</w:t>
      </w:r>
      <w:r>
        <w:rPr>
          <w:rFonts w:ascii="Arial" w:cs="Arial" w:eastAsia="Arial" w:hAnsi="Arial"/>
          <w:sz w:val="16"/>
          <w:szCs w:val="16"/>
          <w:b w:val="1"/>
          <w:bCs w:val="1"/>
          <w:color w:val="auto"/>
        </w:rPr>
        <w:t>Agreement</w:t>
      </w:r>
      <w:r>
        <w:rPr>
          <w:rFonts w:ascii="Arial" w:cs="Arial" w:eastAsia="Arial" w:hAnsi="Arial"/>
          <w:sz w:val="16"/>
          <w:szCs w:val="16"/>
          <w:color w:val="auto"/>
        </w:rPr>
        <w:t>”) shall apply as of the Commencement Date of the employment relationship between BioLine and Employee, and as of the first time in which Employee became engaged with BioLine, regardless of the date of execution of the Employment Agreement.</w:t>
      </w:r>
    </w:p>
    <w:p>
      <w:pPr>
        <w:spacing w:after="0" w:line="208"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1.3. Employee’s undertakings hereunder shall remain in full force and effect after termination of this Agreement or the Employment Agreement, or any renewal thereof.</w:t>
      </w:r>
    </w:p>
    <w:p>
      <w:pPr>
        <w:spacing w:after="0" w:line="265" w:lineRule="exact"/>
        <w:rPr>
          <w:rFonts w:ascii="Arial" w:cs="Arial" w:eastAsia="Arial" w:hAnsi="Arial"/>
          <w:sz w:val="16"/>
          <w:szCs w:val="16"/>
          <w:color w:val="auto"/>
        </w:rPr>
      </w:pPr>
    </w:p>
    <w:p>
      <w:pPr>
        <w:jc w:val="both"/>
        <w:ind w:left="283" w:hanging="283"/>
        <w:spacing w:after="0" w:line="275" w:lineRule="auto"/>
        <w:tabs>
          <w:tab w:leader="none" w:pos="283" w:val="left"/>
        </w:tabs>
        <w:numPr>
          <w:ilvl w:val="0"/>
          <w:numId w:val="215"/>
        </w:numPr>
        <w:rPr>
          <w:rFonts w:ascii="Arial" w:cs="Arial" w:eastAsia="Arial" w:hAnsi="Arial"/>
          <w:sz w:val="15"/>
          <w:szCs w:val="15"/>
          <w:color w:val="auto"/>
        </w:rPr>
      </w:pPr>
      <w:r>
        <w:rPr>
          <w:rFonts w:ascii="Arial" w:cs="Arial" w:eastAsia="Arial" w:hAnsi="Arial"/>
          <w:sz w:val="15"/>
          <w:szCs w:val="15"/>
          <w:color w:val="auto"/>
        </w:rPr>
        <w:t>Employee acknowledges that he/she has received and/or may receive information of a confidential and proprietary nature regarding the activities and business of BioLine, its subsidiaries and/or affiliates, all whether in oral, written, graphic, or machine-readable form, or in any other form, including, but not limited to, (i) patents and patent applications and related information, (ii) trade secrets and industrial secrets, and (iii) drugs, compounds, molecules, building blocks, chemical libraries, reaction protocols for chemical libraries, chemical structures, chemical design and model relationship data, chemical databases, assays, samples, media and other biological materials, procedures and formulations for producing any such materials, products, processes, ideas, know-how, trade secrets, drawings, inventions, improvements, formulas, equations, methods, developmental or experimental work, research or clinical data, discoveries, developments, designs, techniques, instruments, devices, computer software and hardware related to the current, future and/or proposed products and services, and including, without limitation, information regarding research, development, new service offerings or products, marketing and selling, business plans, forecasts, business methods, budgets, finances, licensing, collaboration and development arrangements, prices and costs, buying habits and practices, contact and mailing lists and databases, vendors, customers and clients, and potential business opportunities, and personnel (collectively,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Confidential Information may also include information furnished to BioLine by third parties, which, for purposes of this Agreement, shall all be deemed Confidential Information of BioLine. Notwithstanding the aforesaid, information that is in the public domain, through no act or omission of Employee shall not be deemed Confidential Information. The Confidential Information and all right, title and interest therein will remain at all times the exclusive property of BioLine (or any third party entrusting its own Confidential Information to BioLine).</w:t>
      </w:r>
    </w:p>
    <w:p>
      <w:pPr>
        <w:spacing w:after="0" w:line="206" w:lineRule="exact"/>
        <w:rPr>
          <w:rFonts w:ascii="Arial" w:cs="Arial" w:eastAsia="Arial" w:hAnsi="Arial"/>
          <w:sz w:val="15"/>
          <w:szCs w:val="15"/>
          <w:color w:val="auto"/>
        </w:rPr>
      </w:pPr>
    </w:p>
    <w:p>
      <w:pPr>
        <w:jc w:val="both"/>
        <w:ind w:left="283" w:right="20" w:hanging="283"/>
        <w:spacing w:after="0" w:line="268" w:lineRule="auto"/>
        <w:tabs>
          <w:tab w:leader="none" w:pos="28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At all times during the Employment Period and thereafter, Employee will hold all Confidential Information in strictest confidence and will not disclose, use, or make any copies thereof. Employee hereby assigns to BioLine any rights that Employee may have or acquire in such Confidential Information and recognize that all Confidential Information shall be the sole property of BioLine and its assigns or licensors, as applicable.</w:t>
      </w:r>
    </w:p>
    <w:p>
      <w:pPr>
        <w:spacing w:after="0" w:line="211" w:lineRule="exact"/>
        <w:rPr>
          <w:rFonts w:ascii="Arial" w:cs="Arial" w:eastAsia="Arial" w:hAnsi="Arial"/>
          <w:sz w:val="16"/>
          <w:szCs w:val="16"/>
          <w:color w:val="auto"/>
        </w:rPr>
      </w:pPr>
    </w:p>
    <w:p>
      <w:pPr>
        <w:jc w:val="both"/>
        <w:ind w:left="283" w:right="20" w:hanging="283"/>
        <w:spacing w:after="0" w:line="275" w:lineRule="auto"/>
        <w:tabs>
          <w:tab w:leader="none" w:pos="283" w:val="left"/>
        </w:tabs>
        <w:numPr>
          <w:ilvl w:val="0"/>
          <w:numId w:val="215"/>
        </w:numPr>
        <w:rPr>
          <w:rFonts w:ascii="Arial" w:cs="Arial" w:eastAsia="Arial" w:hAnsi="Arial"/>
          <w:sz w:val="15"/>
          <w:szCs w:val="15"/>
          <w:color w:val="auto"/>
        </w:rPr>
      </w:pPr>
      <w:r>
        <w:rPr>
          <w:rFonts w:ascii="Arial" w:cs="Arial" w:eastAsia="Arial" w:hAnsi="Arial"/>
          <w:sz w:val="15"/>
          <w:szCs w:val="15"/>
          <w:color w:val="auto"/>
        </w:rPr>
        <w:t>Employee represents that he/she has assigned to BioLine all inventions, original works of authorship, developments, improvements, and trade secrets which were conceived, developed, made or reduced to practice by Employee prior to the date of the this Agreement or the Commencement Date, whichever is earlier (collectively referred to as “</w:t>
      </w:r>
      <w:r>
        <w:rPr>
          <w:rFonts w:ascii="Arial" w:cs="Arial" w:eastAsia="Arial" w:hAnsi="Arial"/>
          <w:sz w:val="15"/>
          <w:szCs w:val="15"/>
          <w:b w:val="1"/>
          <w:bCs w:val="1"/>
          <w:color w:val="auto"/>
        </w:rPr>
        <w:t>Prior Inventions</w:t>
      </w:r>
      <w:r>
        <w:rPr>
          <w:rFonts w:ascii="Arial" w:cs="Arial" w:eastAsia="Arial" w:hAnsi="Arial"/>
          <w:sz w:val="15"/>
          <w:szCs w:val="15"/>
          <w:color w:val="auto"/>
        </w:rPr>
        <w:t>”), in which Employee has or purports to have any ownership interest in or a license to use, and which relate to BioLine’s current or proposed business, products or research and development. Notwithstanding the foregoing, this Agreement will not be deemed to require assignment of any invention which was developed entirely on Employee’s own time without using BioLine’s equipment, supplies, facilities, or Proprietary Information and which is not related to the BioLine’s actual business, research or development. In addition, the Agreement will not apply with respect to inventions, if any, that were reduced to practice, made or conceived by Employee not in connection with Employee’s relationship with BioLine and have been fully disclosed to BioLine prior to Employee’s engagement with BioLine (“</w:t>
      </w:r>
      <w:r>
        <w:rPr>
          <w:rFonts w:ascii="Arial" w:cs="Arial" w:eastAsia="Arial" w:hAnsi="Arial"/>
          <w:sz w:val="15"/>
          <w:szCs w:val="15"/>
          <w:b w:val="1"/>
          <w:bCs w:val="1"/>
          <w:color w:val="auto"/>
        </w:rPr>
        <w:t>Excluded Inventions</w:t>
      </w:r>
      <w:r>
        <w:rPr>
          <w:rFonts w:ascii="Arial" w:cs="Arial" w:eastAsia="Arial" w:hAnsi="Arial"/>
          <w:sz w:val="15"/>
          <w:szCs w:val="15"/>
          <w:color w:val="auto"/>
        </w:rPr>
        <w:t xml:space="preserve">”). All Excluded Inventions existing as of the date hereof are listed in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If, in the course of Employee’s employment, Employee incorporates an Excluded Invention into a product, process or machine of BioLine, BioLine is hereby granted and shall have a nonexclusive, royalty-free, irrevocable, perpetual, worldwide license (with rights to sublicense through multiple tiers of sublicenses) to make, have made, modify, use and sell such Excluded Invention. Notwithstanding the foregoing, Employee agrees that: (i) Employee will not incorporate, or permit to be incorporated, Excluded Inventions in any Inventions of BioLine without the BioLine’s prior written consent, (ii) Employee’s failure to obtain such prior consent shall not affect the grant of the license relating to the Excluded Inventions as specified in this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240030</wp:posOffset>
            </wp:positionV>
            <wp:extent cx="303974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039745" cy="7620"/>
                    </a:xfrm>
                    <a:prstGeom prst="rect">
                      <a:avLst/>
                    </a:prstGeom>
                    <a:noFill/>
                  </pic:spPr>
                </pic:pic>
              </a:graphicData>
            </a:graphic>
          </wp:anchor>
        </w:drawing>
      </w:r>
    </w:p>
    <w:p>
      <w:pPr>
        <w:spacing w:after="0" w:line="382" w:lineRule="exact"/>
        <w:rPr>
          <w:sz w:val="20"/>
          <w:szCs w:val="20"/>
          <w:color w:val="auto"/>
        </w:rPr>
      </w:pPr>
    </w:p>
    <w:p>
      <w:pPr>
        <w:ind w:left="4063"/>
        <w:spacing w:after="0"/>
        <w:tabs>
          <w:tab w:leader="none" w:pos="66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61" w:right="219" w:bottom="1440" w:gutter="0" w:footer="0" w:header="0"/>
        </w:sectPr>
      </w:pPr>
    </w:p>
    <w:bookmarkStart w:id="262" w:name="page263"/>
    <w:bookmarkEnd w:id="262"/>
    <w:p>
      <w:pPr>
        <w:jc w:val="both"/>
        <w:ind w:left="283" w:hanging="283"/>
        <w:spacing w:after="0" w:line="260" w:lineRule="auto"/>
        <w:tabs>
          <w:tab w:leader="none" w:pos="283" w:val="left"/>
        </w:tabs>
        <w:numPr>
          <w:ilvl w:val="0"/>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Employee will promptly disclose and describe to BioLine all inventions, improvements, designs, concepts, techniques, methods, processes, know how, and trade secrets, whether or not patentable, copyrightable or protectable as trade secrets that are made, developed, conceived or first reduced to practice or created by Employee, whether alone or jointly with others, during Employee’s employment with BioLine (i) which relate to BioLine’s business or actual or demonstrably anticipated research or development, (ii) which are developed in whole or in part on BioLine’s time or with the use of any of BioLine’s Confidential Information or other information, equipment, supplies, facilities or trade secret information, or (iii) which result directly or indirectly from any work performed by Employee for BioLine (the “</w:t>
      </w:r>
      <w:r>
        <w:rPr>
          <w:rFonts w:ascii="Arial" w:cs="Arial" w:eastAsia="Arial" w:hAnsi="Arial"/>
          <w:sz w:val="16"/>
          <w:szCs w:val="16"/>
          <w:b w:val="1"/>
          <w:bCs w:val="1"/>
          <w:color w:val="auto"/>
        </w:rPr>
        <w:t>Inventions</w:t>
      </w:r>
      <w:r>
        <w:rPr>
          <w:rFonts w:ascii="Arial" w:cs="Arial" w:eastAsia="Arial" w:hAnsi="Arial"/>
          <w:sz w:val="16"/>
          <w:szCs w:val="16"/>
          <w:color w:val="auto"/>
        </w:rPr>
        <w:t>,” and each an “</w:t>
      </w:r>
      <w:r>
        <w:rPr>
          <w:rFonts w:ascii="Arial" w:cs="Arial" w:eastAsia="Arial" w:hAnsi="Arial"/>
          <w:sz w:val="16"/>
          <w:szCs w:val="16"/>
          <w:b w:val="1"/>
          <w:bCs w:val="1"/>
          <w:color w:val="auto"/>
        </w:rPr>
        <w:t>Invention</w:t>
      </w:r>
      <w:r>
        <w:rPr>
          <w:rFonts w:ascii="Arial" w:cs="Arial" w:eastAsia="Arial" w:hAnsi="Arial"/>
          <w:sz w:val="16"/>
          <w:szCs w:val="16"/>
          <w:color w:val="auto"/>
        </w:rPr>
        <w:t>”).</w:t>
      </w:r>
    </w:p>
    <w:p>
      <w:pPr>
        <w:spacing w:after="0" w:line="216" w:lineRule="exact"/>
        <w:rPr>
          <w:rFonts w:ascii="Arial" w:cs="Arial" w:eastAsia="Arial" w:hAnsi="Arial"/>
          <w:sz w:val="16"/>
          <w:szCs w:val="16"/>
          <w:color w:val="auto"/>
        </w:rPr>
      </w:pPr>
    </w:p>
    <w:p>
      <w:pPr>
        <w:jc w:val="both"/>
        <w:ind w:left="283" w:hanging="283"/>
        <w:spacing w:after="0" w:line="277" w:lineRule="auto"/>
        <w:tabs>
          <w:tab w:leader="none" w:pos="283" w:val="left"/>
        </w:tabs>
        <w:numPr>
          <w:ilvl w:val="0"/>
          <w:numId w:val="216"/>
        </w:numPr>
        <w:rPr>
          <w:rFonts w:ascii="Arial" w:cs="Arial" w:eastAsia="Arial" w:hAnsi="Arial"/>
          <w:sz w:val="15"/>
          <w:szCs w:val="15"/>
          <w:color w:val="auto"/>
        </w:rPr>
      </w:pPr>
      <w:r>
        <w:rPr>
          <w:rFonts w:ascii="Arial" w:cs="Arial" w:eastAsia="Arial" w:hAnsi="Arial"/>
          <w:sz w:val="15"/>
          <w:szCs w:val="15"/>
          <w:color w:val="auto"/>
        </w:rPr>
        <w:t>Employee hereby assigns and agrees to assign in the future (when any such Inventions or Proprietary Rights (defined below) are first reduced to practice or first fixed in a tangible medium, as applicable) to BioLine or its designee(s) all of Employee’s right, title and interest in and to any and all Inventions (and all Proprietary Rights with respect thereto) whether or not patentable or registrable under copyright or similar statutes. Employee further specifically assigns to BioLine all original works of authorship, including any related moral rights, which are made by Employee (solely or jointly with others) during the Employment Period which are protectable by copyright pursuant to applicable copyright law. Employee also agrees to assign all of his/her right, title and interest in and to any particular Invention to any third party, including without limitation government agency, as directed by BioLine. Employee hereby waives and irrevocably quitclaims to BioLine any and all claims, of any nature whatsoever, that Employee now has or may hereafter have for infringement of any and all rights in Inventions and Proprietary Rights. To the extent any moral rights cannot be assigned under applicable law and to the extent the following is allowed by the laws in the various countries where moral rights exist, Employee hereby waives such moral rights and consent to any action of BioLine that would violate such moral rights in the absence of such consent.</w:t>
      </w:r>
    </w:p>
    <w:p>
      <w:pPr>
        <w:spacing w:after="0" w:line="201" w:lineRule="exact"/>
        <w:rPr>
          <w:rFonts w:ascii="Arial" w:cs="Arial" w:eastAsia="Arial" w:hAnsi="Arial"/>
          <w:sz w:val="15"/>
          <w:szCs w:val="15"/>
          <w:color w:val="auto"/>
        </w:rPr>
      </w:pPr>
    </w:p>
    <w:p>
      <w:pPr>
        <w:jc w:val="both"/>
        <w:ind w:left="283" w:right="20"/>
        <w:spacing w:after="0" w:line="265" w:lineRule="auto"/>
        <w:rPr>
          <w:rFonts w:ascii="Arial" w:cs="Arial" w:eastAsia="Arial" w:hAnsi="Arial"/>
          <w:sz w:val="15"/>
          <w:szCs w:val="15"/>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Proprietary Rights</w:t>
      </w:r>
      <w:r>
        <w:rPr>
          <w:rFonts w:ascii="Arial" w:cs="Arial" w:eastAsia="Arial" w:hAnsi="Arial"/>
          <w:sz w:val="16"/>
          <w:szCs w:val="16"/>
          <w:color w:val="auto"/>
        </w:rPr>
        <w:t>” shall mean: (i) patents, whether in the form of utility patents or design patents and all pending applications for such patents; (ii) trademarks, trade names, service marks, designs, logos, trade dress, and trade styles, whether or not registered, and all pending applications for registration of the same; (iii) copyrights or copyrightable material, including moral rights, including but not limited to books, articles and publications, whether or not registered, and all pending applications for registration of the same; and (iv) all other intellectual property rights throughout the world.</w:t>
      </w:r>
    </w:p>
    <w:p>
      <w:pPr>
        <w:spacing w:after="0" w:line="214" w:lineRule="exact"/>
        <w:rPr>
          <w:rFonts w:ascii="Arial" w:cs="Arial" w:eastAsia="Arial" w:hAnsi="Arial"/>
          <w:sz w:val="15"/>
          <w:szCs w:val="15"/>
          <w:color w:val="auto"/>
        </w:rPr>
      </w:pPr>
    </w:p>
    <w:p>
      <w:pPr>
        <w:jc w:val="both"/>
        <w:ind w:left="283" w:hanging="283"/>
        <w:spacing w:after="0" w:line="275" w:lineRule="auto"/>
        <w:tabs>
          <w:tab w:leader="none" w:pos="283" w:val="left"/>
        </w:tabs>
        <w:numPr>
          <w:ilvl w:val="0"/>
          <w:numId w:val="216"/>
        </w:numPr>
        <w:rPr>
          <w:rFonts w:ascii="Arial" w:cs="Arial" w:eastAsia="Arial" w:hAnsi="Arial"/>
          <w:sz w:val="15"/>
          <w:szCs w:val="15"/>
          <w:color w:val="auto"/>
        </w:rPr>
      </w:pPr>
      <w:r>
        <w:rPr>
          <w:rFonts w:ascii="Arial" w:cs="Arial" w:eastAsia="Arial" w:hAnsi="Arial"/>
          <w:sz w:val="15"/>
          <w:szCs w:val="15"/>
          <w:color w:val="auto"/>
        </w:rPr>
        <w:t>Employee specifically acknowledges and agrees that Employee’s duties with BioLine will entail the invention and development of new ideas, technologies, products and other confidential and proprietary information, and that the creation of any such intellectual property is an inherent part of Employee’s duties with BioLine. Employee expressly agrees that the consideration paid to Employee pursuant to his/her Employment Agreement constitutes the sole consideration to which Employee may be entitled to for the assignment of any and all Inventions or Proprietary Rights made, developed, conceived or first reduced to practice or created by Employee (or with his/her assistance or contribution) including, without limitation, in accordance with Section 134 of the Patent Law, 5727-1967 (the “Patent Law”), and Employee shall not be entitled to receive any additional consideration in this respect whatsoever. Without derogating from the aforesaid, it is hereby clarified that the level of Employee’s compensation and consideration has been established based upon the aforementioned waiver of rights to receive any such additional royalties, consideration or other payments. The above will apply to any “Service Inventions” as defined in the Patent Law. It being clarified that under no circumstances will Employee be deemed to have any Proprietary Right in any Service Invention, notwithstanding the provision or non-provision of any notice of an invention and/or BioLine’s response to any such notice, under Section 132(b) of the Patent Law. This Agreement is expressly intended to be an agreement with regard to the terms and conditions of consideration for Service Inventions in accordance with Section 134 of the Patent Law.</w:t>
      </w:r>
    </w:p>
    <w:p>
      <w:pPr>
        <w:spacing w:after="0" w:line="37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065" w:right="239" w:bottom="1440" w:gutter="0" w:footer="0" w:header="0"/>
        </w:sectPr>
      </w:pPr>
    </w:p>
    <w:bookmarkStart w:id="263" w:name="page264"/>
    <w:bookmarkEnd w:id="263"/>
    <w:p>
      <w:pPr>
        <w:jc w:val="both"/>
        <w:ind w:left="283" w:hanging="283"/>
        <w:spacing w:after="0" w:line="304" w:lineRule="auto"/>
        <w:tabs>
          <w:tab w:leader="none" w:pos="283" w:val="left"/>
        </w:tabs>
        <w:numPr>
          <w:ilvl w:val="0"/>
          <w:numId w:val="21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Employee will assist BioLine in every proper way to obtain, and from time to time enforce, any Proprietary Rights relating to any Inventions in any and all countries. To that end Employee will execute, verify and deliver such documents and perform such other acts (including appearances as a witness) as BioLine may reasonably request for use in applying for, obtaining, perfecting, evidencing, sustaining and enforcing such Proprietary Rights and the assignment thereof. In addition, Employee will execute, verify and deliver assignments of such Proprietary Rights to BioLine or its designee. Employee’s obligation to assist BioLine with respect to Proprietary Rights relating to any such Inventions in any and all countries shall continue indefinitely beyond termination of the Employment Period for any reason (the “</w:t>
      </w:r>
      <w:r>
        <w:rPr>
          <w:rFonts w:ascii="Arial" w:cs="Arial" w:eastAsia="Arial" w:hAnsi="Arial"/>
          <w:sz w:val="14"/>
          <w:szCs w:val="14"/>
          <w:b w:val="1"/>
          <w:bCs w:val="1"/>
          <w:color w:val="auto"/>
        </w:rPr>
        <w:t>Termination Date</w:t>
      </w:r>
      <w:r>
        <w:rPr>
          <w:rFonts w:ascii="Arial" w:cs="Arial" w:eastAsia="Arial" w:hAnsi="Arial"/>
          <w:sz w:val="14"/>
          <w:szCs w:val="14"/>
          <w:color w:val="auto"/>
        </w:rPr>
        <w:t>”), but BioLine shall compensate Employee at a reasonable rate after the Termination Date for the time actually spent by Employee at BioLine’s request on such assistance.</w:t>
      </w:r>
    </w:p>
    <w:p>
      <w:pPr>
        <w:spacing w:after="0" w:line="188" w:lineRule="exact"/>
        <w:rPr>
          <w:rFonts w:ascii="Arial" w:cs="Arial" w:eastAsia="Arial" w:hAnsi="Arial"/>
          <w:sz w:val="14"/>
          <w:szCs w:val="14"/>
          <w:color w:val="auto"/>
        </w:rPr>
      </w:pPr>
    </w:p>
    <w:p>
      <w:pPr>
        <w:jc w:val="both"/>
        <w:ind w:left="283" w:hanging="283"/>
        <w:spacing w:after="0" w:line="260" w:lineRule="auto"/>
        <w:tabs>
          <w:tab w:leader="none" w:pos="28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If BioLine is unable for any reason, after reasonable effort, to secure Employee’s signature on any document needed in connection with the actions specified in the preceding paragraph, Employee hereby irrevocably designates and appoints BioLine and its duly authorized officers and agents as Employee’s agent and attorney in fact, which appointment is coupled with an interest, to act for and in Employee’s behalf to execute, verify and file any such documents and to do all other lawfully permitted acts to further the purposes of the preceding paragraph with the same legal force and effect as if executed by Employee. Employee hereby waives and holds BioLine harmless from any and all claims, of any nature whatsoever, which Employee now or may hereafter have for infringement of any Proprietary Rights assigned hereunder to BioLine.</w:t>
      </w:r>
    </w:p>
    <w:p>
      <w:pPr>
        <w:spacing w:after="0" w:line="216" w:lineRule="exact"/>
        <w:rPr>
          <w:rFonts w:ascii="Arial" w:cs="Arial" w:eastAsia="Arial" w:hAnsi="Arial"/>
          <w:sz w:val="16"/>
          <w:szCs w:val="16"/>
          <w:color w:val="auto"/>
        </w:rPr>
      </w:pPr>
    </w:p>
    <w:p>
      <w:pPr>
        <w:jc w:val="both"/>
        <w:ind w:left="283" w:hanging="283"/>
        <w:spacing w:after="0" w:line="268" w:lineRule="auto"/>
        <w:tabs>
          <w:tab w:leader="none" w:pos="28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Employee agrees to keep and maintain adequate and current records (in the form of notes, sketches, drawings and in any other form that may be required by BioLine) of all Confidential Information developed by Employee and all Inventions made by Employee during the Employment Period to BioLine, which records shall be available to and remain the sole property of BioLine at all times.</w:t>
      </w:r>
    </w:p>
    <w:p>
      <w:pPr>
        <w:spacing w:after="0" w:line="211" w:lineRule="exact"/>
        <w:rPr>
          <w:rFonts w:ascii="Arial" w:cs="Arial" w:eastAsia="Arial" w:hAnsi="Arial"/>
          <w:sz w:val="16"/>
          <w:szCs w:val="16"/>
          <w:color w:val="auto"/>
        </w:rPr>
      </w:pPr>
    </w:p>
    <w:p>
      <w:pPr>
        <w:jc w:val="both"/>
        <w:ind w:left="283" w:hanging="283"/>
        <w:spacing w:after="0" w:line="263" w:lineRule="auto"/>
        <w:tabs>
          <w:tab w:leader="none" w:pos="28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During the Employment Period, Employee will not improperly use or disclose any confidential information or trade secrets, if any, of any former employer or any other person to whom Employee has an obligation of confidentiality, and Employee will not bring onto the premises of BioLine any unpublished documents or any property belonging to any former employer or any other person to whom Employee has an obligation of confidentiality unless consented to in writing by that former employer or person.</w:t>
      </w:r>
    </w:p>
    <w:p>
      <w:pPr>
        <w:spacing w:after="0" w:line="216" w:lineRule="exact"/>
        <w:rPr>
          <w:rFonts w:ascii="Arial" w:cs="Arial" w:eastAsia="Arial" w:hAnsi="Arial"/>
          <w:sz w:val="16"/>
          <w:szCs w:val="16"/>
          <w:color w:val="auto"/>
        </w:rPr>
      </w:pPr>
    </w:p>
    <w:p>
      <w:pPr>
        <w:jc w:val="both"/>
        <w:ind w:left="283" w:hanging="283"/>
        <w:spacing w:after="0" w:line="268" w:lineRule="auto"/>
        <w:tabs>
          <w:tab w:leader="none" w:pos="28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Upon the earlier of (i) a written request by BioLine; or (ii) the expiration or termination of the employment, Employee shall promptly return to BioLine all Confidential Information, together with any and all copies or excerpts thereof and any and all other information directly or indirectly derived therefrom. Return or destruction of the Confidential Information as required hereunder shall not affect Employee’s remaining obligations pursuant to this Agreement.</w:t>
      </w:r>
    </w:p>
    <w:p>
      <w:pPr>
        <w:spacing w:after="0" w:line="37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065" w:right="239" w:bottom="1440" w:gutter="0" w:footer="0" w:header="0"/>
        </w:sectPr>
      </w:pPr>
    </w:p>
    <w:bookmarkStart w:id="264" w:name="page265"/>
    <w:bookmarkEnd w:id="264"/>
    <w:p>
      <w:pPr>
        <w:ind w:left="283" w:hanging="283"/>
        <w:spacing w:after="0"/>
        <w:tabs>
          <w:tab w:leader="none" w:pos="283"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Non-Competition; Non-Solicitation</w:t>
      </w:r>
      <w:r>
        <w:rPr>
          <w:rFonts w:ascii="Arial" w:cs="Arial" w:eastAsia="Arial" w:hAnsi="Arial"/>
          <w:sz w:val="16"/>
          <w:szCs w:val="16"/>
          <w:color w:val="auto"/>
        </w:rPr>
        <w:t>.</w:t>
      </w:r>
    </w:p>
    <w:p>
      <w:pPr>
        <w:spacing w:after="0" w:line="258" w:lineRule="exact"/>
        <w:rPr>
          <w:sz w:val="20"/>
          <w:szCs w:val="20"/>
          <w:color w:val="auto"/>
        </w:rPr>
      </w:pPr>
    </w:p>
    <w:p>
      <w:pPr>
        <w:jc w:val="both"/>
        <w:ind w:left="663" w:hanging="409"/>
        <w:spacing w:after="0" w:line="275" w:lineRule="auto"/>
        <w:rPr>
          <w:sz w:val="20"/>
          <w:szCs w:val="20"/>
          <w:color w:val="auto"/>
        </w:rPr>
      </w:pPr>
      <w:r>
        <w:rPr>
          <w:rFonts w:ascii="Arial" w:cs="Arial" w:eastAsia="Arial" w:hAnsi="Arial"/>
          <w:sz w:val="15"/>
          <w:szCs w:val="15"/>
          <w:color w:val="auto"/>
        </w:rPr>
        <w:t>13.1. In consideration of Employee’s terms of employment, which include special compensation for Employee’s undertakings under this Section 12, and in order to enable BioLine to effectively protect its Proprietary Information, Employee undertakes that during the Employment Period and for a period of twelve (12) months from the Termination Date, Employee will not directly or indirectly: (i) carry on or hold an interest in any company, venture, entity or other business (including, without limitation, as a shareholder other than a minority interest in a publicly traded company) which directly competes with the products or services of BioLine (a “</w:t>
      </w:r>
      <w:r>
        <w:rPr>
          <w:rFonts w:ascii="Arial" w:cs="Arial" w:eastAsia="Arial" w:hAnsi="Arial"/>
          <w:sz w:val="15"/>
          <w:szCs w:val="15"/>
          <w:b w:val="1"/>
          <w:bCs w:val="1"/>
          <w:color w:val="auto"/>
        </w:rPr>
        <w:t>Competing Business</w:t>
      </w:r>
      <w:r>
        <w:rPr>
          <w:rFonts w:ascii="Arial" w:cs="Arial" w:eastAsia="Arial" w:hAnsi="Arial"/>
          <w:sz w:val="15"/>
          <w:szCs w:val="15"/>
          <w:color w:val="auto"/>
        </w:rPr>
        <w:t>”) ; (ii) act as a consultant, employee or officer or in any managerial capacity in a Competing Business, or supply in direct competition with BioLine services to any person who, to Employee’s knowledge, was provided with services by BioLine any time during the twelve (12) months immediately prior to the Termination Date; (iii) solicit, canvass or approach or endeavor to solicit, canvass or approach any person who, to Employee’s knowledge, was provided with services by BioLine at any time during the twelve (12) months immediately prior to the Termination Date, for the purpose of offering services or products which directly compete with the services or products supplied by BioLine at the Termination Date; or (iv) employ, solicit or entice away or endeavor to solicit or entice away from BioLine any person employed by BioLine any time during the twelve (12) months immediately prior the Termination Date with a view to inducing that person to leave such employment and to act for another employer in the same or a similar capacity.</w:t>
      </w:r>
    </w:p>
    <w:p>
      <w:pPr>
        <w:spacing w:after="0" w:line="212" w:lineRule="exact"/>
        <w:rPr>
          <w:sz w:val="20"/>
          <w:szCs w:val="20"/>
          <w:color w:val="auto"/>
        </w:rPr>
      </w:pPr>
    </w:p>
    <w:p>
      <w:pPr>
        <w:jc w:val="both"/>
        <w:ind w:left="683" w:hanging="409"/>
        <w:spacing w:after="0" w:line="259" w:lineRule="auto"/>
        <w:rPr>
          <w:sz w:val="20"/>
          <w:szCs w:val="20"/>
          <w:color w:val="auto"/>
        </w:rPr>
      </w:pPr>
      <w:r>
        <w:rPr>
          <w:rFonts w:ascii="Arial" w:cs="Arial" w:eastAsia="Arial" w:hAnsi="Arial"/>
          <w:sz w:val="16"/>
          <w:szCs w:val="16"/>
          <w:color w:val="auto"/>
        </w:rPr>
        <w:t>13.2. Insofar as the protective covenants set forth in this Agreement are concerned, Employee specifically acknowledges, stipulates and agrees as follows: (i) the protective covenants are reasonable and necessary to protect the goodwill, property and Proprietary Information of BioLine, and the operations and business of BioLine; and (ii) the time duration of the protective covenants is reasonable and necessary to protect the goodwill and the operations and business of BioLine, and does not impose a greater restraint than is necessary to protect the goodwill or other business interests of BioLine. Nevertheless, if any of the restrictions set forth in this Agreement is found by a court having jurisdiction to be unreasonable or overly-broad as to geographic area, scope or time or to be otherwise unenforceable, the parties intend for the restrictions set forth in this Agreement to be reformed, modified and redefined by such court so as to be reasonable and enforceable and, as so modified by such court, to be fully enforced.</w:t>
      </w:r>
    </w:p>
    <w:p>
      <w:pPr>
        <w:spacing w:after="0" w:line="217" w:lineRule="exact"/>
        <w:rPr>
          <w:sz w:val="20"/>
          <w:szCs w:val="20"/>
          <w:color w:val="auto"/>
        </w:rPr>
      </w:pPr>
    </w:p>
    <w:p>
      <w:pPr>
        <w:jc w:val="both"/>
        <w:ind w:left="283" w:hanging="283"/>
        <w:spacing w:after="0" w:line="268" w:lineRule="auto"/>
        <w:tabs>
          <w:tab w:leader="none" w:pos="28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Employee represents that Employee’s performance of all the terms of the Employment Agreement and this Agreement does not and will not breach any agreement to keep in confidence information acquired by Employee in confidence or in trust prior to Employee’s relationship with BioLine. Employee has not entered into, and agrees that he/she will not enter into, any agreement either written or oral in conflict herewith.</w:t>
      </w:r>
    </w:p>
    <w:p>
      <w:pPr>
        <w:spacing w:after="0" w:line="211"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Employee hereby consents that if Employee leaves the employ of BioLine, BioLine may notify any new employer of Employee’s rights and obligations under this Agreement.</w:t>
      </w:r>
    </w:p>
    <w:p>
      <w:pPr>
        <w:spacing w:after="0" w:line="199"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Employee acknowledges that any violation or threatened violation of this Agreement may cause irreparable injury to BioLine, entitling BioLine to seek injunctive relief in addition to all other legal remedies.</w:t>
      </w:r>
    </w:p>
    <w:p>
      <w:pPr>
        <w:spacing w:after="0" w:line="199" w:lineRule="exact"/>
        <w:rPr>
          <w:rFonts w:ascii="Arial" w:cs="Arial" w:eastAsia="Arial" w:hAnsi="Arial"/>
          <w:sz w:val="16"/>
          <w:szCs w:val="16"/>
          <w:color w:val="auto"/>
        </w:rPr>
      </w:pPr>
    </w:p>
    <w:p>
      <w:pPr>
        <w:jc w:val="both"/>
        <w:ind w:left="283" w:hanging="283"/>
        <w:spacing w:after="0" w:line="294" w:lineRule="auto"/>
        <w:tabs>
          <w:tab w:leader="none" w:pos="283" w:val="left"/>
        </w:tabs>
        <w:numPr>
          <w:ilvl w:val="0"/>
          <w:numId w:val="219"/>
        </w:numPr>
        <w:rPr>
          <w:rFonts w:ascii="Arial" w:cs="Arial" w:eastAsia="Arial" w:hAnsi="Arial"/>
          <w:sz w:val="15"/>
          <w:szCs w:val="15"/>
          <w:color w:val="auto"/>
        </w:rPr>
      </w:pPr>
      <w:r>
        <w:rPr>
          <w:rFonts w:ascii="Arial" w:cs="Arial" w:eastAsia="Arial" w:hAnsi="Arial"/>
          <w:sz w:val="15"/>
          <w:szCs w:val="15"/>
          <w:color w:val="auto"/>
        </w:rPr>
        <w:t>Employee recognizes and agrees that: (i) this Agreement is necessary and essential to protect the business of BioLine and to realize and derive all the benefits, rights and expectations of conducting BioLine’s business; (ii) the area and duration of the protective covenants contained herein are in all things reasonable; and (iii) good and valuable consideration exists under the Employment Agreement, for Employee’s agreement to be bound by the provisions of this Agreement.</w:t>
      </w:r>
    </w:p>
    <w:p>
      <w:pPr>
        <w:spacing w:after="0" w:line="35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061" w:right="239" w:bottom="1440" w:gutter="0" w:footer="0" w:header="0"/>
        </w:sectPr>
      </w:pPr>
    </w:p>
    <w:bookmarkStart w:id="265" w:name="page266"/>
    <w:bookmarkEnd w:id="265"/>
    <w:p>
      <w:pPr>
        <w:ind w:left="283" w:hanging="283"/>
        <w:spacing w:after="0"/>
        <w:tabs>
          <w:tab w:leader="none" w:pos="283" w:val="left"/>
        </w:tabs>
        <w:numPr>
          <w:ilvl w:val="0"/>
          <w:numId w:val="2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2486025</wp:posOffset>
            </wp:positionH>
            <wp:positionV relativeFrom="page">
              <wp:posOffset>88900</wp:posOffset>
            </wp:positionV>
            <wp:extent cx="2597785" cy="4406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The terms of paragraphs 12.1 through 12.3 of the Employment Agreement shall apply to this Agreement.</w:t>
      </w:r>
    </w:p>
    <w:p>
      <w:pPr>
        <w:spacing w:after="0" w:line="254"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EMPLOYEE ACKNOWLEDGES THAT HE/SHE HAS READ THIS AGREEMENT CAREFULLY, UNDERSTANDS ITS TERMS AND HAS BEEN GIVEN THE OPPORTUNITY TO DISCUSS IT WITH INDEPENDENT LEGAL COUNSEL.</w:t>
      </w:r>
    </w:p>
    <w:p>
      <w:pPr>
        <w:spacing w:after="0" w:line="195"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Schedule 1 to Exhibit B</w:t>
      </w:r>
    </w:p>
    <w:p>
      <w:pPr>
        <w:spacing w:after="0" w:line="254"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LIST OF PRIOR INVENTIONS</w:t>
      </w:r>
    </w:p>
    <w:p>
      <w:pPr>
        <w:spacing w:after="0" w:line="27"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AND EXCLUDED INVENTIONS</w:t>
      </w:r>
    </w:p>
    <w:p>
      <w:pPr>
        <w:spacing w:after="0" w:line="11"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(SECTION 4)</w:t>
      </w:r>
    </w:p>
    <w:p>
      <w:pPr>
        <w:spacing w:after="0" w:line="200" w:lineRule="exact"/>
        <w:rPr>
          <w:sz w:val="20"/>
          <w:szCs w:val="20"/>
          <w:color w:val="auto"/>
        </w:rPr>
      </w:pPr>
    </w:p>
    <w:p>
      <w:pPr>
        <w:spacing w:after="0" w:line="20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065" w:right="239" w:bottom="1440" w:gutter="0" w:footer="0" w:header="0"/>
        </w:sectPr>
      </w:pPr>
    </w:p>
    <w:bookmarkStart w:id="266" w:name="page267"/>
    <w:bookmarkEnd w:id="266"/>
    <w:p>
      <w:pPr>
        <w:jc w:val="center"/>
        <w:ind w:righ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2486025</wp:posOffset>
            </wp:positionH>
            <wp:positionV relativeFrom="page">
              <wp:posOffset>243840</wp:posOffset>
            </wp:positionV>
            <wp:extent cx="2597785" cy="4406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2597785" cy="440690"/>
                    </a:xfrm>
                    <a:prstGeom prst="rect">
                      <a:avLst/>
                    </a:prstGeom>
                    <a:noFill/>
                  </pic:spPr>
                </pic:pic>
              </a:graphicData>
            </a:graphic>
          </wp:anchor>
        </w:drawing>
        <w:t>Exhibit C</w:t>
      </w:r>
    </w:p>
    <w:p>
      <w:pPr>
        <w:spacing w:after="0" w:line="25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General Approval Regarding Payments by Employers to a Pension Fund and Insurance Fund</w:t>
      </w:r>
    </w:p>
    <w:p>
      <w:pPr>
        <w:spacing w:after="0" w:line="2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in lieu of Severance Pay under the Severance Pay Law 5723-1963</w:t>
      </w:r>
    </w:p>
    <w:p>
      <w:pPr>
        <w:spacing w:after="0" w:line="239"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By virtue of my power under Section 14 of the Severance Pay Law, 5723-1963 (hereinafter: the “</w:t>
      </w:r>
      <w:r>
        <w:rPr>
          <w:rFonts w:ascii="Arial" w:cs="Arial" w:eastAsia="Arial" w:hAnsi="Arial"/>
          <w:sz w:val="16"/>
          <w:szCs w:val="16"/>
          <w:b w:val="1"/>
          <w:bCs w:val="1"/>
          <w:color w:val="auto"/>
        </w:rPr>
        <w:t>Law</w:t>
      </w:r>
      <w:r>
        <w:rPr>
          <w:rFonts w:ascii="Arial" w:cs="Arial" w:eastAsia="Arial" w:hAnsi="Arial"/>
          <w:sz w:val="16"/>
          <w:szCs w:val="16"/>
          <w:color w:val="auto"/>
        </w:rPr>
        <w:t>”),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w:t>
      </w:r>
      <w:r>
        <w:rPr>
          <w:rFonts w:ascii="Arial" w:cs="Arial" w:eastAsia="Arial" w:hAnsi="Arial"/>
          <w:sz w:val="16"/>
          <w:szCs w:val="16"/>
          <w:b w:val="1"/>
          <w:bCs w:val="1"/>
          <w:color w:val="auto"/>
        </w:rPr>
        <w:t>Pension Fund</w:t>
      </w:r>
      <w:r>
        <w:rPr>
          <w:rFonts w:ascii="Arial" w:cs="Arial" w:eastAsia="Arial" w:hAnsi="Arial"/>
          <w:sz w:val="16"/>
          <w:szCs w:val="16"/>
          <w:color w:val="auto"/>
        </w:rPr>
        <w:t>”) or to managers’ insurance which includes the possibility to receive annuity payments under an insurance fund as aforesaid, (hereinafter: the “</w:t>
      </w:r>
      <w:r>
        <w:rPr>
          <w:rFonts w:ascii="Arial" w:cs="Arial" w:eastAsia="Arial" w:hAnsi="Arial"/>
          <w:sz w:val="16"/>
          <w:szCs w:val="16"/>
          <w:b w:val="1"/>
          <w:bCs w:val="1"/>
          <w:color w:val="auto"/>
        </w:rPr>
        <w:t>Insurance Fund</w:t>
      </w:r>
      <w:r>
        <w:rPr>
          <w:rFonts w:ascii="Arial" w:cs="Arial" w:eastAsia="Arial" w:hAnsi="Arial"/>
          <w:sz w:val="16"/>
          <w:szCs w:val="16"/>
          <w:color w:val="auto"/>
        </w:rPr>
        <w:t>”), including payments made by the employer by a combination of payments to a Pension Fund and an Insurance Fund (hereinafter: “</w:t>
      </w:r>
      <w:r>
        <w:rPr>
          <w:rFonts w:ascii="Arial" w:cs="Arial" w:eastAsia="Arial" w:hAnsi="Arial"/>
          <w:sz w:val="16"/>
          <w:szCs w:val="16"/>
          <w:b w:val="1"/>
          <w:bCs w:val="1"/>
          <w:color w:val="auto"/>
        </w:rPr>
        <w:t>Employer’s Payments</w:t>
      </w:r>
      <w:r>
        <w:rPr>
          <w:rFonts w:ascii="Arial" w:cs="Arial" w:eastAsia="Arial" w:hAnsi="Arial"/>
          <w:sz w:val="16"/>
          <w:szCs w:val="16"/>
          <w:color w:val="auto"/>
        </w:rPr>
        <w:t>”), shall be made in lieu of severance pay due to said employee with respect to the salary from which said payments were made and for the period they were paid (hereinafter: the “</w:t>
      </w:r>
      <w:r>
        <w:rPr>
          <w:rFonts w:ascii="Arial" w:cs="Arial" w:eastAsia="Arial" w:hAnsi="Arial"/>
          <w:sz w:val="16"/>
          <w:szCs w:val="16"/>
          <w:b w:val="1"/>
          <w:bCs w:val="1"/>
          <w:color w:val="auto"/>
        </w:rPr>
        <w:t>Exempt Salary</w:t>
      </w:r>
      <w:r>
        <w:rPr>
          <w:rFonts w:ascii="Arial" w:cs="Arial" w:eastAsia="Arial" w:hAnsi="Arial"/>
          <w:sz w:val="16"/>
          <w:szCs w:val="16"/>
          <w:color w:val="auto"/>
        </w:rPr>
        <w:t>”), provided that all the following conditions are fulfilled:</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6"/>
          <w:szCs w:val="16"/>
          <w:color w:val="auto"/>
        </w:rPr>
        <w:t>(1)  The Employer’s Payments –</w:t>
      </w:r>
    </w:p>
    <w:p>
      <w:pPr>
        <w:spacing w:after="0" w:line="224" w:lineRule="exact"/>
        <w:rPr>
          <w:sz w:val="20"/>
          <w:szCs w:val="20"/>
          <w:color w:val="auto"/>
        </w:rPr>
      </w:pPr>
    </w:p>
    <w:p>
      <w:pPr>
        <w:jc w:val="both"/>
        <w:ind w:left="3" w:hanging="3"/>
        <w:spacing w:after="0" w:line="328" w:lineRule="auto"/>
        <w:tabs>
          <w:tab w:leader="none" w:pos="329"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 2⅓% of the Exempt Salary. In the event that the employer has not paid the above mentioned 2⅓% in addition to said 12%, his payments shall come in lieu of only 72% of the employee’s severance pay;</w:t>
      </w:r>
    </w:p>
    <w:p>
      <w:pPr>
        <w:spacing w:after="0" w:line="150" w:lineRule="exact"/>
        <w:rPr>
          <w:rFonts w:ascii="Arial" w:cs="Arial" w:eastAsia="Arial" w:hAnsi="Arial"/>
          <w:sz w:val="15"/>
          <w:szCs w:val="15"/>
          <w:color w:val="auto"/>
        </w:rPr>
      </w:pPr>
    </w:p>
    <w:p>
      <w:pPr>
        <w:ind w:left="303" w:hanging="303"/>
        <w:spacing w:after="0"/>
        <w:tabs>
          <w:tab w:leader="none" w:pos="30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to the Insurance Fund are not less than one of the following:</w:t>
      </w:r>
    </w:p>
    <w:p>
      <w:pPr>
        <w:spacing w:after="0" w:line="224" w:lineRule="exact"/>
        <w:rPr>
          <w:sz w:val="20"/>
          <w:szCs w:val="20"/>
          <w:color w:val="auto"/>
        </w:rPr>
      </w:pPr>
    </w:p>
    <w:p>
      <w:pPr>
        <w:jc w:val="both"/>
        <w:ind w:left="3" w:hanging="3"/>
        <w:spacing w:after="0" w:line="315" w:lineRule="auto"/>
        <w:tabs>
          <w:tab w:leader="none" w:pos="325" w:val="left"/>
        </w:tabs>
        <w:numPr>
          <w:ilvl w:val="0"/>
          <w:numId w:val="222"/>
        </w:numPr>
        <w:rPr>
          <w:rFonts w:ascii="Arial" w:cs="Arial" w:eastAsia="Arial" w:hAnsi="Arial"/>
          <w:sz w:val="15"/>
          <w:szCs w:val="15"/>
          <w:color w:val="auto"/>
        </w:rPr>
      </w:pPr>
      <w:r>
        <w:rPr>
          <w:rFonts w:ascii="Arial" w:cs="Arial" w:eastAsia="Arial" w:hAnsi="Arial"/>
          <w:sz w:val="15"/>
          <w:szCs w:val="15"/>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2½% of the Exempt Salary (hereinafter: “Disability Insurance Payment”);</w:t>
      </w:r>
    </w:p>
    <w:p>
      <w:pPr>
        <w:spacing w:after="0" w:line="178" w:lineRule="exact"/>
        <w:rPr>
          <w:rFonts w:ascii="Arial" w:cs="Arial" w:eastAsia="Arial" w:hAnsi="Arial"/>
          <w:sz w:val="15"/>
          <w:szCs w:val="15"/>
          <w:color w:val="auto"/>
        </w:rPr>
      </w:pPr>
    </w:p>
    <w:p>
      <w:pPr>
        <w:jc w:val="both"/>
        <w:ind w:left="3" w:hanging="3"/>
        <w:spacing w:after="0" w:line="263" w:lineRule="auto"/>
        <w:tabs>
          <w:tab w:leader="none" w:pos="32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2⅓% of the Exempt Salary, the Employer’s Payments shall come in lieu of 100% of the employee’s severance pay.</w:t>
      </w:r>
    </w:p>
    <w:p>
      <w:pPr>
        <w:spacing w:after="0" w:line="216" w:lineRule="exact"/>
        <w:rPr>
          <w:sz w:val="20"/>
          <w:szCs w:val="20"/>
          <w:color w:val="auto"/>
        </w:rPr>
      </w:pPr>
    </w:p>
    <w:p>
      <w:pPr>
        <w:ind w:left="3" w:hanging="3"/>
        <w:spacing w:after="0" w:line="283" w:lineRule="auto"/>
        <w:tabs>
          <w:tab w:leader="none" w:pos="36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 later than three months from the commencement of the Employer’s Payment, a written agreement was executed between the employer and the employee, which includes:</w:t>
      </w:r>
    </w:p>
    <w:p>
      <w:pPr>
        <w:spacing w:after="0" w:line="199" w:lineRule="exact"/>
        <w:rPr>
          <w:sz w:val="20"/>
          <w:szCs w:val="20"/>
          <w:color w:val="auto"/>
        </w:rPr>
      </w:pPr>
    </w:p>
    <w:p>
      <w:pPr>
        <w:ind w:left="3" w:hanging="3"/>
        <w:spacing w:after="0" w:line="283" w:lineRule="auto"/>
        <w:tabs>
          <w:tab w:leader="none" w:pos="32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99" w:lineRule="exact"/>
        <w:rPr>
          <w:rFonts w:ascii="Arial" w:cs="Arial" w:eastAsia="Arial" w:hAnsi="Arial"/>
          <w:sz w:val="16"/>
          <w:szCs w:val="16"/>
          <w:color w:val="auto"/>
        </w:rPr>
      </w:pPr>
    </w:p>
    <w:p>
      <w:pPr>
        <w:jc w:val="both"/>
        <w:ind w:left="3" w:hanging="3"/>
        <w:spacing w:after="0" w:line="294" w:lineRule="auto"/>
        <w:tabs>
          <w:tab w:leader="none" w:pos="327" w:val="left"/>
        </w:tabs>
        <w:numPr>
          <w:ilvl w:val="0"/>
          <w:numId w:val="224"/>
        </w:numPr>
        <w:rPr>
          <w:rFonts w:ascii="Arial" w:cs="Arial" w:eastAsia="Arial" w:hAnsi="Arial"/>
          <w:sz w:val="15"/>
          <w:szCs w:val="15"/>
          <w:color w:val="auto"/>
        </w:rPr>
      </w:pPr>
      <w:r>
        <w:rPr>
          <w:rFonts w:ascii="Arial" w:cs="Arial" w:eastAsia="Arial" w:hAnsi="Arial"/>
          <w:sz w:val="15"/>
          <w:szCs w:val="15"/>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94" w:lineRule="exact"/>
        <w:rPr>
          <w:sz w:val="20"/>
          <w:szCs w:val="20"/>
          <w:color w:val="auto"/>
        </w:rPr>
      </w:pPr>
    </w:p>
    <w:p>
      <w:pPr>
        <w:ind w:left="3" w:hanging="3"/>
        <w:spacing w:after="0" w:line="283" w:lineRule="auto"/>
        <w:tabs>
          <w:tab w:leader="none" w:pos="34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This approval shall not derogate from the employee’s right to severance pay pursuant to any law, collective agreement, extension order or employment agreement with respect to compensation in excess of the Exempt Salary.</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color w:val="auto"/>
        </w:rPr>
        <w:t>15th Sivan 5758 (June 9th,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115570</wp:posOffset>
            </wp:positionV>
            <wp:extent cx="303974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039745" cy="7620"/>
                    </a:xfrm>
                    <a:prstGeom prst="rect">
                      <a:avLst/>
                    </a:prstGeom>
                    <a:noFill/>
                  </pic:spPr>
                </pic:pic>
              </a:graphicData>
            </a:graphic>
          </wp:anchor>
        </w:drawing>
      </w:r>
    </w:p>
    <w:p>
      <w:pPr>
        <w:spacing w:after="0" w:line="186" w:lineRule="exact"/>
        <w:rPr>
          <w:sz w:val="20"/>
          <w:szCs w:val="20"/>
          <w:color w:val="auto"/>
        </w:rPr>
      </w:pPr>
    </w:p>
    <w:p>
      <w:pPr>
        <w:ind w:left="4063"/>
        <w:spacing w:after="0"/>
        <w:tabs>
          <w:tab w:leader="none" w:pos="6682" w:val="left"/>
        </w:tabs>
        <w:rPr>
          <w:sz w:val="20"/>
          <w:szCs w:val="20"/>
          <w:color w:val="auto"/>
        </w:rPr>
      </w:pPr>
      <w:r>
        <w:rPr>
          <w:rFonts w:ascii="Arial" w:cs="Arial" w:eastAsia="Arial" w:hAnsi="Arial"/>
          <w:sz w:val="16"/>
          <w:szCs w:val="16"/>
          <w:color w:val="auto"/>
        </w:rPr>
        <w:t>BioLine</w:t>
      </w:r>
      <w:r>
        <w:rPr>
          <w:sz w:val="20"/>
          <w:szCs w:val="20"/>
          <w:color w:val="auto"/>
        </w:rPr>
        <w:tab/>
      </w:r>
      <w:r>
        <w:rPr>
          <w:rFonts w:ascii="Arial" w:cs="Arial" w:eastAsia="Arial" w:hAnsi="Arial"/>
          <w:sz w:val="16"/>
          <w:szCs w:val="16"/>
          <w:color w:val="auto"/>
        </w:rPr>
        <w:t>Employee</w:t>
      </w:r>
    </w:p>
    <w:p>
      <w:pPr>
        <w:spacing w:after="0" w:line="16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3"/>
          </w:cols>
          <w:pgMar w:left="237" w:top="1256" w:right="259" w:bottom="1440" w:gutter="0" w:footer="0" w:header="0"/>
        </w:sectPr>
      </w:pPr>
    </w:p>
    <w:bookmarkStart w:id="267" w:name="page268"/>
    <w:bookmarkEnd w:id="267"/>
    <w:p>
      <w:pPr>
        <w:jc w:val="center"/>
        <w:ind w:right="-2"/>
        <w:spacing w:after="0"/>
        <w:rPr>
          <w:sz w:val="20"/>
          <w:szCs w:val="20"/>
          <w:color w:val="auto"/>
        </w:rPr>
      </w:pPr>
      <w:r>
        <w:rPr>
          <w:rFonts w:ascii="Arial" w:cs="Arial" w:eastAsia="Arial" w:hAnsi="Arial"/>
          <w:sz w:val="16"/>
          <w:szCs w:val="16"/>
          <w:b w:val="1"/>
          <w:bCs w:val="1"/>
          <w:color w:val="auto"/>
        </w:rPr>
        <w:t>Exhibit D</w:t>
      </w:r>
    </w:p>
    <w:p>
      <w:pPr>
        <w:spacing w:after="0" w:line="27"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BioLineRx Ltd. Code of Business Conduct and Ethics</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Effective as of January 1, 2011</w:t>
      </w:r>
    </w:p>
    <w:p>
      <w:pPr>
        <w:spacing w:after="0" w:line="38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POLICY STATEMENT</w:t>
      </w:r>
    </w:p>
    <w:p>
      <w:pPr>
        <w:spacing w:after="0" w:line="206" w:lineRule="exact"/>
        <w:rPr>
          <w:sz w:val="20"/>
          <w:szCs w:val="20"/>
          <w:color w:val="auto"/>
        </w:rPr>
      </w:pPr>
    </w:p>
    <w:p>
      <w:pPr>
        <w:jc w:val="both"/>
        <w:ind w:left="3" w:right="20"/>
        <w:spacing w:after="0" w:line="271" w:lineRule="auto"/>
        <w:rPr>
          <w:sz w:val="20"/>
          <w:szCs w:val="20"/>
          <w:color w:val="auto"/>
        </w:rPr>
      </w:pPr>
      <w:r>
        <w:rPr>
          <w:rFonts w:ascii="Arial" w:cs="Arial" w:eastAsia="Arial" w:hAnsi="Arial"/>
          <w:sz w:val="16"/>
          <w:szCs w:val="16"/>
          <w:b w:val="1"/>
          <w:bCs w:val="1"/>
          <w:color w:val="auto"/>
        </w:rPr>
        <w:t>It is the policy of BioLineRx Ltd. (the “Company”) to conduct its affairs in accordance with all applicable laws, rules and regulations of the jurisdictions in which it does business. This Code of Business Conduct and Ethics (this “Code”) applies to the Company’s employees, officers and directors. This Code is designed to promote:</w:t>
      </w:r>
    </w:p>
    <w:p>
      <w:pPr>
        <w:spacing w:after="0" w:line="160" w:lineRule="exact"/>
        <w:rPr>
          <w:sz w:val="20"/>
          <w:szCs w:val="20"/>
          <w:color w:val="auto"/>
        </w:rPr>
      </w:pPr>
    </w:p>
    <w:p>
      <w:pPr>
        <w:ind w:left="283" w:hanging="283"/>
        <w:spacing w:after="0" w:line="283" w:lineRule="auto"/>
        <w:tabs>
          <w:tab w:leader="none" w:pos="28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honest and ethical conduct by all of the Company’s employees, officers and directors, including the ethical handling by such persons of actual or apparent conflicts of interest between personal and professional relationships;</w:t>
      </w:r>
    </w:p>
    <w:p>
      <w:pPr>
        <w:spacing w:after="0" w:line="150" w:lineRule="exact"/>
        <w:rPr>
          <w:rFonts w:ascii="Arial" w:cs="Arial" w:eastAsia="Arial" w:hAnsi="Arial"/>
          <w:sz w:val="16"/>
          <w:szCs w:val="16"/>
          <w:color w:val="auto"/>
        </w:rPr>
      </w:pPr>
    </w:p>
    <w:p>
      <w:pPr>
        <w:ind w:left="283" w:right="20" w:hanging="283"/>
        <w:spacing w:after="0" w:line="283" w:lineRule="auto"/>
        <w:tabs>
          <w:tab w:leader="none" w:pos="28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full, fair, accurate, timely and understandable disclosure in the reports and documents the Company files with, or submits to, the U.S. Securities and Exchange Commission (“SEC”) or the Israeli Securities Authority (“ISA”), and in other public communications made by the Company;</w:t>
      </w:r>
    </w:p>
    <w:p>
      <w:pPr>
        <w:spacing w:after="0" w:line="150" w:lineRule="exact"/>
        <w:rPr>
          <w:rFonts w:ascii="Arial" w:cs="Arial" w:eastAsia="Arial" w:hAnsi="Arial"/>
          <w:sz w:val="16"/>
          <w:szCs w:val="16"/>
          <w:color w:val="auto"/>
        </w:rPr>
      </w:pPr>
    </w:p>
    <w:p>
      <w:pPr>
        <w:ind w:left="283" w:hanging="283"/>
        <w:spacing w:after="0"/>
        <w:tabs>
          <w:tab w:leader="none" w:pos="28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compliance with applicable governmental laws, rules and regulations;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prompt internal reporting to the appropriate person of violations of this Code; and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Accountability for adherence to this Code.</w:t>
      </w:r>
    </w:p>
    <w:p>
      <w:pPr>
        <w:spacing w:after="0" w:line="202" w:lineRule="exact"/>
        <w:rPr>
          <w:sz w:val="20"/>
          <w:szCs w:val="20"/>
          <w:color w:val="auto"/>
        </w:rPr>
      </w:pPr>
    </w:p>
    <w:p>
      <w:pPr>
        <w:jc w:val="both"/>
        <w:ind w:left="3" w:right="20"/>
        <w:spacing w:after="0" w:line="271" w:lineRule="auto"/>
        <w:rPr>
          <w:sz w:val="20"/>
          <w:szCs w:val="20"/>
          <w:color w:val="auto"/>
        </w:rPr>
      </w:pPr>
      <w:r>
        <w:rPr>
          <w:rFonts w:ascii="Arial" w:cs="Arial" w:eastAsia="Arial" w:hAnsi="Arial"/>
          <w:sz w:val="16"/>
          <w:szCs w:val="16"/>
          <w:b w:val="1"/>
          <w:bCs w:val="1"/>
          <w:color w:val="auto"/>
        </w:rPr>
        <w:t>All directors, officers and employees of the Company are subject to this Code and are expected to adhere to and comply with those principles and procedures set forth in this Code that apply to them. The Company will take such disciplinary or preventative action as it deems appropriate to address any existing or potential violation of this Code brought to its attention.</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APPROVALS AND WAIVERS</w:t>
      </w:r>
    </w:p>
    <w:p>
      <w:pPr>
        <w:spacing w:after="0" w:line="206" w:lineRule="exact"/>
        <w:rPr>
          <w:sz w:val="20"/>
          <w:szCs w:val="20"/>
          <w:color w:val="auto"/>
        </w:rPr>
      </w:pPr>
    </w:p>
    <w:p>
      <w:pPr>
        <w:jc w:val="both"/>
        <w:ind w:left="3" w:right="20"/>
        <w:spacing w:after="0" w:line="297" w:lineRule="auto"/>
        <w:rPr>
          <w:sz w:val="20"/>
          <w:szCs w:val="20"/>
          <w:color w:val="auto"/>
        </w:rPr>
      </w:pPr>
      <w:r>
        <w:rPr>
          <w:rFonts w:ascii="Arial" w:cs="Arial" w:eastAsia="Arial" w:hAnsi="Arial"/>
          <w:sz w:val="15"/>
          <w:szCs w:val="15"/>
          <w:b w:val="1"/>
          <w:bCs w:val="1"/>
          <w:color w:val="auto"/>
        </w:rPr>
        <w:t>Certain provisions of this Code require you to act, or to refrain from acting, unless prior approval is received from the appropriate person. Employees requesting approval pursuant to this Code should request such approval in writing from the Compliance Officer. Approvals relating to Executive Officers and Directors must be obtained from the Company’s Board of Directors. All other approvals may be granted by the Compliance Officer, or such officer’s designee.</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auto"/>
        </w:rPr>
        <w:t>Other provisions of this Code require you to act, or to refrain from acting, in a particular manner and do not permit exceptions based on obtaining an approval.</w:t>
      </w:r>
    </w:p>
    <w:p>
      <w:pPr>
        <w:spacing w:after="0" w:line="3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Waiver of those provisions relating to Executive Officers, senior financial officers and Directors may only be granted by the Board of Directors.</w:t>
      </w:r>
    </w:p>
    <w:p>
      <w:pPr>
        <w:spacing w:after="0" w:line="1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367" w:right="219" w:bottom="1440" w:gutter="0" w:footer="0" w:header="0"/>
        </w:sectPr>
      </w:pPr>
    </w:p>
    <w:bookmarkStart w:id="268" w:name="page269"/>
    <w:bookmarkEnd w:id="268"/>
    <w:p>
      <w:pPr>
        <w:ind w:left="3"/>
        <w:spacing w:after="0"/>
        <w:rPr>
          <w:sz w:val="20"/>
          <w:szCs w:val="20"/>
          <w:color w:val="auto"/>
        </w:rPr>
      </w:pPr>
      <w:r>
        <w:rPr>
          <w:rFonts w:ascii="Arial" w:cs="Arial" w:eastAsia="Arial" w:hAnsi="Arial"/>
          <w:sz w:val="16"/>
          <w:szCs w:val="16"/>
          <w:b w:val="1"/>
          <w:bCs w:val="1"/>
          <w:color w:val="auto"/>
        </w:rPr>
        <w:t>RESPONSIBILITY FOR COMPLIANCE</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Your responsibility</w:t>
      </w:r>
    </w:p>
    <w:p>
      <w:pPr>
        <w:spacing w:after="0" w:line="210"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auto"/>
        </w:rPr>
        <w:t>You are obligated to adhere to this policy in the performance of your job responsibilities. When faced with a situation that requires an evaluation of what is, and what is not, proper business conduct, begin by applying the following criteria:</w:t>
      </w:r>
    </w:p>
    <w:p>
      <w:pPr>
        <w:spacing w:after="0" w:line="151" w:lineRule="exact"/>
        <w:rPr>
          <w:sz w:val="20"/>
          <w:szCs w:val="20"/>
          <w:color w:val="auto"/>
        </w:rPr>
      </w:pPr>
    </w:p>
    <w:p>
      <w:pPr>
        <w:ind w:left="443" w:hanging="443"/>
        <w:spacing w:after="0"/>
        <w:tabs>
          <w:tab w:leader="none" w:pos="44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Is the course of conduct legal?</w:t>
      </w:r>
    </w:p>
    <w:p>
      <w:pPr>
        <w:spacing w:after="0" w:line="205" w:lineRule="exact"/>
        <w:rPr>
          <w:rFonts w:ascii="Arial" w:cs="Arial" w:eastAsia="Arial" w:hAnsi="Arial"/>
          <w:sz w:val="16"/>
          <w:szCs w:val="16"/>
          <w:color w:val="auto"/>
        </w:rPr>
      </w:pPr>
    </w:p>
    <w:p>
      <w:pPr>
        <w:ind w:left="443" w:hanging="443"/>
        <w:spacing w:after="0"/>
        <w:tabs>
          <w:tab w:leader="none" w:pos="44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Is the course of conduct in accordance with the guidelines set forth in this Code and with Company policies and procedures?</w:t>
      </w:r>
    </w:p>
    <w:p>
      <w:pPr>
        <w:spacing w:after="0" w:line="205" w:lineRule="exact"/>
        <w:rPr>
          <w:rFonts w:ascii="Arial" w:cs="Arial" w:eastAsia="Arial" w:hAnsi="Arial"/>
          <w:sz w:val="16"/>
          <w:szCs w:val="16"/>
          <w:color w:val="auto"/>
        </w:rPr>
      </w:pPr>
    </w:p>
    <w:p>
      <w:pPr>
        <w:ind w:left="443" w:hanging="443"/>
        <w:spacing w:after="0"/>
        <w:tabs>
          <w:tab w:leader="none" w:pos="44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Would you or the Company be compromised or embarrassed if the situation were known by your co-workers or the public?</w:t>
      </w:r>
    </w:p>
    <w:p>
      <w:pPr>
        <w:spacing w:after="0" w:line="205" w:lineRule="exact"/>
        <w:rPr>
          <w:rFonts w:ascii="Arial" w:cs="Arial" w:eastAsia="Arial" w:hAnsi="Arial"/>
          <w:sz w:val="16"/>
          <w:szCs w:val="16"/>
          <w:color w:val="auto"/>
        </w:rPr>
      </w:pPr>
    </w:p>
    <w:p>
      <w:pPr>
        <w:ind w:left="443" w:hanging="443"/>
        <w:spacing w:after="0"/>
        <w:tabs>
          <w:tab w:leader="none" w:pos="44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Does the intended course of conduct have the appearance of impropriety?</w:t>
      </w:r>
    </w:p>
    <w:p>
      <w:pPr>
        <w:spacing w:after="0" w:line="206"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If you are unable to answer “yes” to the first two questions and “no” to the second two questions with certainty, seek advice through the channels described under the section entitled “To seek advice or report non-compliance.”</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 xml:space="preserve">Remember </w:t>
      </w:r>
      <w:r>
        <w:rPr>
          <w:rFonts w:ascii="Arial" w:cs="Arial" w:eastAsia="Arial" w:hAnsi="Arial"/>
          <w:sz w:val="16"/>
          <w:szCs w:val="16"/>
          <w:color w:val="auto"/>
        </w:rPr>
        <w:t>that failure to report a violation of this Code is itself a violation.</w:t>
      </w:r>
    </w:p>
    <w:p>
      <w:pPr>
        <w:spacing w:after="0" w:line="20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To seek advice or report non-compliance</w:t>
      </w:r>
    </w:p>
    <w:p>
      <w:pPr>
        <w:spacing w:after="0" w:line="210" w:lineRule="exact"/>
        <w:rPr>
          <w:sz w:val="20"/>
          <w:szCs w:val="20"/>
          <w:color w:val="auto"/>
        </w:rPr>
      </w:pPr>
    </w:p>
    <w:p>
      <w:pPr>
        <w:jc w:val="both"/>
        <w:ind w:left="3"/>
        <w:spacing w:after="0" w:line="286" w:lineRule="auto"/>
        <w:rPr>
          <w:sz w:val="20"/>
          <w:szCs w:val="20"/>
          <w:color w:val="auto"/>
        </w:rPr>
      </w:pPr>
      <w:r>
        <w:rPr>
          <w:rFonts w:ascii="Arial" w:cs="Arial" w:eastAsia="Arial" w:hAnsi="Arial"/>
          <w:sz w:val="15"/>
          <w:szCs w:val="15"/>
          <w:color w:val="auto"/>
        </w:rPr>
        <w:t xml:space="preserve">If you suspect non-compliance, or have a question as to any aspect of this Code, including its interpretation, application or compliance therewith, regarding yourself or any other employee of BioLineRx, you must seek the advice of the appropriate Company authority, such as your immediate supervisor, human resources manager or General Counsel. If for any reason you feel uncomfortable discussing your concerns or questions with these individuals, or if you are dissatisfied with their responses, seek advice from the Internal Auditor. If you prefer, you may correspond anonymously with the Internal Auditor through our confidential mailbox: </w:t>
      </w:r>
      <w:r>
        <w:rPr>
          <w:rFonts w:ascii="Arial" w:cs="Arial" w:eastAsia="Arial" w:hAnsi="Arial"/>
          <w:sz w:val="15"/>
          <w:szCs w:val="15"/>
          <w:u w:val="single" w:color="auto"/>
          <w:color w:val="auto"/>
        </w:rPr>
        <w:t>biolinerx@deloitte.co.il</w:t>
      </w:r>
      <w:r>
        <w:rPr>
          <w:rFonts w:ascii="Arial" w:cs="Arial" w:eastAsia="Arial" w:hAnsi="Arial"/>
          <w:sz w:val="15"/>
          <w:szCs w:val="15"/>
          <w:color w:val="auto"/>
        </w:rPr>
        <w:t>.</w:t>
      </w:r>
    </w:p>
    <w:p>
      <w:pPr>
        <w:spacing w:after="0" w:line="148" w:lineRule="exact"/>
        <w:rPr>
          <w:sz w:val="20"/>
          <w:szCs w:val="20"/>
          <w:color w:val="auto"/>
        </w:rPr>
      </w:pPr>
    </w:p>
    <w:tbl>
      <w:tblPr>
        <w:tblLayout w:type="fixed"/>
        <w:tblInd w:w="13" w:type="dxa"/>
        <w:tblCellMar>
          <w:top w:w="0" w:type="dxa"/>
          <w:left w:w="0" w:type="dxa"/>
          <w:bottom w:w="0" w:type="dxa"/>
          <w:right w:w="0" w:type="dxa"/>
        </w:tblCellMar>
      </w:tblPr>
      <w:tr>
        <w:trPr>
          <w:trHeight w:val="211"/>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The Company Compliance Team:</w:t>
            </w: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7"/>
              </w:rPr>
              <w:t>Linur Dloomy, CPA (Deloitte)</w:t>
            </w:r>
          </w:p>
        </w:tc>
        <w:tc>
          <w:tcPr>
            <w:tcW w:w="0" w:type="dxa"/>
            <w:vAlign w:val="bottom"/>
          </w:tcPr>
          <w:p>
            <w:pPr>
              <w:spacing w:after="0"/>
              <w:rPr>
                <w:sz w:val="1"/>
                <w:szCs w:val="1"/>
                <w:color w:val="auto"/>
              </w:rPr>
            </w:pPr>
          </w:p>
        </w:tc>
      </w:tr>
      <w:tr>
        <w:trPr>
          <w:trHeight w:val="170"/>
        </w:trPr>
        <w:tc>
          <w:tcPr>
            <w:tcW w:w="4000" w:type="dxa"/>
            <w:vAlign w:val="bottom"/>
            <w:tcBorders>
              <w:left w:val="single" w:sz="8" w:color="auto"/>
            </w:tcBorders>
            <w:gridSpan w:val="3"/>
          </w:tcPr>
          <w:p>
            <w:pPr>
              <w:spacing w:after="0" w:line="171" w:lineRule="exact"/>
              <w:rPr>
                <w:sz w:val="20"/>
                <w:szCs w:val="20"/>
                <w:color w:val="auto"/>
              </w:rPr>
            </w:pPr>
            <w:r>
              <w:rPr>
                <w:rFonts w:ascii="Arial" w:cs="Arial" w:eastAsia="Arial" w:hAnsi="Arial"/>
                <w:sz w:val="16"/>
                <w:szCs w:val="16"/>
                <w:b w:val="1"/>
                <w:bCs w:val="1"/>
                <w:color w:val="auto"/>
              </w:rPr>
              <w:t>Nurit Benjamini</w:t>
            </w:r>
          </w:p>
        </w:tc>
        <w:tc>
          <w:tcPr>
            <w:tcW w:w="2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00" w:type="dxa"/>
            <w:vAlign w:val="bottom"/>
            <w:tcBorders>
              <w:left w:val="single" w:sz="8" w:color="auto"/>
            </w:tcBorders>
            <w:gridSpan w:val="3"/>
          </w:tcPr>
          <w:p>
            <w:pPr>
              <w:spacing w:after="0"/>
              <w:rPr>
                <w:sz w:val="20"/>
                <w:szCs w:val="20"/>
                <w:color w:val="auto"/>
              </w:rPr>
            </w:pPr>
            <w:r>
              <w:rPr>
                <w:rFonts w:ascii="Arial" w:cs="Arial" w:eastAsia="Arial" w:hAnsi="Arial"/>
                <w:sz w:val="16"/>
                <w:szCs w:val="16"/>
                <w:b w:val="1"/>
                <w:bCs w:val="1"/>
                <w:color w:val="auto"/>
              </w:rPr>
              <w:t>Audit Committee Chairperson</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Internal Auditor</w:t>
            </w:r>
          </w:p>
        </w:tc>
        <w:tc>
          <w:tcPr>
            <w:tcW w:w="0" w:type="dxa"/>
            <w:vAlign w:val="bottom"/>
          </w:tcPr>
          <w:p>
            <w:pPr>
              <w:spacing w:after="0"/>
              <w:rPr>
                <w:sz w:val="1"/>
                <w:szCs w:val="1"/>
                <w:color w:val="auto"/>
              </w:rPr>
            </w:pPr>
          </w:p>
        </w:tc>
      </w:tr>
      <w:tr>
        <w:trPr>
          <w:trHeight w:val="175"/>
        </w:trPr>
        <w:tc>
          <w:tcPr>
            <w:tcW w:w="4000" w:type="dxa"/>
            <w:vAlign w:val="bottom"/>
            <w:tcBorders>
              <w:left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email: nurit378@gmail.com</w:t>
            </w:r>
          </w:p>
        </w:tc>
        <w:tc>
          <w:tcPr>
            <w:tcW w:w="218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w w:val="91"/>
              </w:rPr>
              <w:t>e-mail: LDloomy@deloitte.co.il</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Tel: 052-644-0745</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Tel: 052-583-9635</w:t>
            </w:r>
          </w:p>
        </w:tc>
        <w:tc>
          <w:tcPr>
            <w:tcW w:w="0" w:type="dxa"/>
            <w:vAlign w:val="bottom"/>
          </w:tcPr>
          <w:p>
            <w:pPr>
              <w:spacing w:after="0"/>
              <w:rPr>
                <w:sz w:val="1"/>
                <w:szCs w:val="1"/>
                <w:color w:val="auto"/>
              </w:rPr>
            </w:pPr>
          </w:p>
        </w:tc>
      </w:tr>
      <w:tr>
        <w:trPr>
          <w:trHeight w:val="389"/>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Disciplinary action</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-777240</wp:posOffset>
            </wp:positionV>
            <wp:extent cx="2561590" cy="543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61590" cy="543560"/>
                    </a:xfrm>
                    <a:prstGeom prst="rect">
                      <a:avLst/>
                    </a:prstGeom>
                    <a:noFill/>
                  </pic:spPr>
                </pic:pic>
              </a:graphicData>
            </a:graphic>
          </wp:anchor>
        </w:drawing>
      </w:r>
    </w:p>
    <w:p>
      <w:pPr>
        <w:spacing w:after="0" w:line="163" w:lineRule="exact"/>
        <w:rPr>
          <w:sz w:val="20"/>
          <w:szCs w:val="20"/>
          <w:color w:val="auto"/>
        </w:rPr>
      </w:pPr>
    </w:p>
    <w:p>
      <w:pPr>
        <w:jc w:val="both"/>
        <w:ind w:left="3" w:right="20"/>
        <w:spacing w:after="0" w:line="286" w:lineRule="auto"/>
        <w:rPr>
          <w:sz w:val="20"/>
          <w:szCs w:val="20"/>
          <w:color w:val="auto"/>
        </w:rPr>
      </w:pPr>
      <w:r>
        <w:rPr>
          <w:rFonts w:ascii="Arial" w:cs="Arial" w:eastAsia="Arial" w:hAnsi="Arial"/>
          <w:sz w:val="15"/>
          <w:szCs w:val="15"/>
          <w:color w:val="auto"/>
        </w:rPr>
        <w:t>The Company intends to prevent the occurrence of conduct not in compliance with the Code, applicable laws or regulations, or other policies, procedures and guidelines prepared by our Company and its business units and to halt any such conduct that may occur as soon as reasonably possible after its discovery. Allegations of non-compliance with the Code will be investigated whenever necessary and evaluated at the proper level(s). Those found to be in violation of this Code are subject to appropriate disciplinary action, up to and including termination of employment. Criminal misconduct may be referred to the appropriate legal authorities for prosecution.</w:t>
      </w:r>
    </w:p>
    <w:p>
      <w:pPr>
        <w:spacing w:after="0" w:line="15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513" w:right="219" w:bottom="1440" w:gutter="0" w:footer="0" w:header="0"/>
        </w:sectPr>
      </w:pPr>
    </w:p>
    <w:bookmarkStart w:id="269" w:name="page270"/>
    <w:bookmarkEnd w:id="269"/>
    <w:p>
      <w:pPr>
        <w:spacing w:after="0"/>
        <w:rPr>
          <w:sz w:val="20"/>
          <w:szCs w:val="20"/>
          <w:color w:val="auto"/>
        </w:rPr>
      </w:pPr>
      <w:r>
        <w:rPr>
          <w:rFonts w:ascii="Arial" w:cs="Arial" w:eastAsia="Arial" w:hAnsi="Arial"/>
          <w:sz w:val="16"/>
          <w:szCs w:val="16"/>
          <w:b w:val="1"/>
          <w:bCs w:val="1"/>
          <w:color w:val="auto"/>
        </w:rPr>
        <w:t>When in doubt . . .</w:t>
      </w:r>
    </w:p>
    <w:p>
      <w:pPr>
        <w:spacing w:after="0" w:line="210"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 xml:space="preserve">If you think you are being asked to behave or conduct business in an illegal, unethical or otherwise inappropriate manner, or you suspect others of such behavior, immediately report your concerns through the channels described above. You will </w:t>
      </w:r>
      <w:r>
        <w:rPr>
          <w:rFonts w:ascii="Arial" w:cs="Arial" w:eastAsia="Arial" w:hAnsi="Arial"/>
          <w:sz w:val="16"/>
          <w:szCs w:val="16"/>
          <w:b w:val="1"/>
          <w:bCs w:val="1"/>
          <w:i w:val="1"/>
          <w:iCs w:val="1"/>
          <w:color w:val="auto"/>
        </w:rPr>
        <w:t>not</w:t>
      </w:r>
      <w:r>
        <w:rPr>
          <w:rFonts w:ascii="Arial" w:cs="Arial" w:eastAsia="Arial" w:hAnsi="Arial"/>
          <w:sz w:val="16"/>
          <w:szCs w:val="16"/>
          <w:color w:val="auto"/>
        </w:rPr>
        <w:t xml:space="preserve"> be penalized for reporting what you believe, in good faith, to be a breach of the Code; even if it later turns out that a violation has not occurred.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EMPLOYMENT RELATIONSHIP</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employment</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BioLineRx employees are generally employed by the Company either pursuant to an employment contract or other arrangement. Subject to applicable law, both the employee and the employer are legally allowed to terminate the employment at will. This BioLineRx Code may be revised from time to time at the Company’s discretion and is not a contract of employment.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Anti-discrimination and anti-harassment</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BioLineRx hires, pays, promotes and makes other employment decisions based upon lawful factors, such as qualifications and performance, and without regard to race, sex, color, religion, age, national origin, sexual orientation, disability or any other basis that is protected under applicable law.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Drug and alcohol abuse and drug-free workplace</w:t>
      </w:r>
    </w:p>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BioLineRx prohibits the illegal use, sale, purchase, transfer, possession or presence in one’s system of drugs, other than medically prescribed drugs, while on the Company’s premises.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Workplace violence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BioLineRx does not tolerate workplace violence or threats of violence committed by or against employees or property.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Conflict of interest and opportunities for personal gain</w:t>
      </w:r>
    </w:p>
    <w:p>
      <w:pPr>
        <w:spacing w:after="0" w:line="210" w:lineRule="exact"/>
        <w:rPr>
          <w:sz w:val="20"/>
          <w:szCs w:val="20"/>
          <w:color w:val="auto"/>
        </w:rPr>
      </w:pPr>
    </w:p>
    <w:p>
      <w:pPr>
        <w:jc w:val="both"/>
        <w:ind w:right="20"/>
        <w:spacing w:after="0" w:line="324" w:lineRule="auto"/>
        <w:rPr>
          <w:sz w:val="20"/>
          <w:szCs w:val="20"/>
          <w:color w:val="auto"/>
        </w:rPr>
      </w:pPr>
      <w:r>
        <w:rPr>
          <w:rFonts w:ascii="Arial" w:cs="Arial" w:eastAsia="Arial" w:hAnsi="Arial"/>
          <w:sz w:val="14"/>
          <w:szCs w:val="14"/>
          <w:color w:val="auto"/>
        </w:rPr>
        <w:t>All Directors, officers and employees must avoid relationships, activities or interests that conflict or appear to conflict with the interests of the Company. Directors, officers and all employees have an obligation to promptly disclose to their supervisor or local internal auditor any relationship, activity or interest that could possibly involve or appear to involve an actual or potential conflict of interest. If you are unsure whether something is a conflict of interest you are obligated to promptly disclose it to your supervisor.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270" w:name="page271"/>
    <w:bookmarkEnd w:id="270"/>
    <w:p>
      <w:pPr>
        <w:spacing w:after="0"/>
        <w:rPr>
          <w:sz w:val="20"/>
          <w:szCs w:val="20"/>
          <w:color w:val="auto"/>
        </w:rPr>
      </w:pPr>
      <w:r>
        <w:rPr>
          <w:rFonts w:ascii="Arial" w:cs="Arial" w:eastAsia="Arial" w:hAnsi="Arial"/>
          <w:sz w:val="16"/>
          <w:szCs w:val="16"/>
          <w:b w:val="1"/>
          <w:bCs w:val="1"/>
          <w:color w:val="auto"/>
        </w:rPr>
        <w:t>Related Party Transactions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All Directors, officers and employees should immediately inform a representative of the Finance Department or General Counsel at the outset of negotiations or contacts regarding a potential transaction between an entity or a person related to a Director, officer or employee of BioLineRx or its subsidiaries and BioLineRx or its subsidiaries and in any event prior to completion of any such transaction (without regard to size or materiality).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Acceptance and giving entertainment or gifts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You may never accept bribes, kickbacks, or other types of unusual payments from any organization or individual seeking to do business with, doing business with, or competing with BioLineRx. You may accept gifts or entertainment of nominal value as part of the normal business process if public knowledge of your acceptance would cause the Company no conceivable embarrassment. In accordance with foreign laws, you are prohibited from directly or indirectly authorizing, offering, promising or giving anything of value to a foreign governmental official as a means of influencing or inducing the official to obtain or retain business for BioLineRx.</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Fraud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You may not engage in fraudulent conduct. “Fraud” is the deliberate practice of deception in order to receive unfair or unlawful gain.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All financial and other records of the Company are required to accurately and fairly reflect the Company’s assets, liabilities, revenues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Outside employment or consulting</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Employment as a consultant, officer, or manager of another business organization requires prior written management approval. Outside employment or consulting must never interfere with your job performance, utilize Company property or facilities, involve the implicit or explicit sponsorship of the Company, or create the possibility of adverse publicity for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Political activity and contributions</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Requiring anyone at BioLineRx to make a personal or corporate contribution to any candidate, political party, or holder of any governmental office is prohibited. You are free to participate in lawful political activity.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records and accounts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All Company records and accounts are the property of BioLineRx. Company records and accounts must be maintained at all times in reasonable detail and in a manner that accurately reflects all business and financial transactions, including the disposition of assets. The destruction or falsification of a document in order to impede a litigation, governmental investigation, audit or examination is prohibited and may lead to prosecution for obstruction of justice.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271" w:name="page272"/>
    <w:bookmarkEnd w:id="271"/>
    <w:p>
      <w:pPr>
        <w:spacing w:after="0"/>
        <w:rPr>
          <w:sz w:val="20"/>
          <w:szCs w:val="20"/>
          <w:color w:val="auto"/>
        </w:rPr>
      </w:pPr>
      <w:r>
        <w:rPr>
          <w:rFonts w:ascii="Arial" w:cs="Arial" w:eastAsia="Arial" w:hAnsi="Arial"/>
          <w:sz w:val="16"/>
          <w:szCs w:val="16"/>
          <w:b w:val="1"/>
          <w:bCs w:val="1"/>
          <w:color w:val="auto"/>
        </w:rPr>
        <w:t>Protection of the Company’s Property</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employees should endeavor to protect the Company’s property, plant and other tangible and intangible assets. Company property should not be used for non-Company business, though incidental personal use may be permitted.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 accounts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recognizes its responsibility to reimburse you for legitimate business expenses. Those expenses should be within reasonable limits and commensurate with the nature of the business assignment. You are expected to fully and clearly document business expenses and comply with the travel policy, which applies to your business unit/locale.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privacy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Company information about employees is confidential and only those with a legitimate, work-related need may access such information. BioLineRx will not release any information about you to entities outside the Company without your written authorization or unless required to do so by applicable law, pursuant to a summons, subpoena or court order, or as deemed appropriate by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Proprietary information and intellectual property</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Proprietary business, technical, personal information or any trade secret of the Company and its employees, customers and suppliers is considered confidential and must be safeguarded. Intellectual property developed by you or by others for the Company, or for which the Company has secured rights from others, should be used only for the benefit of the Company. Accordingly, all intellectual property rights derived from confidential information or other materials made, originated or developed by the employees shall belong exclusively to the Company, and the employees who are the inventors or developers of such intellectual property rights shall have no rights or benefits therein or deriving therefrom. You may not disclose proprietary information of the Company, its employees, customers, former employees, former customers or suppliers. These prohibitions continue even if you cease being employed by the Company for any reason.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data security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Corporate data refers to all information collected, created, processed and/or maintained in the normal course of BioLineRx’s business. The data may be in manual form (examples include verbal, handwritten, typed onto hard copy, microfilmed, photocopied or computer printouts), electronic form (examples include e-mails, voice-mails, computer memory, magnetic tape, cassette, disk, or diskette), or BioLineRx specific information included in computer applications programs, personal computing software, or operating system software.</w:t>
      </w:r>
    </w:p>
    <w:p>
      <w:pPr>
        <w:spacing w:after="0" w:line="16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All BioLineRx employees and any other person having physical or electronic access to corporate data are responsible for safeguarding corporate data by knowing and keeping such corporate data confidential.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b w:val="1"/>
          <w:bCs w:val="1"/>
          <w:color w:val="auto"/>
        </w:rPr>
        <w:t>Electronic communications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You may not access or use BioLineRx’s electronic and wire communications systems without appropriate authority. No individual shall use the passwords or codes of another individual in order to gain access to that individual’s e-mail, voice mail, or Internet communications on BioLineRx’s systems unless first authorized to do so by that individual or the Company. These systems are provided for Company business, and only occasional personal use of the systems is permissible. Occasional personal use means minimal and infrequent use that does not interfere with BioLineRx business or job performance. BioLineRx’s systems may not be used to access or transmit material that could embarrass, harass, or offend other persons.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communications</w:t>
      </w:r>
    </w:p>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Requests for financial or business information, for interviews with any BioLineRx employee including comments or responding to requests relating to BioLineRx or its business, or the issuance of any press releases by any BioLineRx employee must be referred to the Company’s 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disclosure requirements</w:t>
      </w:r>
    </w:p>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All reports and submissions (“Reports”) of BioLineRx to the SEC, NASDAQ, the Israel Securities Authority and the Tel Aviv Stock Exchange must comply with applicable legal and exchange requirements and may not contain material misstatements or omit material facts.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RELATIONSHIPS WITH BUSINESS ENTITIES AND AUTHORITIES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quality</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We are committed to making safe quality products for our sublicensees and future users of our products. We expect each BioLineRx employees to contribute to these standards by providing high quality work, being fully familiar with applicable laws and regulations that are pertinent to their areas of responsibility and participating in training programs provided by the Company covering broad ranges of activities. Employees are also encouraged to exert diligence in identifying and preventing practices that could impair product quality, safety or compliance with law.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Sanctions</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BioLineRx employees must comply with the applicable laws and regulations relating to economic and trade sanctions and embargoes against certain countries or entities. This includes refraining from indirect facilitation of a prohibited transaction.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273" w:name="page274"/>
    <w:bookmarkEnd w:id="273"/>
    <w:p>
      <w:pPr>
        <w:spacing w:after="0"/>
        <w:rPr>
          <w:sz w:val="20"/>
          <w:szCs w:val="20"/>
          <w:color w:val="auto"/>
        </w:rPr>
      </w:pPr>
      <w:r>
        <w:rPr>
          <w:rFonts w:ascii="Arial" w:cs="Arial" w:eastAsia="Arial" w:hAnsi="Arial"/>
          <w:sz w:val="16"/>
          <w:szCs w:val="16"/>
          <w:b w:val="1"/>
          <w:bCs w:val="1"/>
          <w:color w:val="auto"/>
        </w:rPr>
        <w:t>Foreign corrupt practices and anti-boycott laws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accordance with local and/or foreign laws, BioLineRx employees are prohibited from directly or indirectly authorizing, offering, promising or giving anything of value to a foreign governmental official as a means of influencing or inducing the official to obtain or retain business for BioLineRx. BioLineRx employees also are required to comply with applicable corrupt practices laws and anti-boycott laws that prohibit participation in certain foreign boycotts.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laws compliance/insider trading</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All BioLineRx employees must strictly obey all laws that prohibit the trading of securities based on prior knowledge of “material,” “non-public” information about BioLineRx. You may not trade BioLineRx stock, nor recommend to others that they trade BioLineRx stock, until such information has been publicly disclosed. These restrictions also apply to any trading, including securities of other companies, based on material, non-public information about customers, competitors or business partners of BioLineRx, either when trading BioLineRx securities or the securities of these other companies as well.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Unfair trade practices and fair dealing</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BioLineRx employees must comply with applicable laws in their place of employment and the laws of other applicable jurisdictions that prohibit unfair or deceptive business acts and practices, as well as unfair competition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protection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As a Company we are committed to full compliance with all applicable environmental protection laws and expect your individual cooperation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 and safety</w:t>
      </w:r>
    </w:p>
    <w:p>
      <w:pPr>
        <w:spacing w:after="0" w:line="210"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Employees must observe safe practices on their jobs, report any injury or accident at work promptly and follow Company security and emergency policies and procedures.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6"/>
          <w:szCs w:val="16"/>
          <w:b w:val="1"/>
          <w:bCs w:val="1"/>
          <w:color w:val="auto"/>
        </w:rPr>
        <w:t>Exhibit 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w:t>
      </w:r>
      <w:r>
        <w:rPr>
          <w:rFonts w:ascii="Arial" w:cs="Arial" w:eastAsia="Arial" w:hAnsi="Arial"/>
          <w:sz w:val="13"/>
          <w:szCs w:val="13"/>
          <w:b w:val="1"/>
          <w:bCs w:val="1"/>
          <w:color w:val="auto"/>
        </w:rPr>
        <w:t>IO</w:t>
      </w:r>
      <w:r>
        <w:rPr>
          <w:rFonts w:ascii="Arial" w:cs="Arial" w:eastAsia="Arial" w:hAnsi="Arial"/>
          <w:sz w:val="19"/>
          <w:szCs w:val="19"/>
          <w:b w:val="1"/>
          <w:bCs w:val="1"/>
          <w:color w:val="auto"/>
        </w:rPr>
        <w:t>L</w:t>
      </w:r>
      <w:r>
        <w:rPr>
          <w:rFonts w:ascii="Arial" w:cs="Arial" w:eastAsia="Arial" w:hAnsi="Arial"/>
          <w:sz w:val="13"/>
          <w:szCs w:val="13"/>
          <w:b w:val="1"/>
          <w:bCs w:val="1"/>
          <w:color w:val="auto"/>
        </w:rPr>
        <w:t>INE</w:t>
      </w:r>
      <w:r>
        <w:rPr>
          <w:rFonts w:ascii="Arial" w:cs="Arial" w:eastAsia="Arial" w:hAnsi="Arial"/>
          <w:sz w:val="19"/>
          <w:szCs w:val="19"/>
          <w:b w:val="1"/>
          <w:bCs w:val="1"/>
          <w:color w:val="auto"/>
        </w:rPr>
        <w:t>R</w:t>
      </w:r>
      <w:r>
        <w:rPr>
          <w:rFonts w:ascii="Arial" w:cs="Arial" w:eastAsia="Arial" w:hAnsi="Arial"/>
          <w:sz w:val="13"/>
          <w:szCs w:val="13"/>
          <w:b w:val="1"/>
          <w:bCs w:val="1"/>
          <w:color w:val="auto"/>
        </w:rPr>
        <w:t>X</w:t>
      </w:r>
      <w:r>
        <w:rPr>
          <w:rFonts w:ascii="Arial" w:cs="Arial" w:eastAsia="Arial" w:hAnsi="Arial"/>
          <w:sz w:val="19"/>
          <w:szCs w:val="19"/>
          <w:b w:val="1"/>
          <w:bCs w:val="1"/>
          <w:color w:val="auto"/>
        </w:rPr>
        <w:t xml:space="preserve"> L</w:t>
      </w:r>
      <w:r>
        <w:rPr>
          <w:rFonts w:ascii="Arial" w:cs="Arial" w:eastAsia="Arial" w:hAnsi="Arial"/>
          <w:sz w:val="13"/>
          <w:szCs w:val="13"/>
          <w:b w:val="1"/>
          <w:bCs w:val="1"/>
          <w:color w:val="auto"/>
        </w:rPr>
        <w:t>TD</w:t>
      </w:r>
      <w:r>
        <w:rPr>
          <w:rFonts w:ascii="Arial" w:cs="Arial" w:eastAsia="Arial" w:hAnsi="Arial"/>
          <w:sz w:val="19"/>
          <w:szCs w:val="19"/>
          <w:b w:val="1"/>
          <w:bCs w:val="1"/>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COMPANY POLICY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TRADES BY BIOLINERX LTD. PERSONNEL</w:t>
      </w:r>
    </w:p>
    <w:p>
      <w:pPr>
        <w:spacing w:after="0" w:line="210" w:lineRule="exact"/>
        <w:rPr>
          <w:sz w:val="20"/>
          <w:szCs w:val="20"/>
          <w:color w:val="auto"/>
        </w:rPr>
      </w:pPr>
    </w:p>
    <w:p>
      <w:pPr>
        <w:ind w:firstLine="584"/>
        <w:spacing w:after="0" w:line="283" w:lineRule="auto"/>
        <w:rPr>
          <w:sz w:val="20"/>
          <w:szCs w:val="20"/>
          <w:color w:val="auto"/>
        </w:rPr>
      </w:pPr>
      <w:r>
        <w:rPr>
          <w:rFonts w:ascii="Arial" w:cs="Arial" w:eastAsia="Arial" w:hAnsi="Arial"/>
          <w:sz w:val="16"/>
          <w:szCs w:val="16"/>
          <w:color w:val="auto"/>
        </w:rPr>
        <w:t xml:space="preserve">BioLineRx Ltd. (the “Company”) has adopted the following Policy regarding trading by Company personnel in the Company’s securities. The Policy applies to </w:t>
      </w:r>
      <w:r>
        <w:rPr>
          <w:rFonts w:ascii="Arial" w:cs="Arial" w:eastAsia="Arial" w:hAnsi="Arial"/>
          <w:sz w:val="16"/>
          <w:szCs w:val="16"/>
          <w:i w:val="1"/>
          <w:iCs w:val="1"/>
          <w:color w:val="auto"/>
        </w:rPr>
        <w:t>all</w:t>
      </w:r>
      <w:r>
        <w:rPr>
          <w:rFonts w:ascii="Arial" w:cs="Arial" w:eastAsia="Arial" w:hAnsi="Arial"/>
          <w:sz w:val="16"/>
          <w:szCs w:val="16"/>
          <w:color w:val="auto"/>
        </w:rPr>
        <w:t xml:space="preserve"> Company personnel, including directors, officers, employees and consultants of the Company and its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Need for a Policy</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Policy has been developed:</w:t>
      </w:r>
    </w:p>
    <w:p>
      <w:pPr>
        <w:spacing w:after="0" w:line="206" w:lineRule="exact"/>
        <w:rPr>
          <w:sz w:val="20"/>
          <w:szCs w:val="20"/>
          <w:color w:val="auto"/>
        </w:rPr>
      </w:pPr>
    </w:p>
    <w:p>
      <w:pPr>
        <w:ind w:left="880" w:hanging="298"/>
        <w:spacing w:after="0"/>
        <w:tabs>
          <w:tab w:leader="none" w:pos="8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educate all Company personnel;</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set forth guidelines for courses of action;</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protect the Company and all of its personnel against legal liability; and</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preserve the reputation of the Company and its personnel for integrity and ethical conduct.</w:t>
      </w:r>
    </w:p>
    <w:p>
      <w:pPr>
        <w:spacing w:after="0" w:line="206" w:lineRule="exact"/>
        <w:rPr>
          <w:sz w:val="20"/>
          <w:szCs w:val="20"/>
          <w:color w:val="auto"/>
        </w:rPr>
      </w:pPr>
    </w:p>
    <w:p>
      <w:pPr>
        <w:jc w:val="both"/>
        <w:ind w:firstLine="584"/>
        <w:spacing w:after="0" w:line="260" w:lineRule="auto"/>
        <w:rPr>
          <w:sz w:val="20"/>
          <w:szCs w:val="20"/>
          <w:color w:val="auto"/>
        </w:rPr>
      </w:pPr>
      <w:r>
        <w:rPr>
          <w:rFonts w:ascii="Arial" w:cs="Arial" w:eastAsia="Arial" w:hAnsi="Arial"/>
          <w:sz w:val="16"/>
          <w:szCs w:val="16"/>
          <w:color w:val="auto"/>
        </w:rPr>
        <w:t>Since the Company is a public company with its ordinary shares traded on the Tel Aviv Stock Exchange and its American Depositary Shares on the Nasdaq Capital Market, transactions in the Company’s securities are subject to both Israeli and United States federal securities laws and regulations. These laws and regulations make it illegal for an individual to buy or sell securities of the Company while aware of “inside information.” The U.S. Securities and Exchange Commission (SEC) and the Israel Securities Authority (ISA) take insider trading very seriously and devote significant resources to uncovering the activity and to prosecuting offenders. Liability may extend not only to the individuals who trade on “inside information,” but also to their “tippers,” people who leak the inside information to the individuals who trade. The Company and “controlling persons” of the Company may also be liable for violations by Company employees.</w:t>
      </w:r>
    </w:p>
    <w:p>
      <w:pPr>
        <w:spacing w:after="0" w:line="168"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In addition to responding to the statutes and regulations, we are adopting this Policy to avoid even the appearance of improper conduct on the part of anyone employed by or associated with the Company (not just “insiders”).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Consequences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consequences of insider trading violations can be severe. The following are examples under U.S. law applicable to the Company:</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b w:val="1"/>
          <w:bCs w:val="1"/>
          <w:u w:val="single" w:color="auto"/>
          <w:color w:val="auto"/>
        </w:rPr>
        <w:t>individuals</w:t>
      </w:r>
      <w:r>
        <w:rPr>
          <w:rFonts w:ascii="Arial" w:cs="Arial" w:eastAsia="Arial" w:hAnsi="Arial"/>
          <w:sz w:val="16"/>
          <w:szCs w:val="16"/>
          <w:color w:val="auto"/>
        </w:rPr>
        <w:t xml:space="preserve"> who trade on inside information (or tip information to others):</w:t>
      </w:r>
    </w:p>
    <w:p>
      <w:pPr>
        <w:spacing w:after="0" w:line="210" w:lineRule="exact"/>
        <w:rPr>
          <w:sz w:val="20"/>
          <w:szCs w:val="20"/>
          <w:color w:val="auto"/>
        </w:rPr>
      </w:pPr>
    </w:p>
    <w:p>
      <w:pPr>
        <w:ind w:left="880" w:hanging="298"/>
        <w:spacing w:after="0"/>
        <w:tabs>
          <w:tab w:leader="none" w:pos="8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civil penalty of up to three times the profit gained or loss avoided;</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criminal fine (no matter how small the profit) of up to $5 million; and</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 jail term of up to twenty years.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5" w:name="page276"/>
    <w:bookmarkEnd w:id="275"/>
    <w:p>
      <w:pPr>
        <w:ind w:left="580"/>
        <w:spacing w:after="0"/>
        <w:rPr>
          <w:sz w:val="20"/>
          <w:szCs w:val="20"/>
          <w:color w:val="auto"/>
        </w:rPr>
      </w:pPr>
      <w:r>
        <w:rPr>
          <w:rFonts w:ascii="Arial" w:cs="Arial" w:eastAsia="Arial" w:hAnsi="Arial"/>
          <w:sz w:val="16"/>
          <w:szCs w:val="16"/>
          <w:color w:val="auto"/>
        </w:rPr>
        <w:t xml:space="preserve">For a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(as well as possibly any supervisory person) that fails to take appropriate steps to prevent illegal trading:</w:t>
      </w:r>
    </w:p>
    <w:p>
      <w:pPr>
        <w:spacing w:after="0" w:line="210" w:lineRule="exact"/>
        <w:rPr>
          <w:sz w:val="20"/>
          <w:szCs w:val="20"/>
          <w:color w:val="auto"/>
        </w:rPr>
      </w:pPr>
    </w:p>
    <w:p>
      <w:pPr>
        <w:ind w:left="880" w:hanging="298"/>
        <w:spacing w:after="0"/>
        <w:tabs>
          <w:tab w:leader="none" w:pos="8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civil penalty of the greater of $1 million or three times the profit gained or loss avoided as a result of the employee’s violation; and</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criminal penalty of up to $25 million.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Any of the above consequences – or even an SEC or ISA investigation that does not result in prosecution – can tarnish one’s reputation and irreparably damage a career. In addition, if an employee violates this Policy, Company-imposed sanctions, including dismissal for cause, could result from failing to comply with the Company’s policy or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Policy</w:t>
      </w:r>
    </w:p>
    <w:p>
      <w:pPr>
        <w:spacing w:after="0" w:line="206"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i w:val="1"/>
          <w:iCs w:val="1"/>
          <w:color w:val="auto"/>
        </w:rPr>
        <w:t>It is the Company’s policy that no Company personnel nor any related persons may buy or sell securities of the Company while aware of material nonpublic information or engage in any other action to take advantage of, or pass on to others, that information.</w:t>
      </w:r>
    </w:p>
    <w:p>
      <w:pPr>
        <w:spacing w:after="0" w:line="151"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color w:val="auto"/>
        </w:rPr>
        <w:t>This Policy also applies with equal force to information relating to any other company, including our collaborators, partners, suppliers, customers and others, obtained by Company personnel during the course of his or her service to or employment by the Company.</w:t>
      </w:r>
    </w:p>
    <w:p>
      <w:pPr>
        <w:spacing w:after="0" w:line="151"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51" w:lineRule="exact"/>
        <w:rPr>
          <w:sz w:val="20"/>
          <w:szCs w:val="20"/>
          <w:color w:val="auto"/>
        </w:rPr>
      </w:pPr>
    </w:p>
    <w:p>
      <w:pPr>
        <w:jc w:val="both"/>
        <w:ind w:right="20" w:firstLine="584"/>
        <w:spacing w:after="0" w:line="268" w:lineRule="auto"/>
        <w:rPr>
          <w:sz w:val="20"/>
          <w:szCs w:val="20"/>
          <w:color w:val="auto"/>
        </w:rPr>
      </w:pPr>
      <w:r>
        <w:rPr>
          <w:rFonts w:ascii="Arial" w:cs="Arial" w:eastAsia="Arial" w:hAnsi="Arial"/>
          <w:sz w:val="16"/>
          <w:szCs w:val="16"/>
          <w:b w:val="1"/>
          <w:bCs w:val="1"/>
          <w:i w:val="1"/>
          <w:iCs w:val="1"/>
          <w:color w:val="auto"/>
        </w:rPr>
        <w:t xml:space="preserve">Policy Administrator. </w:t>
      </w:r>
      <w:r>
        <w:rPr>
          <w:rFonts w:ascii="Arial" w:cs="Arial" w:eastAsia="Arial" w:hAnsi="Arial"/>
          <w:sz w:val="16"/>
          <w:szCs w:val="16"/>
          <w:color w:val="auto"/>
        </w:rPr>
        <w:t>This Policy shall be administered by the “Policy Administrator,” who shall initially be the Chief Financial and Operating Officer. The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may, however, change from time to time, and you are encouraged to consult the copy of this Policy that is included on the Company’s website to obtain current information concerning the Policy Administrator.</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 xml:space="preserve">Material Non-Public Information. </w:t>
      </w:r>
      <w:r>
        <w:rPr>
          <w:rFonts w:ascii="Arial" w:cs="Arial" w:eastAsia="Arial" w:hAnsi="Arial"/>
          <w:sz w:val="16"/>
          <w:szCs w:val="16"/>
          <w:color w:val="auto"/>
        </w:rPr>
        <w:t>Material non-public information (</w:t>
      </w:r>
      <w:r>
        <w:rPr>
          <w:rFonts w:ascii="Arial" w:cs="Arial" w:eastAsia="Arial" w:hAnsi="Arial"/>
          <w:sz w:val="16"/>
          <w:szCs w:val="16"/>
          <w:i w:val="1"/>
          <w:iCs w:val="1"/>
          <w:color w:val="auto"/>
        </w:rPr>
        <w:t>i.e.</w:t>
      </w:r>
      <w:r>
        <w:rPr>
          <w:rFonts w:ascii="Arial" w:cs="Arial" w:eastAsia="Arial" w:hAnsi="Arial"/>
          <w:sz w:val="16"/>
          <w:szCs w:val="16"/>
          <w:color w:val="auto"/>
        </w:rPr>
        <w:t>, “inside information”) is any information that:</w:t>
      </w:r>
    </w:p>
    <w:p>
      <w:pPr>
        <w:spacing w:after="0" w:line="206" w:lineRule="exact"/>
        <w:rPr>
          <w:sz w:val="20"/>
          <w:szCs w:val="20"/>
          <w:color w:val="auto"/>
        </w:rPr>
      </w:pPr>
    </w:p>
    <w:p>
      <w:pPr>
        <w:ind w:left="880" w:hanging="298"/>
        <w:spacing w:after="0"/>
        <w:tabs>
          <w:tab w:leader="none" w:pos="8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is not generally known to the public, and</w:t>
      </w:r>
    </w:p>
    <w:p>
      <w:pPr>
        <w:spacing w:after="0" w:line="205" w:lineRule="exact"/>
        <w:rPr>
          <w:rFonts w:ascii="Arial" w:cs="Arial" w:eastAsia="Arial" w:hAnsi="Arial"/>
          <w:sz w:val="16"/>
          <w:szCs w:val="16"/>
          <w:color w:val="auto"/>
        </w:rPr>
      </w:pPr>
    </w:p>
    <w:p>
      <w:pPr>
        <w:ind w:left="880" w:right="20" w:hanging="298"/>
        <w:spacing w:after="0" w:line="283" w:lineRule="auto"/>
        <w:tabs>
          <w:tab w:leader="none" w:pos="8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which, if publicly known, would likely affect either the market price of the Company’s securities or a person’s decision to buy, sell or hold the Company’s securities.</w:t>
      </w:r>
    </w:p>
    <w:p>
      <w:pPr>
        <w:spacing w:after="0" w:line="151" w:lineRule="exact"/>
        <w:rPr>
          <w:sz w:val="20"/>
          <w:szCs w:val="20"/>
          <w:color w:val="auto"/>
        </w:rPr>
      </w:pPr>
    </w:p>
    <w:p>
      <w:pPr>
        <w:ind w:right="20" w:firstLine="584"/>
        <w:spacing w:after="0" w:line="283" w:lineRule="auto"/>
        <w:rPr>
          <w:sz w:val="20"/>
          <w:szCs w:val="20"/>
          <w:color w:val="auto"/>
        </w:rPr>
      </w:pPr>
      <w:r>
        <w:rPr>
          <w:rFonts w:ascii="Arial" w:cs="Arial" w:eastAsia="Arial" w:hAnsi="Arial"/>
          <w:sz w:val="16"/>
          <w:szCs w:val="16"/>
          <w:color w:val="auto"/>
        </w:rPr>
        <w:t>Information “generally known to the public” is information released to the press or the industry and after public investors and the market have had a reasonable period of time to evaluate and react to the information. All other information is regarded as non-public.</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 xml:space="preserve">Examples of Material Information. </w:t>
      </w:r>
      <w:r>
        <w:rPr>
          <w:rFonts w:ascii="Arial" w:cs="Arial" w:eastAsia="Arial" w:hAnsi="Arial"/>
          <w:sz w:val="16"/>
          <w:szCs w:val="16"/>
          <w:color w:val="auto"/>
        </w:rPr>
        <w:t>Common examples of information that will frequently be regarded as material are:</w:t>
      </w:r>
    </w:p>
    <w:p>
      <w:pPr>
        <w:spacing w:after="0" w:line="206" w:lineRule="exact"/>
        <w:rPr>
          <w:sz w:val="20"/>
          <w:szCs w:val="20"/>
          <w:color w:val="auto"/>
        </w:rPr>
      </w:pPr>
    </w:p>
    <w:p>
      <w:pPr>
        <w:ind w:left="880" w:hanging="298"/>
        <w:spacing w:after="0"/>
        <w:tabs>
          <w:tab w:leader="none" w:pos="8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quarterly or annual earnings results;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projections of future results or sales;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earnings or losses;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news of a pending or proposed merger, acquisition or tender offer;</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 important financing transaction;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276" w:name="page277"/>
    <w:bookmarkEnd w:id="276"/>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significant clinical or regulatory developments;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entry into or termination of a significant collaboration, joint venture or strategic alliance;</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changes in management;</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significant new products or discoveries;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plans regarding strategy or significant capital investments;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impending bankruptcy or financial liquidity problems;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criminal charge or government investigations;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internal financial information which departs from what the market would expect; and</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gain or loss of any significant contract or agreement.</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Either positive or negative information may be material. We emphasize that this list is merely illustrative.</w:t>
      </w:r>
    </w:p>
    <w:p>
      <w:pPr>
        <w:spacing w:after="0" w:line="206"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b w:val="1"/>
          <w:bCs w:val="1"/>
          <w:i w:val="1"/>
          <w:iCs w:val="1"/>
          <w:color w:val="auto"/>
        </w:rPr>
        <w:t xml:space="preserve">Twenty-Twenty Hindsight. </w:t>
      </w:r>
      <w:r>
        <w:rPr>
          <w:rFonts w:ascii="Arial" w:cs="Arial" w:eastAsia="Arial" w:hAnsi="Arial"/>
          <w:sz w:val="16"/>
          <w:szCs w:val="16"/>
          <w:color w:val="auto"/>
        </w:rPr>
        <w:t>Remember, if your securities transactions become the subject of scrutiny, they will be viewed after-the-fact with the benefit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hindsight. As a result, before engaging in any transaction, you should carefully consider how regulators and others might view your transaction in hindsight.</w:t>
      </w:r>
    </w:p>
    <w:p>
      <w:pPr>
        <w:spacing w:after="0" w:line="151" w:lineRule="exact"/>
        <w:rPr>
          <w:sz w:val="20"/>
          <w:szCs w:val="20"/>
          <w:color w:val="auto"/>
        </w:rPr>
      </w:pPr>
    </w:p>
    <w:p>
      <w:pPr>
        <w:jc w:val="both"/>
        <w:ind w:right="20" w:firstLine="584"/>
        <w:spacing w:after="0" w:line="263" w:lineRule="auto"/>
        <w:rPr>
          <w:sz w:val="20"/>
          <w:szCs w:val="20"/>
          <w:color w:val="auto"/>
        </w:rPr>
      </w:pPr>
      <w:r>
        <w:rPr>
          <w:rFonts w:ascii="Arial" w:cs="Arial" w:eastAsia="Arial" w:hAnsi="Arial"/>
          <w:sz w:val="16"/>
          <w:szCs w:val="16"/>
          <w:b w:val="1"/>
          <w:bCs w:val="1"/>
          <w:i w:val="1"/>
          <w:iCs w:val="1"/>
          <w:color w:val="auto"/>
        </w:rPr>
        <w:t xml:space="preserve">Transactions by Family Members and Others in Your Household. </w:t>
      </w:r>
      <w:r>
        <w:rPr>
          <w:rFonts w:ascii="Arial" w:cs="Arial" w:eastAsia="Arial" w:hAnsi="Arial"/>
          <w:sz w:val="16"/>
          <w:szCs w:val="16"/>
          <w:color w:val="auto"/>
        </w:rPr>
        <w:t>These restrictions also apply to your “immediate family members” – that is, a spouse,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child or sibling and any other family member who shares the same address as, or is financially dependent on you. Employees are expected to be responsible for the compliance of all family members with this Policy. Employees are also expected to be responsible for the compliance of other persons who live in their household, whether or not related, with this Policy.</w:t>
      </w:r>
    </w:p>
    <w:p>
      <w:pPr>
        <w:spacing w:after="0" w:line="168" w:lineRule="exact"/>
        <w:rPr>
          <w:sz w:val="20"/>
          <w:szCs w:val="20"/>
          <w:color w:val="auto"/>
        </w:rPr>
      </w:pPr>
    </w:p>
    <w:p>
      <w:pPr>
        <w:jc w:val="both"/>
        <w:ind w:firstLine="584"/>
        <w:spacing w:after="0" w:line="294" w:lineRule="auto"/>
        <w:rPr>
          <w:sz w:val="20"/>
          <w:szCs w:val="20"/>
          <w:color w:val="auto"/>
        </w:rPr>
      </w:pPr>
      <w:r>
        <w:rPr>
          <w:rFonts w:ascii="Arial" w:cs="Arial" w:eastAsia="Arial" w:hAnsi="Arial"/>
          <w:sz w:val="15"/>
          <w:szCs w:val="15"/>
          <w:b w:val="1"/>
          <w:bCs w:val="1"/>
          <w:i w:val="1"/>
          <w:iCs w:val="1"/>
          <w:color w:val="auto"/>
        </w:rPr>
        <w:t xml:space="preserve">Tipping Information to Others. </w:t>
      </w:r>
      <w:r>
        <w:rPr>
          <w:rFonts w:ascii="Arial" w:cs="Arial" w:eastAsia="Arial" w:hAnsi="Arial"/>
          <w:sz w:val="15"/>
          <w:szCs w:val="15"/>
          <w:color w:val="auto"/>
        </w:rPr>
        <w:t>Whether the information is proprietary information about the Company or information that could have an impact on our stock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Company personnel must not pass the information on to others. The above penalties apply, whether or not you derive any monetary benefit from another person’s actions. </w:t>
      </w:r>
      <w:r>
        <w:rPr>
          <w:rFonts w:ascii="Arial" w:cs="Arial" w:eastAsia="Arial" w:hAnsi="Arial"/>
          <w:sz w:val="15"/>
          <w:szCs w:val="15"/>
          <w:i w:val="1"/>
          <w:iCs w:val="1"/>
          <w:color w:val="auto"/>
        </w:rPr>
        <w:t>Inside information is often inadvertently disclosed or overheard in casual, social conversations. Care must be taken to avoid such disclosures.</w:t>
      </w:r>
    </w:p>
    <w:p>
      <w:pPr>
        <w:spacing w:after="0" w:line="141" w:lineRule="exact"/>
        <w:rPr>
          <w:sz w:val="20"/>
          <w:szCs w:val="20"/>
          <w:color w:val="auto"/>
        </w:rPr>
      </w:pPr>
    </w:p>
    <w:p>
      <w:pPr>
        <w:jc w:val="both"/>
        <w:ind w:right="20" w:firstLine="584"/>
        <w:spacing w:after="0" w:line="259" w:lineRule="auto"/>
        <w:rPr>
          <w:sz w:val="20"/>
          <w:szCs w:val="20"/>
          <w:color w:val="auto"/>
        </w:rPr>
      </w:pPr>
      <w:r>
        <w:rPr>
          <w:rFonts w:ascii="Arial" w:cs="Arial" w:eastAsia="Arial" w:hAnsi="Arial"/>
          <w:sz w:val="16"/>
          <w:szCs w:val="16"/>
          <w:b w:val="1"/>
          <w:bCs w:val="1"/>
          <w:i w:val="1"/>
          <w:iCs w:val="1"/>
          <w:color w:val="auto"/>
        </w:rPr>
        <w:t>When Information is Public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you can appreciate, it is also improper for Company personnel to trade the Company’s securities immediately after 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a public announcement of material information. Since the Company’s shareholders and the investing public should be afforded time to receive information and to act upon it, as a general rule you should not engage in any transactions until the beginning of the second business day after the information has been released. Thus, if an announcement is made on a Monday, Wednesday generally would be the first day on which you should trade. If an announcement is made on a Friday, Tuesday generally would be the first day on which you should trade. However, if the information released is complex, such as a prospective major financing or other transaction, it may be necessary to allow additional time for the information to be absorbed by investors. In such circumstances, you will be notified by the Policy Administrator regarding a suitable waiting period before trading.</w:t>
      </w:r>
    </w:p>
    <w:p>
      <w:pPr>
        <w:spacing w:after="0" w:line="173" w:lineRule="exact"/>
        <w:rPr>
          <w:sz w:val="20"/>
          <w:szCs w:val="20"/>
          <w:color w:val="auto"/>
        </w:rPr>
      </w:pPr>
    </w:p>
    <w:p>
      <w:pPr>
        <w:jc w:val="both"/>
        <w:ind w:right="20" w:firstLine="584"/>
        <w:spacing w:after="0" w:line="318" w:lineRule="auto"/>
        <w:rPr>
          <w:sz w:val="20"/>
          <w:szCs w:val="20"/>
          <w:color w:val="auto"/>
        </w:rPr>
      </w:pPr>
      <w:r>
        <w:rPr>
          <w:rFonts w:ascii="Arial" w:cs="Arial" w:eastAsia="Arial" w:hAnsi="Arial"/>
          <w:sz w:val="15"/>
          <w:szCs w:val="15"/>
          <w:b w:val="1"/>
          <w:bCs w:val="1"/>
          <w:i w:val="1"/>
          <w:iCs w:val="1"/>
          <w:color w:val="auto"/>
        </w:rPr>
        <w:t xml:space="preserve">Prevention of Insider Trading by Others. </w:t>
      </w:r>
      <w:r>
        <w:rPr>
          <w:rFonts w:ascii="Arial" w:cs="Arial" w:eastAsia="Arial" w:hAnsi="Arial"/>
          <w:sz w:val="15"/>
          <w:szCs w:val="15"/>
          <w:color w:val="auto"/>
        </w:rPr>
        <w:t>If you become aware of a potential insider trading violation, you must immediately advise the Policy Administrator. You</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should also take steps, where appropriate, to prevent persons under your supervision or control from using inside information for trading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277" w:name="page278"/>
    <w:bookmarkEnd w:id="277"/>
    <w:p>
      <w:pPr>
        <w:jc w:val="both"/>
        <w:ind w:firstLine="584"/>
        <w:spacing w:after="0" w:line="268" w:lineRule="auto"/>
        <w:rPr>
          <w:sz w:val="20"/>
          <w:szCs w:val="20"/>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Serious problems could be caused for the Company by the unauthorized disclosure of internal information about the Company, whether or not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of facilitating improper trading in the securities of the Company. Company employees should not discuss internal company matters or developments with anyone outside of the Company, except as required in the performance of regular corporate duties.</w:t>
      </w:r>
    </w:p>
    <w:p>
      <w:pPr>
        <w:spacing w:after="0" w:line="163"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6"/>
          <w:szCs w:val="16"/>
          <w:color w:val="auto"/>
        </w:rPr>
        <w:t>This prohibition applies specifically (but not exclusively) to inquiries about the Company that may be made by the financial press, investment analysts or others in the financial community. It is important that all such communications on behalf of the Company be through an appropriately designated officer under carefully controlled circumstances. Unless you are expressly authorized to the contrary, if you receive any inquiries of this nature, you should decline comment and refer the inquirer to the Chief Financial and Operating Officer.</w:t>
      </w:r>
    </w:p>
    <w:p>
      <w:pPr>
        <w:spacing w:after="0" w:line="168" w:lineRule="exact"/>
        <w:rPr>
          <w:sz w:val="20"/>
          <w:szCs w:val="20"/>
          <w:color w:val="auto"/>
        </w:rPr>
      </w:pPr>
    </w:p>
    <w:p>
      <w:pPr>
        <w:jc w:val="both"/>
        <w:ind w:right="20" w:firstLine="584"/>
        <w:spacing w:after="0" w:line="268" w:lineRule="auto"/>
        <w:rPr>
          <w:sz w:val="20"/>
          <w:szCs w:val="20"/>
          <w:color w:val="auto"/>
        </w:rPr>
      </w:pPr>
      <w:r>
        <w:rPr>
          <w:rFonts w:ascii="Arial" w:cs="Arial" w:eastAsia="Arial" w:hAnsi="Arial"/>
          <w:sz w:val="16"/>
          <w:szCs w:val="16"/>
          <w:color w:val="auto"/>
        </w:rPr>
        <w:t>Nothing in this Policy is meant to limit or change the obligations of confidentiality and non-use of non-public information that directors, officers, employees and consultants of the Company by virtue of their positions or their agreements with the Company. Such obligations also apply in the context of any electronic chat room or electronic bulletin board, including participation under a pseudonym.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Prohibited Transactions</w:t>
      </w:r>
    </w:p>
    <w:p>
      <w:pPr>
        <w:spacing w:after="0" w:line="206"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color w:val="auto"/>
        </w:rPr>
        <w:t>Since we believe it is generally improper and inappropriate for Company personnel to engage in short-term or speculative transactions involving the Company’s securities, it is our policy that such personnel should not engage in any of the following activities with respect to the Company’s securities:</w:t>
      </w:r>
    </w:p>
    <w:p>
      <w:pPr>
        <w:spacing w:after="0" w:line="151" w:lineRule="exact"/>
        <w:rPr>
          <w:sz w:val="20"/>
          <w:szCs w:val="20"/>
          <w:color w:val="auto"/>
        </w:rPr>
      </w:pPr>
    </w:p>
    <w:p>
      <w:pPr>
        <w:ind w:left="880" w:right="20" w:hanging="298"/>
        <w:spacing w:after="0" w:line="283" w:lineRule="auto"/>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Trading in the Company’s securities on a short-term basis. Any ordinary shares of the Company purchased in the open market should be held for a minimum of 60 days.</w:t>
      </w:r>
    </w:p>
    <w:p>
      <w:pPr>
        <w:spacing w:after="0" w:line="150" w:lineRule="exact"/>
        <w:rPr>
          <w:rFonts w:ascii="Arial" w:cs="Arial" w:eastAsia="Arial" w:hAnsi="Arial"/>
          <w:sz w:val="16"/>
          <w:szCs w:val="16"/>
          <w:color w:val="auto"/>
        </w:rPr>
      </w:pPr>
    </w:p>
    <w:p>
      <w:pPr>
        <w:ind w:left="880" w:hanging="298"/>
        <w:spacing w:after="0"/>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Short sales of the Company’s securities.</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Use of the Company’s securities to secure a margin or other loan, except in limited cases with the prior approval of the Policy Administrator.</w:t>
      </w:r>
    </w:p>
    <w:p>
      <w:pPr>
        <w:spacing w:after="0" w:line="205" w:lineRule="exact"/>
        <w:rPr>
          <w:rFonts w:ascii="Arial" w:cs="Arial" w:eastAsia="Arial" w:hAnsi="Arial"/>
          <w:sz w:val="16"/>
          <w:szCs w:val="16"/>
          <w:color w:val="auto"/>
        </w:rPr>
      </w:pPr>
    </w:p>
    <w:p>
      <w:pPr>
        <w:ind w:left="880" w:hanging="298"/>
        <w:spacing w:after="0"/>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Transactions in straddles, collars, or other similar risk reduction devices, except in limited cases with the prior approval of the Policy Administrator.</w:t>
      </w:r>
    </w:p>
    <w:p>
      <w:pPr>
        <w:spacing w:after="0" w:line="205" w:lineRule="exact"/>
        <w:rPr>
          <w:rFonts w:ascii="Arial" w:cs="Arial" w:eastAsia="Arial" w:hAnsi="Arial"/>
          <w:sz w:val="16"/>
          <w:szCs w:val="16"/>
          <w:color w:val="auto"/>
        </w:rPr>
      </w:pPr>
    </w:p>
    <w:p>
      <w:pPr>
        <w:ind w:left="880" w:right="20" w:hanging="298"/>
        <w:spacing w:after="0" w:line="283" w:lineRule="auto"/>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Transactions in publicly-traded options relating to the Company’s securities (i.e., options that are not granted by the Company), except in limited cases with the prior approval of the Policy Administrator.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Trading Blackouts Applicable to all Company Personnel</w:t>
      </w:r>
    </w:p>
    <w:p>
      <w:pPr>
        <w:spacing w:after="0" w:line="206" w:lineRule="exact"/>
        <w:rPr>
          <w:sz w:val="20"/>
          <w:szCs w:val="20"/>
          <w:color w:val="auto"/>
        </w:rPr>
      </w:pPr>
    </w:p>
    <w:p>
      <w:pPr>
        <w:ind w:firstLine="584"/>
        <w:spacing w:after="0" w:line="358" w:lineRule="auto"/>
        <w:rPr>
          <w:sz w:val="20"/>
          <w:szCs w:val="20"/>
          <w:color w:val="auto"/>
        </w:rPr>
      </w:pPr>
      <w:r>
        <w:rPr>
          <w:rFonts w:ascii="Arial" w:cs="Arial" w:eastAsia="Arial" w:hAnsi="Arial"/>
          <w:sz w:val="14"/>
          <w:szCs w:val="14"/>
          <w:color w:val="auto"/>
        </w:rPr>
        <w:t>While it is never permissible to trade based on material non-public information, we are implementing procedures to help prevent inadvertent violations and avoid even the appearance of an improper transaction (which could result, for example, where Company personnel engage in a trade while unaware of a pending major development).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278" w:name="page279"/>
    <w:bookmarkEnd w:id="278"/>
    <w:p>
      <w:pPr>
        <w:ind w:left="580"/>
        <w:spacing w:after="0"/>
        <w:rPr>
          <w:sz w:val="20"/>
          <w:szCs w:val="20"/>
          <w:color w:val="auto"/>
        </w:rPr>
      </w:pPr>
      <w:r>
        <w:rPr>
          <w:rFonts w:ascii="Arial" w:cs="Arial" w:eastAsia="Arial" w:hAnsi="Arial"/>
          <w:sz w:val="16"/>
          <w:szCs w:val="16"/>
          <w:b w:val="1"/>
          <w:bCs w:val="1"/>
          <w:i w:val="1"/>
          <w:iCs w:val="1"/>
          <w:color w:val="auto"/>
        </w:rPr>
        <w:t xml:space="preserve">Prohibited Periods for Trading. </w:t>
      </w:r>
      <w:r>
        <w:rPr>
          <w:rFonts w:ascii="Arial" w:cs="Arial" w:eastAsia="Arial" w:hAnsi="Arial"/>
          <w:sz w:val="16"/>
          <w:szCs w:val="16"/>
          <w:color w:val="auto"/>
        </w:rPr>
        <w:t>No person to whom this Policy is applicable may trade in the Company’s securities during the following periods:</w:t>
      </w:r>
    </w:p>
    <w:p>
      <w:pPr>
        <w:spacing w:after="0" w:line="204" w:lineRule="exact"/>
        <w:rPr>
          <w:sz w:val="20"/>
          <w:szCs w:val="20"/>
          <w:color w:val="auto"/>
        </w:rPr>
      </w:pPr>
    </w:p>
    <w:p>
      <w:pPr>
        <w:ind w:left="880" w:right="20" w:hanging="298"/>
        <w:spacing w:after="0" w:line="221" w:lineRule="auto"/>
        <w:tabs>
          <w:tab w:leader="none" w:pos="8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periods starting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close of each fiscal quarter and ending at the beginning of the second business day after the release of the Company’s financial results for each quarter and, in the case of the fourth quarter, financial results for the year end; and</w:t>
      </w:r>
    </w:p>
    <w:p>
      <w:pPr>
        <w:spacing w:after="0" w:line="183" w:lineRule="exact"/>
        <w:rPr>
          <w:rFonts w:ascii="Arial" w:cs="Arial" w:eastAsia="Arial" w:hAnsi="Arial"/>
          <w:sz w:val="16"/>
          <w:szCs w:val="16"/>
          <w:color w:val="auto"/>
        </w:rPr>
      </w:pPr>
    </w:p>
    <w:p>
      <w:pPr>
        <w:ind w:left="880" w:right="20" w:hanging="298"/>
        <w:spacing w:after="0" w:line="283" w:lineRule="auto"/>
        <w:tabs>
          <w:tab w:leader="none" w:pos="8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any other periods as determined by the Company. You will be notified by e-mail when you may not trade in the Company’s securities during such periods, and you will also be notified when trading restrictions are lifted.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There are no restrictions on exercising options </w:t>
      </w:r>
      <w:r>
        <w:rPr>
          <w:rFonts w:ascii="Arial" w:cs="Arial" w:eastAsia="Arial" w:hAnsi="Arial"/>
          <w:sz w:val="15"/>
          <w:szCs w:val="15"/>
          <w:b w:val="1"/>
          <w:bCs w:val="1"/>
          <w:color w:val="auto"/>
        </w:rPr>
        <w:t>without a sale</w:t>
      </w:r>
      <w:r>
        <w:rPr>
          <w:rFonts w:ascii="Arial" w:cs="Arial" w:eastAsia="Arial" w:hAnsi="Arial"/>
          <w:sz w:val="15"/>
          <w:szCs w:val="15"/>
          <w:color w:val="auto"/>
        </w:rPr>
        <w:t xml:space="preserve">. </w:t>
      </w:r>
      <w:r>
        <w:rPr>
          <w:rFonts w:ascii="Arial" w:cs="Arial" w:eastAsia="Arial" w:hAnsi="Arial"/>
          <w:sz w:val="15"/>
          <w:szCs w:val="15"/>
          <w:b w:val="1"/>
          <w:bCs w:val="1"/>
          <w:color w:val="auto"/>
        </w:rPr>
        <w:t>Selling</w:t>
      </w:r>
      <w:r>
        <w:rPr>
          <w:rFonts w:ascii="Arial" w:cs="Arial" w:eastAsia="Arial" w:hAnsi="Arial"/>
          <w:sz w:val="15"/>
          <w:szCs w:val="15"/>
          <w:color w:val="auto"/>
        </w:rPr>
        <w:t xml:space="preserve"> the shares held as a result of exercising options is subject to the restrictions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Pre-Clearance of Trades</w:t>
      </w:r>
    </w:p>
    <w:p>
      <w:pPr>
        <w:spacing w:after="0" w:line="206"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5"/>
          <w:szCs w:val="15"/>
          <w:color w:val="auto"/>
        </w:rPr>
        <w:t>In order to ensure and maintain compliance with this Policy, all transactions in the Company’s securities (acquisitions, dispositions, transfers, etc.), including the execution of Trading Plans (as defined below), by directors, members of Executive Management, financial team members and designated employees must be pre-cleared in advance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reasonable best efforts to provide approval or disapproval as soon as practicable.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after receiving the pre-clearance but prior to the execution of the transaction, you may not execute the transaction.</w:t>
      </w:r>
    </w:p>
    <w:p>
      <w:pPr>
        <w:spacing w:after="0" w:line="157" w:lineRule="exact"/>
        <w:rPr>
          <w:sz w:val="20"/>
          <w:szCs w:val="20"/>
          <w:color w:val="auto"/>
        </w:rPr>
      </w:pPr>
    </w:p>
    <w:p>
      <w:pPr>
        <w:jc w:val="both"/>
        <w:ind w:right="20" w:firstLine="584"/>
        <w:spacing w:after="0" w:line="288" w:lineRule="auto"/>
        <w:rPr>
          <w:sz w:val="20"/>
          <w:szCs w:val="20"/>
          <w:color w:val="auto"/>
        </w:rPr>
      </w:pPr>
      <w:r>
        <w:rPr>
          <w:rFonts w:ascii="Arial" w:cs="Arial" w:eastAsia="Arial" w:hAnsi="Arial"/>
          <w:sz w:val="16"/>
          <w:szCs w:val="16"/>
          <w:b w:val="1"/>
          <w:bCs w:val="1"/>
          <w:color w:val="auto"/>
        </w:rPr>
        <w:t>Please note that such pre-clearance does not provide the insider with immunity from investigation or suit; it is the responsibility of the individual to comply with the applicable securities laws and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Exception for Trading Plans</w:t>
      </w:r>
    </w:p>
    <w:p>
      <w:pPr>
        <w:spacing w:after="0" w:line="206" w:lineRule="exact"/>
        <w:rPr>
          <w:sz w:val="20"/>
          <w:szCs w:val="20"/>
          <w:color w:val="auto"/>
        </w:rPr>
      </w:pPr>
    </w:p>
    <w:p>
      <w:pPr>
        <w:jc w:val="both"/>
        <w:ind w:right="20" w:firstLine="584"/>
        <w:spacing w:after="0" w:line="261" w:lineRule="auto"/>
        <w:rPr>
          <w:sz w:val="20"/>
          <w:szCs w:val="20"/>
          <w:color w:val="auto"/>
        </w:rPr>
      </w:pPr>
      <w:r>
        <w:rPr>
          <w:rFonts w:ascii="Arial" w:cs="Arial" w:eastAsia="Arial" w:hAnsi="Arial"/>
          <w:sz w:val="16"/>
          <w:szCs w:val="16"/>
          <w:color w:val="auto"/>
        </w:rPr>
        <w:t>Notwithstanding the restrictions and prohibitions on trading in the Company securities as set forth in this Policy, persons subject to this Policy are permitted to effect transactions in Company securities pursuant to approved trading plans established under Rule 10b5-1 under the Securities Exchange Act of 1934 (“Trading Plans”), including transactions during the prohibited periods discussed above. Rule 10b5-1 requires that these transactions be made pursuant to a plan that was established while the person was not in possession of material non-public information. In order to comply with this Policy, the Company must pre-approve any such Trading Plan prior to its effectiveness. Company personnel seeking to establish a Trading Plan should contact the Policy Administrator.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Application of this Policy to Persons Who Cease to be Associated with the Company</w:t>
      </w:r>
    </w:p>
    <w:p>
      <w:pPr>
        <w:spacing w:after="0" w:line="206" w:lineRule="exact"/>
        <w:rPr>
          <w:sz w:val="20"/>
          <w:szCs w:val="20"/>
          <w:color w:val="auto"/>
        </w:rPr>
      </w:pPr>
    </w:p>
    <w:p>
      <w:pPr>
        <w:jc w:val="both"/>
        <w:ind w:right="20" w:firstLine="584"/>
        <w:spacing w:after="0" w:line="268" w:lineRule="auto"/>
        <w:rPr>
          <w:sz w:val="20"/>
          <w:szCs w:val="20"/>
          <w:color w:val="auto"/>
        </w:rPr>
      </w:pPr>
      <w:r>
        <w:rPr>
          <w:rFonts w:ascii="Arial" w:cs="Arial" w:eastAsia="Arial" w:hAnsi="Arial"/>
          <w:sz w:val="16"/>
          <w:szCs w:val="16"/>
          <w:color w:val="auto"/>
        </w:rPr>
        <w:t>The laws against insider trading continue to apply to anyone who has material non-public information about the Company. Therefore, even if an individual ceases to be employed by or associated with the Company, that person is prohibited by law from trading any securities of the Company for so long as he or she possesses material non-public information.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279" w:name="page280"/>
    <w:bookmarkEnd w:id="279"/>
    <w:p>
      <w:pPr>
        <w:spacing w:after="0"/>
        <w:rPr>
          <w:sz w:val="20"/>
          <w:szCs w:val="20"/>
          <w:color w:val="auto"/>
        </w:rPr>
      </w:pPr>
      <w:r>
        <w:rPr>
          <w:rFonts w:ascii="Arial" w:cs="Arial" w:eastAsia="Arial" w:hAnsi="Arial"/>
          <w:sz w:val="16"/>
          <w:szCs w:val="16"/>
          <w:b w:val="1"/>
          <w:bCs w:val="1"/>
          <w:i w:val="1"/>
          <w:iCs w:val="1"/>
          <w:color w:val="auto"/>
        </w:rPr>
        <w:t>Company Assistance</w:t>
      </w:r>
    </w:p>
    <w:p>
      <w:pPr>
        <w:spacing w:after="0" w:line="206" w:lineRule="exact"/>
        <w:rPr>
          <w:sz w:val="20"/>
          <w:szCs w:val="20"/>
          <w:color w:val="auto"/>
        </w:rPr>
      </w:pPr>
    </w:p>
    <w:p>
      <w:pPr>
        <w:jc w:val="both"/>
        <w:ind w:right="20" w:firstLine="584"/>
        <w:spacing w:after="0" w:line="268" w:lineRule="auto"/>
        <w:rPr>
          <w:sz w:val="20"/>
          <w:szCs w:val="20"/>
          <w:color w:val="auto"/>
        </w:rPr>
      </w:pPr>
      <w:r>
        <w:rPr>
          <w:rFonts w:ascii="Arial" w:cs="Arial" w:eastAsia="Arial" w:hAnsi="Arial"/>
          <w:sz w:val="16"/>
          <w:szCs w:val="16"/>
          <w:color w:val="auto"/>
        </w:rPr>
        <w:t>Any person who has any questions about specific transactions or this Policy in general may obtain additional guidance from the Policy Administrator. Remember, however, the ultimate responsibility for adhering to the Policy and avoiding improper transactions rests with you. In this regard, it is imperative that you use your best judgment.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Certifications</w:t>
      </w:r>
    </w:p>
    <w:p>
      <w:pPr>
        <w:spacing w:after="0" w:line="206"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color w:val="auto"/>
        </w:rPr>
        <w:t>As a condition to continuing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0"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color w:val="auto"/>
        </w:rPr>
        <w:t>The undersigned hereby certifies that he/she has read and understands, and agrees to comply with, the Company’s Statement of Company Policy regarding Securities Trades by Company Personnel, a copy of which was distributed with this Certification.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Arial" w:cs="Arial" w:eastAsia="Arial" w:hAnsi="Arial"/>
                <w:sz w:val="16"/>
                <w:szCs w:val="16"/>
                <w:color w:val="auto"/>
              </w:rPr>
              <w:t>Date: __________________________</w:t>
            </w:r>
          </w:p>
        </w:tc>
        <w:tc>
          <w:tcPr>
            <w:tcW w:w="7380" w:type="dxa"/>
            <w:vAlign w:val="bottom"/>
          </w:tcPr>
          <w:p>
            <w:pPr>
              <w:ind w:left="1660"/>
              <w:spacing w:after="0"/>
              <w:rPr>
                <w:sz w:val="20"/>
                <w:szCs w:val="20"/>
                <w:color w:val="auto"/>
              </w:rPr>
            </w:pPr>
            <w:r>
              <w:rPr>
                <w:rFonts w:ascii="Arial" w:cs="Arial" w:eastAsia="Arial" w:hAnsi="Arial"/>
                <w:sz w:val="16"/>
                <w:szCs w:val="16"/>
                <w:color w:val="auto"/>
              </w:rPr>
              <w:t>Signature ________________________</w:t>
            </w:r>
          </w:p>
        </w:tc>
      </w:tr>
      <w:tr>
        <w:trPr>
          <w:trHeight w:val="378"/>
        </w:trPr>
        <w:tc>
          <w:tcPr>
            <w:tcW w:w="4060" w:type="dxa"/>
            <w:vAlign w:val="bottom"/>
          </w:tcPr>
          <w:p>
            <w:pPr>
              <w:spacing w:after="0"/>
              <w:rPr>
                <w:sz w:val="24"/>
                <w:szCs w:val="24"/>
                <w:color w:val="auto"/>
              </w:rPr>
            </w:pPr>
          </w:p>
        </w:tc>
        <w:tc>
          <w:tcPr>
            <w:tcW w:w="7380" w:type="dxa"/>
            <w:vAlign w:val="bottom"/>
          </w:tcPr>
          <w:p>
            <w:pPr>
              <w:ind w:left="1660"/>
              <w:spacing w:after="0"/>
              <w:rPr>
                <w:sz w:val="20"/>
                <w:szCs w:val="20"/>
                <w:color w:val="auto"/>
              </w:rPr>
            </w:pPr>
            <w:r>
              <w:rPr>
                <w:rFonts w:ascii="Arial" w:cs="Arial" w:eastAsia="Arial" w:hAnsi="Arial"/>
                <w:sz w:val="16"/>
                <w:szCs w:val="16"/>
                <w:color w:val="auto"/>
              </w:rPr>
              <w:t>Name: ____________________________</w:t>
            </w:r>
          </w:p>
        </w:tc>
      </w:tr>
      <w:tr>
        <w:trPr>
          <w:trHeight w:val="207"/>
        </w:trPr>
        <w:tc>
          <w:tcPr>
            <w:tcW w:w="4060" w:type="dxa"/>
            <w:vAlign w:val="bottom"/>
          </w:tcPr>
          <w:p>
            <w:pPr>
              <w:spacing w:after="0"/>
              <w:rPr>
                <w:sz w:val="17"/>
                <w:szCs w:val="17"/>
                <w:color w:val="auto"/>
              </w:rPr>
            </w:pPr>
          </w:p>
        </w:tc>
        <w:tc>
          <w:tcPr>
            <w:tcW w:w="7380" w:type="dxa"/>
            <w:vAlign w:val="bottom"/>
          </w:tcPr>
          <w:p>
            <w:pPr>
              <w:ind w:left="2400"/>
              <w:spacing w:after="0"/>
              <w:rPr>
                <w:sz w:val="20"/>
                <w:szCs w:val="20"/>
                <w:color w:val="auto"/>
              </w:rPr>
            </w:pPr>
            <w:r>
              <w:rPr>
                <w:rFonts w:ascii="Arial" w:cs="Arial" w:eastAsia="Arial" w:hAnsi="Arial"/>
                <w:sz w:val="16"/>
                <w:szCs w:val="16"/>
                <w:color w:val="auto"/>
              </w:rPr>
              <w:t>(Please Print)</w:t>
            </w:r>
          </w:p>
        </w:tc>
      </w:tr>
      <w:tr>
        <w:trPr>
          <w:trHeight w:val="390"/>
        </w:trPr>
        <w:tc>
          <w:tcPr>
            <w:tcW w:w="4060" w:type="dxa"/>
            <w:vAlign w:val="bottom"/>
          </w:tcPr>
          <w:p>
            <w:pPr>
              <w:spacing w:after="0"/>
              <w:rPr>
                <w:sz w:val="24"/>
                <w:szCs w:val="24"/>
                <w:color w:val="auto"/>
              </w:rPr>
            </w:pPr>
          </w:p>
        </w:tc>
        <w:tc>
          <w:tcPr>
            <w:tcW w:w="7380" w:type="dxa"/>
            <w:vAlign w:val="bottom"/>
          </w:tcPr>
          <w:p>
            <w:pPr>
              <w:jc w:val="right"/>
              <w:ind w:right="5559"/>
              <w:spacing w:after="0"/>
              <w:rPr>
                <w:sz w:val="20"/>
                <w:szCs w:val="20"/>
                <w:color w:val="auto"/>
              </w:rPr>
            </w:pPr>
            <w:r>
              <w:rPr>
                <w:rFonts w:ascii="Arial" w:cs="Arial" w:eastAsia="Arial" w:hAnsi="Arial"/>
                <w:sz w:val="16"/>
                <w:szCs w:val="16"/>
                <w:color w:val="auto"/>
              </w:rPr>
              <w:t>26</w:t>
            </w:r>
          </w:p>
        </w:tc>
      </w:tr>
      <w:tr>
        <w:trPr>
          <w:trHeight w:val="106"/>
        </w:trPr>
        <w:tc>
          <w:tcPr>
            <w:tcW w:w="4060" w:type="dxa"/>
            <w:vAlign w:val="bottom"/>
            <w:tcBorders>
              <w:bottom w:val="single" w:sz="8" w:color="808080"/>
            </w:tcBorders>
          </w:tcPr>
          <w:p>
            <w:pPr>
              <w:spacing w:after="0"/>
              <w:rPr>
                <w:sz w:val="9"/>
                <w:szCs w:val="9"/>
                <w:color w:val="auto"/>
              </w:rPr>
            </w:pPr>
          </w:p>
        </w:tc>
        <w:tc>
          <w:tcPr>
            <w:tcW w:w="73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-27305</wp:posOffset>
            </wp:positionV>
            <wp:extent cx="12700"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-27305</wp:posOffset>
            </wp:positionV>
            <wp:extent cx="12700"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280" w:name="page281"/>
    <w:bookmarkEnd w:id="280"/>
    <w:p>
      <w:pPr>
        <w:ind w:left="5380"/>
        <w:spacing w:after="0"/>
        <w:rPr>
          <w:sz w:val="20"/>
          <w:szCs w:val="20"/>
          <w:color w:val="auto"/>
        </w:rPr>
      </w:pPr>
      <w:r>
        <w:rPr>
          <w:rFonts w:ascii="Arial" w:cs="Arial" w:eastAsia="Arial" w:hAnsi="Arial"/>
          <w:sz w:val="16"/>
          <w:szCs w:val="16"/>
          <w:b w:val="1"/>
          <w:bCs w:val="1"/>
          <w:color w:val="auto"/>
        </w:rPr>
        <w:t>Exhibit F</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BIOLINERX LTD.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Intra-Organizational Enforcement Plan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and in accordance with the Law for the Improvement of Internal Enforcement Proceedings in the Israel Securities Authority, 5770-2010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This plan was approved by the Board of Directors of the Company on December 22, 2012 and has been updated as of October 2013.</w:t>
      </w:r>
    </w:p>
    <w:p>
      <w:pPr>
        <w:spacing w:after="0" w:line="20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240"/>
          </w:cols>
          <w:pgMar w:left="240" w:top="318" w:right="1419" w:bottom="1440" w:gutter="0" w:footer="0" w:header="0"/>
        </w:sectPr>
      </w:pPr>
    </w:p>
    <w:bookmarkStart w:id="281" w:name="page282"/>
    <w:bookmarkEnd w:id="281"/>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Contents</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Senior officer declaration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 on an administrative enforcement plan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 and division of functions and responsibility</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Guiding principles/issues addressed</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 an internal enforcement officer</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Contact and reporting</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Sanctions in events of violations and failure to report</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Findings of mapping of the existing situation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Relevant procedures</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Assimilation plan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Annex A</w:t>
      </w:r>
    </w:p>
    <w:p>
      <w:pPr>
        <w:spacing w:after="0" w:line="210"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222"/>
          </w:cols>
          <w:pgMar w:left="237" w:top="318" w:right="1440" w:bottom="1440" w:gutter="0" w:footer="0" w:header="0"/>
        </w:sectPr>
      </w:pPr>
    </w:p>
    <w:bookmarkStart w:id="282" w:name="page283"/>
    <w:bookmarkEnd w:id="282"/>
    <w:p>
      <w:pPr>
        <w:ind w:left="583" w:hanging="583"/>
        <w:spacing w:after="0"/>
        <w:tabs>
          <w:tab w:leader="none" w:pos="583"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Senior officer declaration</w:t>
      </w:r>
    </w:p>
    <w:p>
      <w:pPr>
        <w:spacing w:after="0" w:line="205" w:lineRule="exact"/>
        <w:rPr>
          <w:rFonts w:ascii="Arial" w:cs="Arial" w:eastAsia="Arial" w:hAnsi="Arial"/>
          <w:sz w:val="16"/>
          <w:szCs w:val="16"/>
          <w:b w:val="1"/>
          <w:bCs w:val="1"/>
          <w:color w:val="auto"/>
        </w:rPr>
      </w:pPr>
    </w:p>
    <w:p>
      <w:pPr>
        <w:ind w:left="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w:t>
      </w:r>
      <w:r>
        <w:rPr>
          <w:rFonts w:ascii="Arial" w:cs="Arial" w:eastAsia="Arial" w:hAnsi="Arial"/>
          <w:sz w:val="14"/>
          <w:szCs w:val="14"/>
          <w:b w:val="1"/>
          <w:bCs w:val="1"/>
          <w:color w:val="auto"/>
        </w:rPr>
        <w:t>CEO’s message</w:t>
      </w:r>
    </w:p>
    <w:p>
      <w:pPr>
        <w:spacing w:after="0" w:line="210" w:lineRule="exact"/>
        <w:rPr>
          <w:sz w:val="20"/>
          <w:szCs w:val="20"/>
          <w:color w:val="auto"/>
        </w:rPr>
      </w:pPr>
    </w:p>
    <w:p>
      <w:pPr>
        <w:jc w:val="both"/>
        <w:ind w:left="3"/>
        <w:spacing w:after="0" w:line="263" w:lineRule="auto"/>
        <w:rPr>
          <w:sz w:val="20"/>
          <w:szCs w:val="20"/>
          <w:color w:val="auto"/>
        </w:rPr>
      </w:pPr>
      <w:r>
        <w:rPr>
          <w:rFonts w:ascii="Arial" w:cs="Arial" w:eastAsia="Arial" w:hAnsi="Arial"/>
          <w:sz w:val="16"/>
          <w:szCs w:val="16"/>
          <w:color w:val="auto"/>
        </w:rPr>
        <w:t>The status of BioLineRx as a public company confers on it both advantages and responsibility. The main market for trading the Company’s shares is the Tel Aviv Stock Exchange. Therefore, we are subject to the Israeli Securities Law and the enforcement thereof by the Israel Securities Authority (“ISA”). When the ISA learns of breaches of the law, it has the power to sue companies and individuals in criminal proceedings and (after amendments to the law from 2011) to impose fines and other sanctions without the need to apply to the courts.</w:t>
      </w:r>
    </w:p>
    <w:p>
      <w:pPr>
        <w:spacing w:after="0" w:line="168" w:lineRule="exact"/>
        <w:rPr>
          <w:sz w:val="20"/>
          <w:szCs w:val="20"/>
          <w:color w:val="auto"/>
        </w:rPr>
      </w:pPr>
    </w:p>
    <w:p>
      <w:pPr>
        <w:jc w:val="both"/>
        <w:ind w:left="3"/>
        <w:spacing w:after="0" w:line="268" w:lineRule="auto"/>
        <w:rPr>
          <w:sz w:val="20"/>
          <w:szCs w:val="20"/>
          <w:color w:val="auto"/>
        </w:rPr>
      </w:pPr>
      <w:r>
        <w:rPr>
          <w:rFonts w:ascii="Arial" w:cs="Arial" w:eastAsia="Arial" w:hAnsi="Arial"/>
          <w:sz w:val="16"/>
          <w:szCs w:val="16"/>
          <w:color w:val="auto"/>
        </w:rPr>
        <w:t>The administrative enforcement plan is intended to help us comply with the law, to correctly address violations and to demonstrate to the ISA that we treat seriously anything that is related to the offering of our shares. Understanding the plan and enforcing it in day-to-day life provides a solid basis for the investors’ trust in particular and for the Company’s public reputation in general.</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color w:val="auto"/>
        </w:rPr>
        <w:t>Similarly to our code of business and ethics, this plan is intended for each and every Company employee, manager and Board member.</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I request and expect your personal commitment to the enforcement of the procedure and full cooperation in its application.</w:t>
      </w:r>
    </w:p>
    <w:p>
      <w:pPr>
        <w:spacing w:after="0" w:line="206" w:lineRule="exact"/>
        <w:rPr>
          <w:sz w:val="20"/>
          <w:szCs w:val="20"/>
          <w:color w:val="auto"/>
        </w:rPr>
      </w:pPr>
    </w:p>
    <w:p>
      <w:pPr>
        <w:jc w:val="both"/>
        <w:ind w:left="3"/>
        <w:spacing w:after="0" w:line="283" w:lineRule="auto"/>
        <w:rPr>
          <w:sz w:val="20"/>
          <w:szCs w:val="20"/>
          <w:color w:val="auto"/>
        </w:rPr>
      </w:pPr>
      <w:r>
        <w:rPr>
          <w:rFonts w:ascii="Arial" w:cs="Arial" w:eastAsia="Arial" w:hAnsi="Arial"/>
          <w:sz w:val="16"/>
          <w:szCs w:val="16"/>
          <w:color w:val="auto"/>
        </w:rPr>
        <w:t>This procedure is a living procedure which may change from time to time pursuant to relevant laws and regulations and according to the lessons learned during the assimilation of the plan.</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I trust each and every one of you to comply with both the written plan and its spirit.</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Dr. Kinneret Savitsky</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color w:val="auto"/>
        </w:rPr>
        <w:t>CEO</w:t>
      </w:r>
    </w:p>
    <w:p>
      <w:pPr>
        <w:spacing w:after="0" w:line="19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3"/>
          </w:cols>
          <w:pgMar w:left="237" w:top="318" w:right="239" w:bottom="1440" w:gutter="0" w:footer="0" w:header="0"/>
        </w:sectPr>
      </w:pPr>
    </w:p>
    <w:bookmarkStart w:id="283" w:name="page284"/>
    <w:bookmarkEnd w:id="283"/>
    <w:p>
      <w:pPr>
        <w:ind w:left="583" w:hanging="583"/>
        <w:spacing w:after="0"/>
        <w:tabs>
          <w:tab w:leader="none" w:pos="583"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 on an administrative enforcement plan</w:t>
      </w:r>
    </w:p>
    <w:p>
      <w:pPr>
        <w:spacing w:after="0" w:line="206"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Improvement of Internal Enforcement Proceedings in the ISA Law, 5770-2010</w:t>
      </w:r>
    </w:p>
    <w:p>
      <w:pPr>
        <w:spacing w:after="0" w:line="206" w:lineRule="exact"/>
        <w:rPr>
          <w:sz w:val="20"/>
          <w:szCs w:val="20"/>
          <w:color w:val="auto"/>
        </w:rPr>
      </w:pPr>
    </w:p>
    <w:p>
      <w:pPr>
        <w:jc w:val="both"/>
        <w:ind w:left="3"/>
        <w:spacing w:after="0" w:line="262" w:lineRule="auto"/>
        <w:rPr>
          <w:sz w:val="20"/>
          <w:szCs w:val="20"/>
          <w:color w:val="auto"/>
        </w:rPr>
      </w:pPr>
      <w:r>
        <w:rPr>
          <w:rFonts w:ascii="Arial" w:cs="Arial" w:eastAsia="Arial" w:hAnsi="Arial"/>
          <w:sz w:val="16"/>
          <w:szCs w:val="16"/>
          <w:color w:val="auto"/>
        </w:rPr>
        <w:t>The Law for the Improvement of Internal Enforcement Proceedings in the Israel Securities Authority, 5770-2010 (the “</w:t>
      </w:r>
      <w:r>
        <w:rPr>
          <w:rFonts w:ascii="Arial" w:cs="Arial" w:eastAsia="Arial" w:hAnsi="Arial"/>
          <w:sz w:val="16"/>
          <w:szCs w:val="16"/>
          <w:b w:val="1"/>
          <w:bCs w:val="1"/>
          <w:color w:val="auto"/>
        </w:rPr>
        <w:t>Law</w:t>
      </w:r>
      <w:r>
        <w:rPr>
          <w:rFonts w:ascii="Arial" w:cs="Arial" w:eastAsia="Arial" w:hAnsi="Arial"/>
          <w:sz w:val="16"/>
          <w:szCs w:val="16"/>
          <w:color w:val="auto"/>
        </w:rPr>
        <w:t>”), which was approved by the Knesset in January 2011, constitutes a significant change that requires reporting companies to immediately address the requirements of the new Law. The main parts of the Law regulate the establishment of an administrative committee that will deal with violations in the area of securities. If the committee reaches the conclusion that it was proven at the level of proof which is customary in civil law (a probability of more than 50%) that a violation was committed, it will be authorized to institute various means of enforcement against the violating party.</w:t>
      </w:r>
    </w:p>
    <w:p>
      <w:pPr>
        <w:spacing w:after="0" w:line="165"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6"/>
          <w:szCs w:val="16"/>
          <w:color w:val="auto"/>
        </w:rPr>
        <w:t>The committee will deal with various violations that are related to the Securities Law, 5728-1968 (the “</w:t>
      </w:r>
      <w:r>
        <w:rPr>
          <w:rFonts w:ascii="Arial" w:cs="Arial" w:eastAsia="Arial" w:hAnsi="Arial"/>
          <w:sz w:val="16"/>
          <w:szCs w:val="16"/>
          <w:b w:val="1"/>
          <w:bCs w:val="1"/>
          <w:color w:val="auto"/>
        </w:rPr>
        <w:t>Securities Law</w:t>
      </w:r>
      <w:r>
        <w:rPr>
          <w:rFonts w:ascii="Arial" w:cs="Arial" w:eastAsia="Arial" w:hAnsi="Arial"/>
          <w:sz w:val="16"/>
          <w:szCs w:val="16"/>
          <w:color w:val="auto"/>
        </w:rPr>
        <w:t xml:space="preserve">”) and other relevant laws. The common feature of such violations is that the </w:t>
      </w:r>
      <w:r>
        <w:rPr>
          <w:rFonts w:ascii="Arial" w:cs="Arial" w:eastAsia="Arial" w:hAnsi="Arial"/>
          <w:sz w:val="16"/>
          <w:szCs w:val="16"/>
          <w:i w:val="1"/>
          <w:iCs w:val="1"/>
          <w:color w:val="auto"/>
        </w:rPr>
        <w:t>mens rea</w:t>
      </w:r>
      <w:r>
        <w:rPr>
          <w:rFonts w:ascii="Arial" w:cs="Arial" w:eastAsia="Arial" w:hAnsi="Arial"/>
          <w:sz w:val="16"/>
          <w:szCs w:val="16"/>
          <w:color w:val="auto"/>
        </w:rPr>
        <w:t xml:space="preserve"> that is set forth therein is at most that of negligence</w:t>
      </w:r>
      <w:r>
        <w:rPr>
          <w:rFonts w:ascii="Arial" w:cs="Arial" w:eastAsia="Arial" w:hAnsi="Arial"/>
          <w:sz w:val="16"/>
          <w:szCs w:val="16"/>
          <w:i w:val="1"/>
          <w:iCs w:val="1"/>
          <w:color w:val="auto"/>
        </w:rPr>
        <w:t>.</w:t>
      </w:r>
    </w:p>
    <w:p>
      <w:pPr>
        <w:spacing w:after="0" w:line="147" w:lineRule="exact"/>
        <w:rPr>
          <w:sz w:val="20"/>
          <w:szCs w:val="20"/>
          <w:color w:val="auto"/>
        </w:rPr>
      </w:pPr>
    </w:p>
    <w:p>
      <w:pPr>
        <w:jc w:val="both"/>
        <w:ind w:left="3" w:right="20"/>
        <w:spacing w:after="0" w:line="268" w:lineRule="auto"/>
        <w:rPr>
          <w:sz w:val="20"/>
          <w:szCs w:val="20"/>
          <w:color w:val="auto"/>
        </w:rPr>
      </w:pPr>
      <w:r>
        <w:rPr>
          <w:rFonts w:ascii="Arial" w:cs="Arial" w:eastAsia="Arial" w:hAnsi="Arial"/>
          <w:sz w:val="16"/>
          <w:szCs w:val="16"/>
          <w:color w:val="auto"/>
        </w:rPr>
        <w:t>The means of enforcement that the committee will be authorized to impose will be significant fines, a demand to pay damages to the party injured by the violation, a payment to the State treasury which derives from profits that were generated as a result of the violation, a demand to institute acts to remedy the violation and prevent its recurrence, a prohibition on holding office in certain bodies, a suspension or revocation of a license and suspended punishment.</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color w:val="auto"/>
        </w:rPr>
        <w:t xml:space="preserve">As is known, the Law establishes, </w:t>
      </w:r>
      <w:r>
        <w:rPr>
          <w:rFonts w:ascii="Arial" w:cs="Arial" w:eastAsia="Arial" w:hAnsi="Arial"/>
          <w:sz w:val="16"/>
          <w:szCs w:val="16"/>
          <w:i w:val="1"/>
          <w:iCs w:val="1"/>
          <w:color w:val="auto"/>
        </w:rPr>
        <w:t>inter alia</w:t>
      </w:r>
      <w:r>
        <w:rPr>
          <w:rFonts w:ascii="Arial" w:cs="Arial" w:eastAsia="Arial" w:hAnsi="Arial"/>
          <w:sz w:val="16"/>
          <w:szCs w:val="16"/>
          <w:color w:val="auto"/>
        </w:rPr>
        <w:t>, the strict responsibility of the CEO, due to which enforcement measures can be imposed as set forth in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259955" cy="12833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9955" cy="1283335"/>
                    </a:xfrm>
                    <a:prstGeom prst="rect">
                      <a:avLst/>
                    </a:prstGeom>
                    <a:noFill/>
                  </pic:spPr>
                </pic:pic>
              </a:graphicData>
            </a:graphic>
          </wp:anchor>
        </w:drawing>
      </w:r>
    </w:p>
    <w:p>
      <w:pPr>
        <w:spacing w:after="0" w:line="247" w:lineRule="exact"/>
        <w:rPr>
          <w:sz w:val="20"/>
          <w:szCs w:val="20"/>
          <w:color w:val="auto"/>
        </w:rPr>
      </w:pPr>
    </w:p>
    <w:p>
      <w:pPr>
        <w:ind w:left="723" w:right="80" w:hanging="333"/>
        <w:spacing w:after="0" w:line="318" w:lineRule="auto"/>
        <w:tabs>
          <w:tab w:leader="none" w:pos="723"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CEO of the corporation and a partner other than a limited partner, are obligated to supervise and institute any and all reasonable means under the circumstances of the case to prevent the commission of a violation by the corporation or partnership, as the case may be, or by any of their employees.”</w:t>
      </w:r>
    </w:p>
    <w:p>
      <w:pPr>
        <w:spacing w:after="0" w:line="5" w:lineRule="exact"/>
        <w:rPr>
          <w:rFonts w:ascii="Arial" w:cs="Arial" w:eastAsia="Arial" w:hAnsi="Arial"/>
          <w:sz w:val="15"/>
          <w:szCs w:val="15"/>
          <w:color w:val="auto"/>
        </w:rPr>
      </w:pPr>
    </w:p>
    <w:p>
      <w:pPr>
        <w:jc w:val="both"/>
        <w:ind w:left="723" w:right="60" w:hanging="333"/>
        <w:spacing w:after="0" w:line="268" w:lineRule="auto"/>
        <w:tabs>
          <w:tab w:leader="none" w:pos="72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If a violation is committed the presumption is that the CEO of the corporation or a partner other than a limited partner in the partnership, as the case may be, has breached his obligation pursuant to Subsection (a) </w:t>
      </w:r>
      <w:r>
        <w:rPr>
          <w:rFonts w:ascii="Arial" w:cs="Arial" w:eastAsia="Arial" w:hAnsi="Arial"/>
          <w:sz w:val="16"/>
          <w:szCs w:val="16"/>
          <w:b w:val="1"/>
          <w:bCs w:val="1"/>
          <w:color w:val="auto"/>
        </w:rPr>
        <w:t>and may be subject to one or more of the means of enforcement</w:t>
      </w:r>
      <w:r>
        <w:rPr>
          <w:rFonts w:ascii="Arial" w:cs="Arial" w:eastAsia="Arial" w:hAnsi="Arial"/>
          <w:sz w:val="16"/>
          <w:szCs w:val="16"/>
          <w:color w:val="auto"/>
        </w:rPr>
        <w:t xml:space="preserve"> as specified below…</w:t>
      </w:r>
      <w:r>
        <w:rPr>
          <w:rFonts w:ascii="Arial" w:cs="Arial" w:eastAsia="Arial" w:hAnsi="Arial"/>
          <w:sz w:val="16"/>
          <w:szCs w:val="16"/>
          <w:u w:val="single" w:color="auto"/>
          <w:color w:val="auto"/>
        </w:rPr>
        <w:t>unless he proves that he</w:t>
      </w:r>
      <w:r>
        <w:rPr>
          <w:rFonts w:ascii="Arial" w:cs="Arial" w:eastAsia="Arial" w:hAnsi="Arial"/>
          <w:sz w:val="16"/>
          <w:szCs w:val="16"/>
          <w:color w:val="auto"/>
        </w:rPr>
        <w:t xml:space="preserve"> </w:t>
      </w:r>
      <w:r>
        <w:rPr>
          <w:rFonts w:ascii="Arial" w:cs="Arial" w:eastAsia="Arial" w:hAnsi="Arial"/>
          <w:sz w:val="16"/>
          <w:szCs w:val="16"/>
          <w:u w:val="single" w:color="auto"/>
          <w:color w:val="auto"/>
        </w:rPr>
        <w:t>has fulfilled his obligation pursuant to Subsection (a)</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jc w:val="both"/>
        <w:ind w:left="723" w:right="80" w:hanging="333"/>
        <w:spacing w:after="0" w:line="265" w:lineRule="auto"/>
        <w:tabs>
          <w:tab w:leader="none" w:pos="72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If the corporation has established </w:t>
      </w:r>
      <w:r>
        <w:rPr>
          <w:rFonts w:ascii="Arial" w:cs="Arial" w:eastAsia="Arial" w:hAnsi="Arial"/>
          <w:sz w:val="16"/>
          <w:szCs w:val="16"/>
          <w:b w:val="1"/>
          <w:bCs w:val="1"/>
          <w:color w:val="auto"/>
        </w:rPr>
        <w:t>adequate procedures to prevent a violation</w:t>
      </w:r>
      <w:r>
        <w:rPr>
          <w:rFonts w:ascii="Arial" w:cs="Arial" w:eastAsia="Arial" w:hAnsi="Arial"/>
          <w:sz w:val="16"/>
          <w:szCs w:val="16"/>
          <w:color w:val="auto"/>
        </w:rPr>
        <w:t xml:space="preserve"> as provided in Subsection (b), </w:t>
      </w:r>
      <w:r>
        <w:rPr>
          <w:rFonts w:ascii="Arial" w:cs="Arial" w:eastAsia="Arial" w:hAnsi="Arial"/>
          <w:sz w:val="16"/>
          <w:szCs w:val="16"/>
          <w:b w:val="1"/>
          <w:bCs w:val="1"/>
          <w:color w:val="auto"/>
        </w:rPr>
        <w:t>appointed an officer</w:t>
      </w:r>
      <w:r>
        <w:rPr>
          <w:rFonts w:ascii="Arial" w:cs="Arial" w:eastAsia="Arial" w:hAnsi="Arial"/>
          <w:sz w:val="16"/>
          <w:szCs w:val="16"/>
          <w:color w:val="auto"/>
        </w:rPr>
        <w:t xml:space="preserve"> on its behalf to supervise the compliance therewith, including with regard to providing guidance to the corporation’s employees for the compliance therewith, and </w:t>
      </w:r>
      <w:r>
        <w:rPr>
          <w:rFonts w:ascii="Arial" w:cs="Arial" w:eastAsia="Arial" w:hAnsi="Arial"/>
          <w:sz w:val="16"/>
          <w:szCs w:val="16"/>
          <w:b w:val="1"/>
          <w:bCs w:val="1"/>
          <w:color w:val="auto"/>
        </w:rPr>
        <w:t>instituted reasonable steps</w:t>
      </w:r>
      <w:r>
        <w:rPr>
          <w:rFonts w:ascii="Arial" w:cs="Arial" w:eastAsia="Arial" w:hAnsi="Arial"/>
          <w:sz w:val="16"/>
          <w:szCs w:val="16"/>
          <w:color w:val="auto"/>
        </w:rPr>
        <w:t xml:space="preserve"> </w:t>
      </w:r>
      <w:r>
        <w:rPr>
          <w:rFonts w:ascii="Arial" w:cs="Arial" w:eastAsia="Arial" w:hAnsi="Arial"/>
          <w:sz w:val="16"/>
          <w:szCs w:val="16"/>
          <w:b w:val="1"/>
          <w:bCs w:val="1"/>
          <w:color w:val="auto"/>
        </w:rPr>
        <w:t>to remedy the violation and prevent the recurrence thereof</w:t>
      </w:r>
      <w:r>
        <w:rPr>
          <w:rFonts w:ascii="Arial" w:cs="Arial" w:eastAsia="Arial" w:hAnsi="Arial"/>
          <w:sz w:val="16"/>
          <w:szCs w:val="16"/>
          <w:color w:val="auto"/>
        </w:rPr>
        <w:t>, the presumption is that the CEO or the partner, as the case may be,</w:t>
      </w:r>
      <w:r>
        <w:rPr>
          <w:rFonts w:ascii="Arial" w:cs="Arial" w:eastAsia="Arial" w:hAnsi="Arial"/>
          <w:sz w:val="16"/>
          <w:szCs w:val="16"/>
          <w:b w:val="1"/>
          <w:bCs w:val="1"/>
          <w:color w:val="auto"/>
        </w:rPr>
        <w:t xml:space="preserve"> has fulfilled his obligation </w:t>
      </w:r>
      <w:r>
        <w:rPr>
          <w:rFonts w:ascii="Arial" w:cs="Arial" w:eastAsia="Arial" w:hAnsi="Arial"/>
          <w:sz w:val="16"/>
          <w:szCs w:val="16"/>
          <w:color w:val="auto"/>
        </w:rPr>
        <w:t>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Subsection (a).</w:t>
      </w:r>
    </w:p>
    <w:p>
      <w:pPr>
        <w:spacing w:after="0" w:line="222" w:lineRule="exact"/>
        <w:rPr>
          <w:sz w:val="20"/>
          <w:szCs w:val="20"/>
          <w:color w:val="auto"/>
        </w:rPr>
      </w:pPr>
    </w:p>
    <w:p>
      <w:pPr>
        <w:jc w:val="both"/>
        <w:ind w:left="3" w:right="20"/>
        <w:spacing w:after="0" w:line="271" w:lineRule="auto"/>
        <w:rPr>
          <w:sz w:val="20"/>
          <w:szCs w:val="20"/>
          <w:color w:val="auto"/>
        </w:rPr>
      </w:pPr>
      <w:r>
        <w:rPr>
          <w:rFonts w:ascii="Arial" w:cs="Arial" w:eastAsia="Arial" w:hAnsi="Arial"/>
          <w:sz w:val="16"/>
          <w:szCs w:val="16"/>
          <w:color w:val="auto"/>
        </w:rPr>
        <w:t xml:space="preserve">According to commentators, all the provisions of Subsection (c) lead to an </w:t>
      </w:r>
      <w:r>
        <w:rPr>
          <w:rFonts w:ascii="Arial" w:cs="Arial" w:eastAsia="Arial" w:hAnsi="Arial"/>
          <w:sz w:val="16"/>
          <w:szCs w:val="16"/>
          <w:i w:val="1"/>
          <w:iCs w:val="1"/>
          <w:u w:val="single" w:color="auto"/>
          <w:color w:val="auto"/>
        </w:rPr>
        <w:t>internal enforcement plan</w:t>
      </w:r>
      <w:r>
        <w:rPr>
          <w:rFonts w:ascii="Arial" w:cs="Arial" w:eastAsia="Arial" w:hAnsi="Arial"/>
          <w:sz w:val="16"/>
          <w:szCs w:val="16"/>
          <w:color w:val="auto"/>
        </w:rPr>
        <w:t>. So, too, thought the Israel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xml:space="preserve">”), when in August 2011 it released a </w:t>
      </w:r>
      <w:r>
        <w:rPr>
          <w:rFonts w:ascii="Arial" w:cs="Arial" w:eastAsia="Arial" w:hAnsi="Arial"/>
          <w:sz w:val="16"/>
          <w:szCs w:val="16"/>
          <w:b w:val="1"/>
          <w:bCs w:val="1"/>
          <w:i w:val="1"/>
          <w:iCs w:val="1"/>
          <w:color w:val="auto"/>
        </w:rPr>
        <w:t>Document on criteria for recognition of an internal enforcement plan in the area of securities and investment management</w:t>
      </w:r>
      <w:r>
        <w:rPr>
          <w:rFonts w:ascii="Arial" w:cs="Arial" w:eastAsia="Arial" w:hAnsi="Arial"/>
          <w:sz w:val="16"/>
          <w:szCs w:val="16"/>
          <w:color w:val="auto"/>
        </w:rPr>
        <w:t xml:space="preserve"> (the “</w:t>
      </w:r>
      <w:r>
        <w:rPr>
          <w:rFonts w:ascii="Arial" w:cs="Arial" w:eastAsia="Arial" w:hAnsi="Arial"/>
          <w:sz w:val="16"/>
          <w:szCs w:val="16"/>
          <w:b w:val="1"/>
          <w:bCs w:val="1"/>
          <w:color w:val="auto"/>
        </w:rPr>
        <w:t>ISA</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w:t>
      </w:r>
      <w:r>
        <w:rPr>
          <w:rFonts w:ascii="Arial" w:cs="Arial" w:eastAsia="Arial" w:hAnsi="Arial"/>
          <w:sz w:val="16"/>
          <w:szCs w:val="16"/>
          <w:color w:val="auto"/>
        </w:rPr>
        <w:t>”) and set forth that:</w:t>
      </w:r>
    </w:p>
    <w:p>
      <w:pPr>
        <w:spacing w:after="0" w:line="156"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application</w:t>
      </w:r>
      <w:r>
        <w:rPr>
          <w:rFonts w:ascii="Arial" w:cs="Arial" w:eastAsia="Arial" w:hAnsi="Arial"/>
          <w:sz w:val="16"/>
          <w:szCs w:val="16"/>
          <w:color w:val="auto"/>
        </w:rPr>
        <w:t xml:space="preserve"> in practice of an efficient enforcement plan by the corporation </w:t>
      </w:r>
      <w:r>
        <w:rPr>
          <w:rFonts w:ascii="Arial" w:cs="Arial" w:eastAsia="Arial" w:hAnsi="Arial"/>
          <w:sz w:val="16"/>
          <w:szCs w:val="16"/>
          <w:b w:val="1"/>
          <w:bCs w:val="1"/>
          <w:color w:val="auto"/>
        </w:rPr>
        <w:t>may be viewed favorably by the ISA with respect to the corporation or individuals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therein in the context of its discretion in respect of the exercise of its powers </w:t>
      </w:r>
      <w:r>
        <w:rPr>
          <w:rFonts w:ascii="Arial" w:cs="Arial" w:eastAsia="Arial" w:hAnsi="Arial"/>
          <w:sz w:val="16"/>
          <w:szCs w:val="16"/>
          <w:color w:val="auto"/>
        </w:rPr>
        <w:t>of enforcement pursuant to the law.”</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ISA’s Document sets forth the standards that will be examined by the ISA when deliberating and deciding whether an efficient enforcement plan exists at a corporation.</w:t>
      </w:r>
    </w:p>
    <w:p>
      <w:pPr>
        <w:spacing w:after="0" w:line="34" w:lineRule="exact"/>
        <w:rPr>
          <w:sz w:val="20"/>
          <w:szCs w:val="20"/>
          <w:color w:val="auto"/>
        </w:rPr>
      </w:pPr>
    </w:p>
    <w:p>
      <w:pPr>
        <w:jc w:val="both"/>
        <w:ind w:left="3" w:right="20"/>
        <w:spacing w:after="0" w:line="268" w:lineRule="auto"/>
        <w:rPr>
          <w:sz w:val="20"/>
          <w:szCs w:val="20"/>
          <w:color w:val="auto"/>
        </w:rPr>
      </w:pPr>
      <w:r>
        <w:rPr>
          <w:rFonts w:ascii="Arial" w:cs="Arial" w:eastAsia="Arial" w:hAnsi="Arial"/>
          <w:sz w:val="16"/>
          <w:szCs w:val="16"/>
          <w:b w:val="1"/>
          <w:bCs w:val="1"/>
          <w:color w:val="auto"/>
        </w:rPr>
        <w:t>Based on the requirements of the Law, the ISA’s Document and the understanding of the Company’s management, the relevant information and instructions have been incorporated into the enforcement plan document that is set forth below.</w:t>
      </w:r>
    </w:p>
    <w:p>
      <w:pPr>
        <w:spacing w:after="0" w:line="158"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What is an enforcement plan</w:t>
      </w:r>
    </w:p>
    <w:p>
      <w:pPr>
        <w:spacing w:after="0" w:line="206"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6"/>
          <w:szCs w:val="16"/>
          <w:b w:val="1"/>
          <w:bCs w:val="1"/>
          <w:color w:val="auto"/>
        </w:rPr>
        <w:t>This internal enforcement plan document is a document that is unique to the Company which set forth the activities to be undertaken in order to prevent the violations listed in the schedule to the administrative enforcement law.</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318" w:right="219" w:bottom="1440" w:gutter="0" w:footer="0" w:header="0"/>
        </w:sectPr>
      </w:pPr>
    </w:p>
    <w:bookmarkStart w:id="284" w:name="page285"/>
    <w:bookmarkEnd w:id="284"/>
    <w:p>
      <w:pPr>
        <w:ind w:left="3"/>
        <w:spacing w:after="0"/>
        <w:tabs>
          <w:tab w:leader="none" w:pos="562"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Objectives of an enforcement plan</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 creation, implementation and assimilation of a correct and suitable enforcement plan can constitute a dual safety mechanism for the Company and the individuals therein:</w:t>
      </w:r>
    </w:p>
    <w:p>
      <w:pPr>
        <w:spacing w:after="0" w:line="225" w:lineRule="exact"/>
        <w:rPr>
          <w:sz w:val="20"/>
          <w:szCs w:val="20"/>
          <w:color w:val="auto"/>
        </w:rPr>
      </w:pPr>
    </w:p>
    <w:p>
      <w:pPr>
        <w:ind w:left="583" w:hanging="583"/>
        <w:spacing w:after="0"/>
        <w:tabs>
          <w:tab w:leader="none" w:pos="583"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Minimization of the possibility of the occurrence of a violation</w:t>
      </w:r>
    </w:p>
    <w:p>
      <w:pPr>
        <w:spacing w:after="0" w:line="209" w:lineRule="exact"/>
        <w:rPr>
          <w:rFonts w:ascii="Arial" w:cs="Arial" w:eastAsia="Arial" w:hAnsi="Arial"/>
          <w:sz w:val="16"/>
          <w:szCs w:val="16"/>
          <w:color w:val="auto"/>
        </w:rPr>
      </w:pPr>
    </w:p>
    <w:p>
      <w:pPr>
        <w:jc w:val="both"/>
        <w:ind w:left="583" w:right="20"/>
        <w:spacing w:after="0" w:line="358" w:lineRule="auto"/>
        <w:rPr>
          <w:rFonts w:ascii="Arial" w:cs="Arial" w:eastAsia="Arial" w:hAnsi="Arial"/>
          <w:sz w:val="16"/>
          <w:szCs w:val="16"/>
          <w:color w:val="auto"/>
        </w:rPr>
      </w:pPr>
      <w:r>
        <w:rPr>
          <w:rFonts w:ascii="Arial" w:cs="Arial" w:eastAsia="Arial" w:hAnsi="Arial"/>
          <w:sz w:val="14"/>
          <w:szCs w:val="14"/>
          <w:color w:val="auto"/>
        </w:rPr>
        <w:t>Through the establishment of clear procedures, presentation of standards for conduct and implementation of controls for the application thereof in the day-to-day activity, ensuring that any and all individuals taking part in the Company’s relevant activity are aware of their obligation and the manner of their compliance therewith.</w:t>
      </w:r>
    </w:p>
    <w:p>
      <w:pPr>
        <w:spacing w:after="0" w:line="100" w:lineRule="exact"/>
        <w:rPr>
          <w:rFonts w:ascii="Arial" w:cs="Arial" w:eastAsia="Arial" w:hAnsi="Arial"/>
          <w:sz w:val="16"/>
          <w:szCs w:val="16"/>
          <w:color w:val="auto"/>
        </w:rPr>
      </w:pPr>
    </w:p>
    <w:p>
      <w:pPr>
        <w:ind w:left="583" w:hanging="583"/>
        <w:spacing w:after="0"/>
        <w:tabs>
          <w:tab w:leader="none" w:pos="583"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Immediate effect on the examining entity in the event that a violation occurs</w:t>
      </w:r>
    </w:p>
    <w:p>
      <w:pPr>
        <w:spacing w:after="0" w:line="210" w:lineRule="exact"/>
        <w:rPr>
          <w:sz w:val="20"/>
          <w:szCs w:val="20"/>
          <w:color w:val="auto"/>
        </w:rPr>
      </w:pPr>
    </w:p>
    <w:p>
      <w:pPr>
        <w:jc w:val="both"/>
        <w:ind w:left="583" w:right="20"/>
        <w:spacing w:after="0" w:line="268" w:lineRule="auto"/>
        <w:rPr>
          <w:sz w:val="20"/>
          <w:szCs w:val="20"/>
          <w:color w:val="auto"/>
        </w:rPr>
      </w:pPr>
      <w:r>
        <w:rPr>
          <w:rFonts w:ascii="Arial" w:cs="Arial" w:eastAsia="Arial" w:hAnsi="Arial"/>
          <w:sz w:val="16"/>
          <w:szCs w:val="16"/>
          <w:color w:val="auto"/>
        </w:rPr>
        <w:t>As stated in the Law and in the ISA’s Document, an enforcement plan is an indication that the Company (its managers and directors) has done everything within its power to try to prevent violations. Such a plan will provide a defense to their benefit whereby they have instituted any and all reasonable measures to prevent the offence for a body which is examining and/or dealing with an occurrence of a violation.</w:t>
      </w:r>
    </w:p>
    <w:p>
      <w:pPr>
        <w:spacing w:after="0" w:line="163"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The primary objective of the enforcement plan is to ensure the proper activity of the Company in accordance with any and all regulatory obligations and desired standard of conduct insofar as the same are relevant to the Securities Law and the regulations promulgated thereunder.</w:t>
      </w:r>
    </w:p>
    <w:p>
      <w:pPr>
        <w:spacing w:after="0" w:line="151" w:lineRule="exact"/>
        <w:rPr>
          <w:sz w:val="20"/>
          <w:szCs w:val="20"/>
          <w:color w:val="auto"/>
        </w:rPr>
      </w:pPr>
    </w:p>
    <w:p>
      <w:pPr>
        <w:jc w:val="both"/>
        <w:ind w:left="3" w:right="20"/>
        <w:spacing w:after="0" w:line="268" w:lineRule="auto"/>
        <w:rPr>
          <w:sz w:val="20"/>
          <w:szCs w:val="20"/>
          <w:color w:val="auto"/>
        </w:rPr>
      </w:pPr>
      <w:r>
        <w:rPr>
          <w:rFonts w:ascii="Arial" w:cs="Arial" w:eastAsia="Arial" w:hAnsi="Arial"/>
          <w:sz w:val="16"/>
          <w:szCs w:val="16"/>
          <w:color w:val="auto"/>
        </w:rPr>
        <w:t>The plan intends to establish existing proper conduct, to create a compilation of information and procedures that are relevant to the organization and to assimilate the conduct which is desired and required of each and every one of the Company’s employees and officers and to promote an organizational culture of compliance with and respect for the Law.</w:t>
      </w:r>
    </w:p>
    <w:p>
      <w:pPr>
        <w:spacing w:after="0" w:line="163" w:lineRule="exact"/>
        <w:rPr>
          <w:sz w:val="20"/>
          <w:szCs w:val="20"/>
          <w:color w:val="auto"/>
        </w:rPr>
      </w:pPr>
    </w:p>
    <w:p>
      <w:pPr>
        <w:jc w:val="both"/>
        <w:ind w:left="3" w:right="20"/>
        <w:spacing w:after="0" w:line="358" w:lineRule="auto"/>
        <w:rPr>
          <w:sz w:val="20"/>
          <w:szCs w:val="20"/>
          <w:color w:val="auto"/>
        </w:rPr>
      </w:pPr>
      <w:r>
        <w:rPr>
          <w:rFonts w:ascii="Arial" w:cs="Arial" w:eastAsia="Arial" w:hAnsi="Arial"/>
          <w:sz w:val="14"/>
          <w:szCs w:val="14"/>
          <w:color w:val="auto"/>
        </w:rPr>
        <w:t>All employees and/or officers should be able to consult the document if and when they encounter an issue pertaining to the content of the plan and to find answers with regard to the conduct that is appropriate and expected of them, whether it is a procedure which offers guidance on how to act or a referral to consultation with a relevant body.</w:t>
      </w:r>
    </w:p>
    <w:p>
      <w:pPr>
        <w:spacing w:after="0" w:line="100"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4"/>
          <w:szCs w:val="14"/>
          <w:b w:val="1"/>
          <w:bCs w:val="1"/>
          <w:color w:val="auto"/>
        </w:rPr>
        <w:t>Applicability of the enforcement plan</w:t>
      </w:r>
    </w:p>
    <w:p>
      <w:pPr>
        <w:spacing w:after="0" w:line="206" w:lineRule="exact"/>
        <w:rPr>
          <w:sz w:val="20"/>
          <w:szCs w:val="20"/>
          <w:color w:val="auto"/>
        </w:rPr>
      </w:pPr>
    </w:p>
    <w:p>
      <w:pPr>
        <w:jc w:val="both"/>
        <w:ind w:left="3"/>
        <w:spacing w:after="0" w:line="271" w:lineRule="auto"/>
        <w:rPr>
          <w:sz w:val="20"/>
          <w:szCs w:val="20"/>
          <w:color w:val="auto"/>
        </w:rPr>
      </w:pPr>
      <w:r>
        <w:rPr>
          <w:rFonts w:ascii="Arial" w:cs="Arial" w:eastAsia="Arial" w:hAnsi="Arial"/>
          <w:sz w:val="16"/>
          <w:szCs w:val="16"/>
          <w:color w:val="auto"/>
        </w:rPr>
        <w:t>This plan applies to BioLineRx (the “</w:t>
      </w:r>
      <w:r>
        <w:rPr>
          <w:rFonts w:ascii="Arial" w:cs="Arial" w:eastAsia="Arial" w:hAnsi="Arial"/>
          <w:sz w:val="16"/>
          <w:szCs w:val="16"/>
          <w:b w:val="1"/>
          <w:bCs w:val="1"/>
          <w:color w:val="auto"/>
        </w:rPr>
        <w:t>Company</w:t>
      </w:r>
      <w:r>
        <w:rPr>
          <w:rFonts w:ascii="Arial" w:cs="Arial" w:eastAsia="Arial" w:hAnsi="Arial"/>
          <w:sz w:val="16"/>
          <w:szCs w:val="16"/>
          <w:color w:val="auto"/>
        </w:rPr>
        <w:t>”) by virtue of its being a public company whose shares are listed on the Tel Aviv Stock Exchange. The plan applies to all of the Company’s echelons, i.e. the Company’s employees, senior officers, managers and directors. It is important to emphasize that the plan also applies to the employees of any and all subsidiaries of the Company in view of their involvement with the operations of the parent company.</w:t>
      </w:r>
    </w:p>
    <w:p>
      <w:pPr>
        <w:spacing w:after="0" w:line="156"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4"/>
          <w:szCs w:val="14"/>
          <w:b w:val="1"/>
          <w:bCs w:val="1"/>
          <w:color w:val="auto"/>
        </w:rPr>
        <w:t>Prohibition on insurance and indemnification</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Law explicitly contains a prohibition on insurance and/or indemnification in respect of violations of the Law.</w:t>
      </w:r>
    </w:p>
    <w:p>
      <w:pPr>
        <w:spacing w:after="0" w:line="206" w:lineRule="exact"/>
        <w:rPr>
          <w:sz w:val="20"/>
          <w:szCs w:val="20"/>
          <w:color w:val="auto"/>
        </w:rPr>
      </w:pPr>
    </w:p>
    <w:p>
      <w:pPr>
        <w:jc w:val="both"/>
        <w:ind w:left="3" w:right="20"/>
        <w:spacing w:after="0" w:line="318" w:lineRule="auto"/>
        <w:rPr>
          <w:sz w:val="20"/>
          <w:szCs w:val="20"/>
          <w:color w:val="auto"/>
        </w:rPr>
      </w:pPr>
      <w:r>
        <w:rPr>
          <w:rFonts w:ascii="Arial" w:cs="Arial" w:eastAsia="Arial" w:hAnsi="Arial"/>
          <w:sz w:val="15"/>
          <w:szCs w:val="15"/>
          <w:color w:val="auto"/>
        </w:rPr>
        <w:t>The Law establishes that a proceeding to impose a pecuniary sanction, an administrative proceeding or an arrangement proceeding cannot be insured. A pecuniary sanction imposed on a corporation, its controlling shareholder or an employee in a proceeding as aforesaid cannot be indemnified or paid, either directly or indirectly.</w:t>
      </w:r>
    </w:p>
    <w:p>
      <w:pPr>
        <w:spacing w:after="0" w:line="127"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However, an employee can be indemnified or insured for payment to the party injured by the violation and additionally for expenses that he shall have incurred in relation to a proceeding that was conducted in the matter of the employee, irrespective of the results of the proceeding.</w:t>
      </w:r>
    </w:p>
    <w:p>
      <w:pPr>
        <w:spacing w:after="0" w:line="151"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In November 2011, the Company’s articles of association and letters of insurance and indemnification of the officers were updated accordingly, such that a provision was set forth that permits the insurance and/or indemnification pursuant to the provisions of the Securities Law.</w:t>
      </w:r>
    </w:p>
    <w:p>
      <w:pPr>
        <w:spacing w:after="0" w:line="147"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b w:val="1"/>
          <w:bCs w:val="1"/>
          <w:color w:val="auto"/>
        </w:rPr>
        <w:t>Documentation and provision of documents for inspection and storing of documents</w:t>
      </w:r>
    </w:p>
    <w:p>
      <w:pPr>
        <w:spacing w:after="0" w:line="210" w:lineRule="exact"/>
        <w:rPr>
          <w:sz w:val="20"/>
          <w:szCs w:val="20"/>
          <w:color w:val="auto"/>
        </w:rPr>
      </w:pPr>
    </w:p>
    <w:p>
      <w:pPr>
        <w:jc w:val="both"/>
        <w:ind w:left="3" w:right="20"/>
        <w:spacing w:after="0" w:line="268" w:lineRule="auto"/>
        <w:rPr>
          <w:sz w:val="20"/>
          <w:szCs w:val="20"/>
          <w:color w:val="auto"/>
        </w:rPr>
      </w:pPr>
      <w:r>
        <w:rPr>
          <w:rFonts w:ascii="Arial" w:cs="Arial" w:eastAsia="Arial" w:hAnsi="Arial"/>
          <w:sz w:val="16"/>
          <w:szCs w:val="16"/>
          <w:color w:val="auto"/>
        </w:rPr>
        <w:t>The Law and the schedules include a reference to the issue of providing documents for inspection. As part of the enforcement plan and its procedures, the Company is obligated to make available for inspection any and all relevant documents (for example, a prospectus that was authorized for publication, a registration document or any and all reports, opinions, approvals, reports or notices that were filed) at its head office.</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color w:val="auto"/>
        </w:rPr>
        <w:t>Relevant procedures shall specify the responsibility for the fulfillment of the right of inspection insofar as will be required.</w:t>
      </w:r>
    </w:p>
    <w:p>
      <w:pPr>
        <w:spacing w:after="0" w:line="202" w:lineRule="exact"/>
        <w:rPr>
          <w:sz w:val="20"/>
          <w:szCs w:val="20"/>
          <w:color w:val="auto"/>
        </w:rPr>
      </w:pPr>
    </w:p>
    <w:p>
      <w:pPr>
        <w:ind w:left="583" w:hanging="583"/>
        <w:spacing w:after="0"/>
        <w:tabs>
          <w:tab w:leader="none" w:pos="583"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 and division of functions and responsibility</w:t>
      </w:r>
    </w:p>
    <w:p>
      <w:pPr>
        <w:spacing w:after="0" w:line="206"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color w:val="auto"/>
        </w:rPr>
        <w:t>Organizational structure for the issue of administrative enforcement (areas of responsibility, reporting chain, decision making, etc.)</w:t>
      </w:r>
    </w:p>
    <w:p>
      <w:pPr>
        <w:spacing w:after="0" w:line="21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513" w:right="219" w:bottom="1440" w:gutter="0" w:footer="0" w:header="0"/>
        </w:sectPr>
      </w:pPr>
    </w:p>
    <w:bookmarkStart w:id="285" w:name="page286"/>
    <w:bookmarkEnd w:id="285"/>
    <w:p>
      <w:pPr>
        <w:ind w:left="10"/>
        <w:spacing w:after="0"/>
        <w:tabs>
          <w:tab w:leader="none" w:pos="570" w:val="left"/>
        </w:tabs>
        <w:rPr>
          <w:sz w:val="20"/>
          <w:szCs w:val="20"/>
          <w:color w:val="auto"/>
        </w:rPr>
      </w:pPr>
      <w:r>
        <w:rPr>
          <w:rFonts w:ascii="Arial" w:cs="Arial" w:eastAsia="Arial" w:hAnsi="Arial"/>
          <w:sz w:val="16"/>
          <w:szCs w:val="16"/>
          <w:b w:val="1"/>
          <w:bCs w:val="1"/>
          <w:color w:val="auto"/>
        </w:rPr>
        <w:t>4.1.1</w:t>
      </w:r>
      <w:r>
        <w:rPr>
          <w:sz w:val="20"/>
          <w:szCs w:val="20"/>
          <w:color w:val="auto"/>
        </w:rPr>
        <w:tab/>
      </w:r>
      <w:r>
        <w:rPr>
          <w:rFonts w:ascii="Arial" w:cs="Arial" w:eastAsia="Arial" w:hAnsi="Arial"/>
          <w:sz w:val="14"/>
          <w:szCs w:val="14"/>
          <w:b w:val="1"/>
          <w:bCs w:val="1"/>
          <w:color w:val="auto"/>
        </w:rPr>
        <w:t>Responsibility of the Board of Directors and its committees</w:t>
      </w:r>
    </w:p>
    <w:p>
      <w:pPr>
        <w:spacing w:after="0" w:line="206" w:lineRule="exact"/>
        <w:rPr>
          <w:sz w:val="20"/>
          <w:szCs w:val="20"/>
          <w:color w:val="auto"/>
        </w:rPr>
      </w:pPr>
    </w:p>
    <w:p>
      <w:pPr>
        <w:ind w:left="590"/>
        <w:spacing w:after="0"/>
        <w:tabs>
          <w:tab w:leader="none" w:pos="1310" w:val="left"/>
        </w:tabs>
        <w:rPr>
          <w:sz w:val="20"/>
          <w:szCs w:val="20"/>
          <w:color w:val="auto"/>
        </w:rPr>
      </w:pPr>
      <w:r>
        <w:rPr>
          <w:rFonts w:ascii="Arial" w:cs="Arial" w:eastAsia="Arial" w:hAnsi="Arial"/>
          <w:sz w:val="16"/>
          <w:szCs w:val="16"/>
          <w:b w:val="1"/>
          <w:bCs w:val="1"/>
          <w:color w:val="auto"/>
        </w:rPr>
        <w:t>4.1.1.1</w:t>
      </w:r>
      <w:r>
        <w:rPr>
          <w:sz w:val="20"/>
          <w:szCs w:val="20"/>
          <w:color w:val="auto"/>
        </w:rPr>
        <w:tab/>
      </w:r>
      <w:r>
        <w:rPr>
          <w:rFonts w:ascii="Arial" w:cs="Arial" w:eastAsia="Arial" w:hAnsi="Arial"/>
          <w:sz w:val="14"/>
          <w:szCs w:val="14"/>
          <w:b w:val="1"/>
          <w:bCs w:val="1"/>
          <w:color w:val="auto"/>
        </w:rPr>
        <w:t>Formulation and adoption of the Company’s internal enforcement plan</w:t>
      </w:r>
    </w:p>
    <w:p>
      <w:pPr>
        <w:spacing w:after="0" w:line="210" w:lineRule="exact"/>
        <w:rPr>
          <w:sz w:val="20"/>
          <w:szCs w:val="20"/>
          <w:color w:val="auto"/>
        </w:rPr>
      </w:pPr>
    </w:p>
    <w:p>
      <w:pPr>
        <w:jc w:val="both"/>
        <w:ind w:left="10" w:right="20"/>
        <w:spacing w:after="0" w:line="268" w:lineRule="auto"/>
        <w:rPr>
          <w:sz w:val="20"/>
          <w:szCs w:val="20"/>
          <w:color w:val="auto"/>
        </w:rPr>
      </w:pPr>
      <w:r>
        <w:rPr>
          <w:rFonts w:ascii="Arial" w:cs="Arial" w:eastAsia="Arial" w:hAnsi="Arial"/>
          <w:sz w:val="16"/>
          <w:szCs w:val="16"/>
          <w:color w:val="auto"/>
        </w:rPr>
        <w:t xml:space="preserve">As the body responsible for outlining the Company’s policy and supervising its performance and acts, the Board of Directors (including its committees) plays a central and decisive role in the </w:t>
      </w:r>
      <w:r>
        <w:rPr>
          <w:rFonts w:ascii="Arial" w:cs="Arial" w:eastAsia="Arial" w:hAnsi="Arial"/>
          <w:sz w:val="16"/>
          <w:szCs w:val="16"/>
          <w:b w:val="1"/>
          <w:bCs w:val="1"/>
          <w:color w:val="auto"/>
        </w:rPr>
        <w:t>formulation and adoption of the Company’s internal enforcement plan</w:t>
      </w:r>
      <w:r>
        <w:rPr>
          <w:rFonts w:ascii="Arial" w:cs="Arial" w:eastAsia="Arial" w:hAnsi="Arial"/>
          <w:sz w:val="16"/>
          <w:szCs w:val="16"/>
          <w:color w:val="auto"/>
        </w:rPr>
        <w:t xml:space="preserve"> and it bears the overall responsibility for the supervision over the actual performance thereof.</w:t>
      </w:r>
    </w:p>
    <w:p>
      <w:pPr>
        <w:spacing w:after="0" w:line="163" w:lineRule="exact"/>
        <w:rPr>
          <w:sz w:val="20"/>
          <w:szCs w:val="20"/>
          <w:color w:val="auto"/>
        </w:rPr>
      </w:pPr>
    </w:p>
    <w:p>
      <w:pPr>
        <w:jc w:val="both"/>
        <w:ind w:left="10"/>
        <w:spacing w:after="0" w:line="275" w:lineRule="auto"/>
        <w:rPr>
          <w:sz w:val="20"/>
          <w:szCs w:val="20"/>
          <w:color w:val="auto"/>
        </w:rPr>
      </w:pPr>
      <w:r>
        <w:rPr>
          <w:rFonts w:ascii="Arial" w:cs="Arial" w:eastAsia="Arial" w:hAnsi="Arial"/>
          <w:sz w:val="16"/>
          <w:szCs w:val="16"/>
          <w:color w:val="auto"/>
        </w:rPr>
        <w:t>Pursuant to the ISA’s requirement that the Board of Directors determine which body is responsible for the supervision over the performance of the enforcement plan (the “</w:t>
      </w:r>
      <w:r>
        <w:rPr>
          <w:rFonts w:ascii="Arial" w:cs="Arial" w:eastAsia="Arial" w:hAnsi="Arial"/>
          <w:sz w:val="16"/>
          <w:szCs w:val="16"/>
          <w:b w:val="1"/>
          <w:bCs w:val="1"/>
          <w:color w:val="auto"/>
        </w:rPr>
        <w:t>Responsible Body</w:t>
      </w:r>
      <w:r>
        <w:rPr>
          <w:rFonts w:ascii="Arial" w:cs="Arial" w:eastAsia="Arial" w:hAnsi="Arial"/>
          <w:sz w:val="16"/>
          <w:szCs w:val="16"/>
          <w:color w:val="auto"/>
        </w:rPr>
        <w:t>”), whether the Board of Directors itself or the Audit Committee or any other committee thereof, the Board of Directors determined that the Audit Committee shall be the Responsible Body as aforesaid.</w:t>
      </w:r>
      <w:r>
        <w:rPr>
          <w:rFonts w:ascii="Arial" w:cs="Arial" w:eastAsia="Arial" w:hAnsi="Arial"/>
          <w:sz w:val="22"/>
          <w:szCs w:val="22"/>
          <w:color w:val="auto"/>
          <w:vertAlign w:val="superscript"/>
        </w:rPr>
        <w:t>*</w:t>
      </w:r>
    </w:p>
    <w:p>
      <w:pPr>
        <w:spacing w:after="0" w:line="68" w:lineRule="exact"/>
        <w:rPr>
          <w:sz w:val="20"/>
          <w:szCs w:val="20"/>
          <w:color w:val="auto"/>
        </w:rPr>
      </w:pPr>
    </w:p>
    <w:p>
      <w:pPr>
        <w:ind w:left="10"/>
        <w:spacing w:after="0"/>
        <w:rPr>
          <w:sz w:val="20"/>
          <w:szCs w:val="20"/>
          <w:color w:val="auto"/>
        </w:rPr>
      </w:pPr>
      <w:r>
        <w:rPr>
          <w:rFonts w:ascii="Arial" w:cs="Arial" w:eastAsia="Arial" w:hAnsi="Arial"/>
          <w:sz w:val="16"/>
          <w:szCs w:val="16"/>
          <w:color w:val="auto"/>
        </w:rPr>
        <w:t>Such responsibility of the Audit Committee as the Responsible Body shall be applied through:</w:t>
      </w:r>
    </w:p>
    <w:p>
      <w:pPr>
        <w:spacing w:after="0" w:line="206" w:lineRule="exact"/>
        <w:rPr>
          <w:sz w:val="20"/>
          <w:szCs w:val="20"/>
          <w:color w:val="auto"/>
        </w:rPr>
      </w:pPr>
    </w:p>
    <w:p>
      <w:pPr>
        <w:ind w:left="590" w:hanging="590"/>
        <w:spacing w:after="0"/>
        <w:tabs>
          <w:tab w:leader="none" w:pos="59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Special-purpose meetings for the presentation of the subject.</w:t>
      </w:r>
    </w:p>
    <w:p>
      <w:pPr>
        <w:spacing w:after="0" w:line="205" w:lineRule="exact"/>
        <w:rPr>
          <w:rFonts w:ascii="Arial" w:cs="Arial" w:eastAsia="Arial" w:hAnsi="Arial"/>
          <w:sz w:val="16"/>
          <w:szCs w:val="16"/>
          <w:color w:val="auto"/>
        </w:rPr>
      </w:pPr>
    </w:p>
    <w:p>
      <w:pPr>
        <w:ind w:left="590" w:hanging="590"/>
        <w:spacing w:after="0"/>
        <w:tabs>
          <w:tab w:leader="none" w:pos="59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Presentation, discussion and approval of the outline of the enforcement plan project.</w:t>
      </w:r>
    </w:p>
    <w:p>
      <w:pPr>
        <w:spacing w:after="0" w:line="205" w:lineRule="exact"/>
        <w:rPr>
          <w:rFonts w:ascii="Arial" w:cs="Arial" w:eastAsia="Arial" w:hAnsi="Arial"/>
          <w:sz w:val="16"/>
          <w:szCs w:val="16"/>
          <w:color w:val="auto"/>
        </w:rPr>
      </w:pPr>
    </w:p>
    <w:p>
      <w:pPr>
        <w:ind w:left="590" w:hanging="590"/>
        <w:spacing w:after="0"/>
        <w:tabs>
          <w:tab w:leader="none" w:pos="590" w:val="left"/>
        </w:tabs>
        <w:numPr>
          <w:ilvl w:val="0"/>
          <w:numId w:val="242"/>
        </w:numPr>
        <w:rPr>
          <w:rFonts w:ascii="Arial" w:cs="Arial" w:eastAsia="Arial" w:hAnsi="Arial"/>
          <w:sz w:val="15"/>
          <w:szCs w:val="15"/>
          <w:color w:val="auto"/>
        </w:rPr>
      </w:pPr>
      <w:r>
        <w:rPr>
          <w:rFonts w:ascii="Arial" w:cs="Arial" w:eastAsia="Arial" w:hAnsi="Arial"/>
          <w:sz w:val="15"/>
          <w:szCs w:val="15"/>
          <w:color w:val="auto"/>
        </w:rPr>
        <w:t>Presentation of the findings of the mapping of the existing situation (compliance survey) and deliberation on the recommendations deriving therefrom.</w:t>
      </w:r>
    </w:p>
    <w:p>
      <w:pPr>
        <w:spacing w:after="0" w:line="217" w:lineRule="exact"/>
        <w:rPr>
          <w:rFonts w:ascii="Arial" w:cs="Arial" w:eastAsia="Arial" w:hAnsi="Arial"/>
          <w:sz w:val="15"/>
          <w:szCs w:val="15"/>
          <w:color w:val="auto"/>
        </w:rPr>
      </w:pPr>
    </w:p>
    <w:p>
      <w:pPr>
        <w:ind w:left="590" w:hanging="590"/>
        <w:spacing w:after="0"/>
        <w:tabs>
          <w:tab w:leader="none" w:pos="59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Presentation, discussion and approval of the procedures comprising the internal enforcement plan.</w:t>
      </w:r>
    </w:p>
    <w:p>
      <w:pPr>
        <w:spacing w:after="0" w:line="205" w:lineRule="exact"/>
        <w:rPr>
          <w:rFonts w:ascii="Arial" w:cs="Arial" w:eastAsia="Arial" w:hAnsi="Arial"/>
          <w:sz w:val="16"/>
          <w:szCs w:val="16"/>
          <w:color w:val="auto"/>
        </w:rPr>
      </w:pPr>
    </w:p>
    <w:p>
      <w:pPr>
        <w:ind w:left="590" w:hanging="590"/>
        <w:spacing w:after="0"/>
        <w:tabs>
          <w:tab w:leader="none" w:pos="59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Approval of the final plan.</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6"/>
          <w:szCs w:val="16"/>
          <w:color w:val="auto"/>
        </w:rPr>
        <w:t>The Audit Committee shall be involved in the implementation of the plan during the usual conduct of business as specified below.</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6"/>
          <w:szCs w:val="16"/>
          <w:color w:val="auto"/>
        </w:rPr>
        <w:t>The Audit Committee, including all of the members thereof, will take an active part in all stages of the formulation and adoption of the plan:</w:t>
      </w:r>
    </w:p>
    <w:p>
      <w:pPr>
        <w:spacing w:after="0" w:line="206" w:lineRule="exact"/>
        <w:rPr>
          <w:sz w:val="20"/>
          <w:szCs w:val="20"/>
          <w:color w:val="auto"/>
        </w:rPr>
      </w:pPr>
    </w:p>
    <w:p>
      <w:pPr>
        <w:ind w:left="890" w:hanging="586"/>
        <w:spacing w:after="0"/>
        <w:tabs>
          <w:tab w:leader="none" w:pos="89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Setting the enforcement plan into motion</w:t>
      </w:r>
    </w:p>
    <w:p>
      <w:pPr>
        <w:spacing w:after="0" w:line="205" w:lineRule="exact"/>
        <w:rPr>
          <w:rFonts w:ascii="Arial" w:cs="Arial" w:eastAsia="Arial" w:hAnsi="Arial"/>
          <w:sz w:val="16"/>
          <w:szCs w:val="16"/>
          <w:color w:val="auto"/>
        </w:rPr>
      </w:pPr>
    </w:p>
    <w:p>
      <w:pPr>
        <w:ind w:left="890" w:hanging="586"/>
        <w:spacing w:after="0"/>
        <w:tabs>
          <w:tab w:leader="none" w:pos="89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Mapping of the existing situation</w:t>
      </w:r>
    </w:p>
    <w:p>
      <w:pPr>
        <w:spacing w:after="0" w:line="205" w:lineRule="exact"/>
        <w:rPr>
          <w:rFonts w:ascii="Arial" w:cs="Arial" w:eastAsia="Arial" w:hAnsi="Arial"/>
          <w:sz w:val="16"/>
          <w:szCs w:val="16"/>
          <w:color w:val="auto"/>
        </w:rPr>
      </w:pPr>
    </w:p>
    <w:p>
      <w:pPr>
        <w:ind w:left="890" w:hanging="586"/>
        <w:spacing w:after="0"/>
        <w:tabs>
          <w:tab w:leader="none" w:pos="89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Formulation of the plan and its procedures</w:t>
      </w:r>
    </w:p>
    <w:p>
      <w:pPr>
        <w:spacing w:after="0" w:line="205" w:lineRule="exact"/>
        <w:rPr>
          <w:rFonts w:ascii="Arial" w:cs="Arial" w:eastAsia="Arial" w:hAnsi="Arial"/>
          <w:sz w:val="16"/>
          <w:szCs w:val="16"/>
          <w:color w:val="auto"/>
        </w:rPr>
      </w:pPr>
    </w:p>
    <w:p>
      <w:pPr>
        <w:ind w:left="890" w:hanging="586"/>
        <w:spacing w:after="0"/>
        <w:tabs>
          <w:tab w:leader="none" w:pos="89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Formulation of the assimilation plan</w:t>
      </w:r>
    </w:p>
    <w:p>
      <w:pPr>
        <w:spacing w:after="0" w:line="205" w:lineRule="exact"/>
        <w:rPr>
          <w:rFonts w:ascii="Arial" w:cs="Arial" w:eastAsia="Arial" w:hAnsi="Arial"/>
          <w:sz w:val="16"/>
          <w:szCs w:val="16"/>
          <w:color w:val="auto"/>
        </w:rPr>
      </w:pPr>
    </w:p>
    <w:p>
      <w:pPr>
        <w:ind w:left="890" w:hanging="586"/>
        <w:spacing w:after="0"/>
        <w:tabs>
          <w:tab w:leader="none" w:pos="89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Ongoing monitoring</w:t>
      </w:r>
    </w:p>
    <w:p>
      <w:pPr>
        <w:spacing w:after="0" w:line="206" w:lineRule="exact"/>
        <w:rPr>
          <w:sz w:val="20"/>
          <w:szCs w:val="20"/>
          <w:color w:val="auto"/>
        </w:rPr>
      </w:pPr>
    </w:p>
    <w:p>
      <w:pPr>
        <w:ind w:left="10"/>
        <w:spacing w:after="0"/>
        <w:rPr>
          <w:sz w:val="20"/>
          <w:szCs w:val="20"/>
          <w:color w:val="auto"/>
        </w:rPr>
      </w:pPr>
      <w:r>
        <w:rPr>
          <w:rFonts w:ascii="Arial" w:cs="Arial" w:eastAsia="Arial" w:hAnsi="Arial"/>
          <w:sz w:val="16"/>
          <w:szCs w:val="16"/>
          <w:color w:val="auto"/>
        </w:rPr>
        <w:t>This Plan was approved by the Audit Committee on March 21, 2012 and by the Board of Directors on March 22, 2012.</w:t>
      </w:r>
    </w:p>
    <w:p>
      <w:pPr>
        <w:spacing w:after="0" w:line="202" w:lineRule="exact"/>
        <w:rPr>
          <w:sz w:val="20"/>
          <w:szCs w:val="20"/>
          <w:color w:val="auto"/>
        </w:rPr>
      </w:pPr>
    </w:p>
    <w:p>
      <w:pPr>
        <w:ind w:left="590"/>
        <w:spacing w:after="0"/>
        <w:tabs>
          <w:tab w:leader="none" w:pos="1310" w:val="left"/>
        </w:tabs>
        <w:rPr>
          <w:sz w:val="20"/>
          <w:szCs w:val="20"/>
          <w:color w:val="auto"/>
        </w:rPr>
      </w:pPr>
      <w:r>
        <w:rPr>
          <w:rFonts w:ascii="Arial" w:cs="Arial" w:eastAsia="Arial" w:hAnsi="Arial"/>
          <w:sz w:val="16"/>
          <w:szCs w:val="16"/>
          <w:b w:val="1"/>
          <w:bCs w:val="1"/>
          <w:color w:val="auto"/>
        </w:rPr>
        <w:t>4.1.1.2</w:t>
      </w:r>
      <w:r>
        <w:rPr>
          <w:sz w:val="20"/>
          <w:szCs w:val="20"/>
          <w:color w:val="auto"/>
        </w:rPr>
        <w:tab/>
      </w:r>
      <w:r>
        <w:rPr>
          <w:rFonts w:ascii="Arial" w:cs="Arial" w:eastAsia="Arial" w:hAnsi="Arial"/>
          <w:sz w:val="14"/>
          <w:szCs w:val="14"/>
          <w:b w:val="1"/>
          <w:bCs w:val="1"/>
          <w:color w:val="auto"/>
        </w:rPr>
        <w:t>Implementation of the plan</w:t>
      </w:r>
    </w:p>
    <w:p>
      <w:pPr>
        <w:spacing w:after="0" w:line="210" w:lineRule="exact"/>
        <w:rPr>
          <w:sz w:val="20"/>
          <w:szCs w:val="20"/>
          <w:color w:val="auto"/>
        </w:rPr>
      </w:pPr>
    </w:p>
    <w:p>
      <w:pPr>
        <w:jc w:val="both"/>
        <w:ind w:left="10" w:right="20"/>
        <w:spacing w:after="0" w:line="268" w:lineRule="auto"/>
        <w:rPr>
          <w:sz w:val="20"/>
          <w:szCs w:val="20"/>
          <w:color w:val="auto"/>
        </w:rPr>
      </w:pPr>
      <w:r>
        <w:rPr>
          <w:rFonts w:ascii="Arial" w:cs="Arial" w:eastAsia="Arial" w:hAnsi="Arial"/>
          <w:sz w:val="16"/>
          <w:szCs w:val="16"/>
          <w:color w:val="auto"/>
        </w:rPr>
        <w:t>The Responsible Body shall oversee the enforcement plan and ensure that it is executed by way of receiving periodic reports from the Enforcement Officer and management, discussing them same and examining the means of action employed by the Company as arising therefrom. The Audit Committee shall ensure that the Audit Committee and management review the need to update and refresh the plan once a year.</w:t>
      </w:r>
    </w:p>
    <w:p>
      <w:pPr>
        <w:spacing w:after="0" w:line="163" w:lineRule="exact"/>
        <w:rPr>
          <w:sz w:val="20"/>
          <w:szCs w:val="20"/>
          <w:color w:val="auto"/>
        </w:rPr>
      </w:pPr>
    </w:p>
    <w:p>
      <w:pPr>
        <w:jc w:val="both"/>
        <w:ind w:left="10" w:right="20"/>
        <w:spacing w:after="0" w:line="283" w:lineRule="auto"/>
        <w:rPr>
          <w:sz w:val="20"/>
          <w:szCs w:val="20"/>
          <w:color w:val="auto"/>
        </w:rPr>
      </w:pPr>
      <w:r>
        <w:rPr>
          <w:rFonts w:ascii="Arial" w:cs="Arial" w:eastAsia="Arial" w:hAnsi="Arial"/>
          <w:sz w:val="16"/>
          <w:szCs w:val="16"/>
          <w:color w:val="auto"/>
        </w:rPr>
        <w:t xml:space="preserve">The implementation of the plan shall be performed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through ongoing reporting as specified above and through the assimilation plan as the same is specified in Chapter 11 of this plan.</w:t>
      </w:r>
    </w:p>
    <w:p>
      <w:pPr>
        <w:spacing w:after="0" w:line="147" w:lineRule="exact"/>
        <w:rPr>
          <w:sz w:val="20"/>
          <w:szCs w:val="20"/>
          <w:color w:val="auto"/>
        </w:rPr>
      </w:pPr>
    </w:p>
    <w:p>
      <w:pPr>
        <w:ind w:left="590"/>
        <w:spacing w:after="0"/>
        <w:tabs>
          <w:tab w:leader="none" w:pos="1310" w:val="left"/>
        </w:tabs>
        <w:rPr>
          <w:sz w:val="20"/>
          <w:szCs w:val="20"/>
          <w:color w:val="auto"/>
        </w:rPr>
      </w:pPr>
      <w:r>
        <w:rPr>
          <w:rFonts w:ascii="Arial" w:cs="Arial" w:eastAsia="Arial" w:hAnsi="Arial"/>
          <w:sz w:val="16"/>
          <w:szCs w:val="16"/>
          <w:b w:val="1"/>
          <w:bCs w:val="1"/>
          <w:color w:val="auto"/>
        </w:rPr>
        <w:t>4.1.1.3</w:t>
      </w:r>
      <w:r>
        <w:rPr>
          <w:sz w:val="20"/>
          <w:szCs w:val="20"/>
          <w:color w:val="auto"/>
        </w:rPr>
        <w:tab/>
      </w:r>
      <w:r>
        <w:rPr>
          <w:rFonts w:ascii="Arial" w:cs="Arial" w:eastAsia="Arial" w:hAnsi="Arial"/>
          <w:sz w:val="14"/>
          <w:szCs w:val="14"/>
          <w:b w:val="1"/>
          <w:bCs w:val="1"/>
          <w:color w:val="auto"/>
        </w:rPr>
        <w:t>Supervision of the enforcement plan</w:t>
      </w:r>
    </w:p>
    <w:p>
      <w:pPr>
        <w:spacing w:after="0" w:line="210" w:lineRule="exact"/>
        <w:rPr>
          <w:sz w:val="20"/>
          <w:szCs w:val="20"/>
          <w:color w:val="auto"/>
        </w:rPr>
      </w:pPr>
    </w:p>
    <w:p>
      <w:pPr>
        <w:jc w:val="both"/>
        <w:ind w:left="10" w:right="20"/>
        <w:spacing w:after="0" w:line="283" w:lineRule="auto"/>
        <w:rPr>
          <w:sz w:val="20"/>
          <w:szCs w:val="20"/>
          <w:color w:val="auto"/>
        </w:rPr>
      </w:pPr>
      <w:r>
        <w:rPr>
          <w:rFonts w:ascii="Arial" w:cs="Arial" w:eastAsia="Arial" w:hAnsi="Arial"/>
          <w:sz w:val="16"/>
          <w:szCs w:val="16"/>
          <w:color w:val="auto"/>
        </w:rPr>
        <w:t>The Responsible Body, i.e. the Audit Committee, shall supervise the plan’s performance. To this end, the internal auditor’s audit plan for 2013, includes follow-up of the implementation of the administrative enforcement plan.</w:t>
      </w:r>
    </w:p>
    <w:p>
      <w:pPr>
        <w:spacing w:after="0" w:line="147" w:lineRule="exact"/>
        <w:rPr>
          <w:sz w:val="20"/>
          <w:szCs w:val="20"/>
          <w:color w:val="auto"/>
        </w:rPr>
      </w:pPr>
    </w:p>
    <w:p>
      <w:pPr>
        <w:ind w:left="590"/>
        <w:spacing w:after="0"/>
        <w:tabs>
          <w:tab w:leader="none" w:pos="1310" w:val="left"/>
        </w:tabs>
        <w:rPr>
          <w:sz w:val="20"/>
          <w:szCs w:val="20"/>
          <w:color w:val="auto"/>
        </w:rPr>
      </w:pPr>
      <w:r>
        <w:rPr>
          <w:rFonts w:ascii="Arial" w:cs="Arial" w:eastAsia="Arial" w:hAnsi="Arial"/>
          <w:sz w:val="16"/>
          <w:szCs w:val="16"/>
          <w:b w:val="1"/>
          <w:bCs w:val="1"/>
          <w:color w:val="auto"/>
        </w:rPr>
        <w:t>4.1.1.4</w:t>
      </w:r>
      <w:r>
        <w:rPr>
          <w:sz w:val="20"/>
          <w:szCs w:val="20"/>
          <w:color w:val="auto"/>
        </w:rPr>
        <w:tab/>
      </w:r>
      <w:r>
        <w:rPr>
          <w:rFonts w:ascii="Arial" w:cs="Arial" w:eastAsia="Arial" w:hAnsi="Arial"/>
          <w:sz w:val="14"/>
          <w:szCs w:val="14"/>
          <w:b w:val="1"/>
          <w:bCs w:val="1"/>
          <w:color w:val="auto"/>
        </w:rPr>
        <w:t>Handling violations of the enforcement proceedings</w:t>
      </w:r>
    </w:p>
    <w:p>
      <w:pPr>
        <w:spacing w:after="0" w:line="210" w:lineRule="exact"/>
        <w:rPr>
          <w:sz w:val="20"/>
          <w:szCs w:val="20"/>
          <w:color w:val="auto"/>
        </w:rPr>
      </w:pPr>
    </w:p>
    <w:p>
      <w:pPr>
        <w:jc w:val="both"/>
        <w:ind w:left="10" w:right="20"/>
        <w:spacing w:after="0" w:line="268" w:lineRule="auto"/>
        <w:rPr>
          <w:sz w:val="20"/>
          <w:szCs w:val="20"/>
          <w:color w:val="auto"/>
        </w:rPr>
      </w:pPr>
      <w:r>
        <w:rPr>
          <w:rFonts w:ascii="Arial" w:cs="Arial" w:eastAsia="Arial" w:hAnsi="Arial"/>
          <w:sz w:val="16"/>
          <w:szCs w:val="16"/>
          <w:color w:val="auto"/>
        </w:rPr>
        <w:t>The Responsible Body shall ensure that the provisions of the enforcement procedures are applied in practice. In addition, the Responsible Body shall ensure that violations of the plan will be appropriately handled, the deficiencies corrected, conclusions drawn, and in the appropriate cases, measures taken against the violating parties.</w:t>
      </w:r>
    </w:p>
    <w:p>
      <w:pPr>
        <w:spacing w:after="0" w:line="162" w:lineRule="exact"/>
        <w:rPr>
          <w:sz w:val="20"/>
          <w:szCs w:val="20"/>
          <w:color w:val="auto"/>
        </w:rPr>
      </w:pPr>
    </w:p>
    <w:p>
      <w:pPr>
        <w:ind w:left="10"/>
        <w:spacing w:after="0"/>
        <w:tabs>
          <w:tab w:leader="none" w:pos="610" w:val="left"/>
        </w:tabs>
        <w:rPr>
          <w:sz w:val="20"/>
          <w:szCs w:val="20"/>
          <w:color w:val="auto"/>
        </w:rPr>
      </w:pPr>
      <w:r>
        <w:rPr>
          <w:rFonts w:ascii="Arial" w:cs="Arial" w:eastAsia="Arial" w:hAnsi="Arial"/>
          <w:sz w:val="16"/>
          <w:szCs w:val="16"/>
          <w:color w:val="auto"/>
        </w:rPr>
        <w:t>(</w:t>
      </w:r>
      <w:r>
        <w:rPr>
          <w:rFonts w:ascii="Arial" w:cs="Arial" w:eastAsia="Arial" w:hAnsi="Arial"/>
          <w:sz w:val="22"/>
          <w:szCs w:val="22"/>
          <w:color w:val="auto"/>
          <w:vertAlign w:val="superscript"/>
        </w:rPr>
        <w:t>*</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Relevant quotations from the minutes of the Board of Directors and Audit Committee are attached hereto, marked as Annex A.</w:t>
      </w:r>
    </w:p>
    <w:p>
      <w:pPr>
        <w:spacing w:after="0" w:line="138" w:lineRule="exact"/>
        <w:rPr>
          <w:sz w:val="20"/>
          <w:szCs w:val="20"/>
          <w:color w:val="auto"/>
        </w:rPr>
      </w:pPr>
    </w:p>
    <w:p>
      <w:pPr>
        <w:ind w:left="507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66675</wp:posOffset>
            </wp:positionV>
            <wp:extent cx="726503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870"/>
          </w:cols>
          <w:pgMar w:left="810" w:top="318" w:right="219" w:bottom="1440" w:gutter="0" w:footer="0" w:header="0"/>
        </w:sectPr>
      </w:pPr>
    </w:p>
    <w:bookmarkStart w:id="286" w:name="page287"/>
    <w:bookmarkEnd w:id="286"/>
    <w:p>
      <w:pPr>
        <w:jc w:val="both"/>
        <w:ind w:right="20"/>
        <w:spacing w:after="0" w:line="283" w:lineRule="auto"/>
        <w:rPr>
          <w:sz w:val="20"/>
          <w:szCs w:val="20"/>
          <w:color w:val="auto"/>
        </w:rPr>
      </w:pPr>
      <w:r>
        <w:rPr>
          <w:rFonts w:ascii="Arial" w:cs="Arial" w:eastAsia="Arial" w:hAnsi="Arial"/>
          <w:sz w:val="16"/>
          <w:szCs w:val="16"/>
          <w:color w:val="auto"/>
        </w:rPr>
        <w:t>The manner of contact and reporting is specified in Chapter 7 of this plan and was approved by the Audit Committee and Board of Directors as part of the plan’s approval. The Company shall approve in each procedure separately, insofar as necessary, the required sanctions and disciplinary action.</w:t>
      </w:r>
    </w:p>
    <w:p>
      <w:pPr>
        <w:spacing w:after="0" w:line="147"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6"/>
          <w:szCs w:val="16"/>
          <w:b w:val="1"/>
          <w:bCs w:val="1"/>
          <w:color w:val="auto"/>
        </w:rPr>
        <w:t>4.1.1.5</w:t>
      </w:r>
      <w:r>
        <w:rPr>
          <w:sz w:val="20"/>
          <w:szCs w:val="20"/>
          <w:color w:val="auto"/>
        </w:rPr>
        <w:tab/>
      </w:r>
      <w:r>
        <w:rPr>
          <w:rFonts w:ascii="Arial" w:cs="Arial" w:eastAsia="Arial" w:hAnsi="Arial"/>
          <w:sz w:val="14"/>
          <w:szCs w:val="14"/>
          <w:b w:val="1"/>
          <w:bCs w:val="1"/>
          <w:color w:val="auto"/>
        </w:rPr>
        <w:t>Reporting to the Board of Directors and the Audit Committee</w:t>
      </w:r>
    </w:p>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Audit Committee as the Responsible Body or a body authorized thereby shall report as needed and at least annually to the Board of Directors on the implementation of the enforcement plan and related issues at the Committee’s discretion.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report to the Board of Directors may include but is not limited to supervision of the implementation of the plan through demanding periodic reports on the approval of the enforcement plan, updating the plan and its procedures, appointing relevant bodies, and the results of the supervision of the implementation and effectiveness of the plan.</w:t>
      </w:r>
    </w:p>
    <w:p>
      <w:pPr>
        <w:spacing w:after="0" w:line="15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4.1.2</w:t>
      </w:r>
      <w:r>
        <w:rPr>
          <w:sz w:val="20"/>
          <w:szCs w:val="20"/>
          <w:color w:val="auto"/>
        </w:rPr>
        <w:tab/>
      </w:r>
      <w:r>
        <w:rPr>
          <w:rFonts w:ascii="Arial" w:cs="Arial" w:eastAsia="Arial" w:hAnsi="Arial"/>
          <w:sz w:val="14"/>
          <w:szCs w:val="14"/>
          <w:b w:val="1"/>
          <w:bCs w:val="1"/>
          <w:color w:val="auto"/>
        </w:rPr>
        <w:t>Responsibility of the CEO/management – steering committee</w:t>
      </w:r>
    </w:p>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ISA’s Document provided that the CEO is the officer with supervisory responsibility to ensure the compliance of the Company and its employees with the securities laws through the shaping of the internal enforcement mechanisms.</w:t>
      </w:r>
    </w:p>
    <w:p>
      <w:pPr>
        <w:spacing w:after="0" w:line="15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Management is responsible for the shaping and formulation of the enforcement plan and its presentation for the Audit Committee’s approval. In addition it is responsible for the ongoing implementation of the plan.</w:t>
      </w:r>
    </w:p>
    <w:p>
      <w:pPr>
        <w:spacing w:after="0" w:line="15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Management shall act through the Enforcement Officer, Adv. Norman Kotler, as appointed on February 5, 2012, and through the Chief Financial &amp; Operating Officer, Philip Serlin, CPA.</w:t>
      </w:r>
    </w:p>
    <w:p>
      <w:pPr>
        <w:spacing w:after="0" w:line="14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As part of the fulfillment of such obligation, the CEO has appointed a </w:t>
      </w:r>
      <w:r>
        <w:rPr>
          <w:rFonts w:ascii="Arial" w:cs="Arial" w:eastAsia="Arial" w:hAnsi="Arial"/>
          <w:sz w:val="16"/>
          <w:szCs w:val="16"/>
          <w:b w:val="1"/>
          <w:bCs w:val="1"/>
          <w:u w:val="single" w:color="auto"/>
          <w:color w:val="auto"/>
        </w:rPr>
        <w:t>steering committee</w:t>
      </w:r>
      <w:r>
        <w:rPr>
          <w:rFonts w:ascii="Arial" w:cs="Arial" w:eastAsia="Arial" w:hAnsi="Arial"/>
          <w:sz w:val="16"/>
          <w:szCs w:val="16"/>
          <w:color w:val="auto"/>
        </w:rPr>
        <w:t xml:space="preserve"> to shape the internal enforcement mechanisms. The steering committee includes the following: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&amp; Operating Officer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Executive Director of Finance and Reporting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Internal Enforcement Officer</w:t>
      </w:r>
    </w:p>
    <w:p>
      <w:pPr>
        <w:spacing w:after="0" w:line="206"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steering committee is responsible for shaping the enforcement mechanisms, performing the compliance survey, writing the enforcement and assimilation plan and obtaining the suitable approvals from the relevant bodies.</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4.1.3</w:t>
      </w:r>
      <w:r>
        <w:rPr>
          <w:sz w:val="20"/>
          <w:szCs w:val="20"/>
          <w:color w:val="auto"/>
        </w:rPr>
        <w:tab/>
      </w:r>
      <w:r>
        <w:rPr>
          <w:rFonts w:ascii="Arial" w:cs="Arial" w:eastAsia="Arial" w:hAnsi="Arial"/>
          <w:sz w:val="14"/>
          <w:szCs w:val="14"/>
          <w:b w:val="1"/>
          <w:bCs w:val="1"/>
          <w:color w:val="auto"/>
        </w:rPr>
        <w:t>Responsibility of the Chief Financial &amp; Operating Officer</w:t>
      </w:r>
    </w:p>
    <w:p>
      <w:pPr>
        <w:spacing w:after="0" w:line="210"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Chief Financial &amp; Operating Officer, as management’s representative, is responsible for leading and managing the process of writing the enforcement plan and determining the mechanisms included therein.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Such power includes review and approval of the compliance survey, the enforcement plan and the procedures included therein.</w:t>
      </w:r>
    </w:p>
    <w:p>
      <w:pPr>
        <w:spacing w:after="0" w:line="206"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Chief Financial &amp; Operating Officer as the direct supervisor of the Enforcement Officer shall supervise his activity as the officer responsible for internal enforcement.</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4.1.4</w:t>
      </w:r>
      <w:r>
        <w:rPr>
          <w:sz w:val="20"/>
          <w:szCs w:val="20"/>
          <w:color w:val="auto"/>
        </w:rPr>
        <w:tab/>
      </w:r>
      <w:r>
        <w:rPr>
          <w:rFonts w:ascii="Arial" w:cs="Arial" w:eastAsia="Arial" w:hAnsi="Arial"/>
          <w:sz w:val="14"/>
          <w:szCs w:val="14"/>
          <w:b w:val="1"/>
          <w:bCs w:val="1"/>
          <w:color w:val="auto"/>
        </w:rPr>
        <w:t>Responsibility of the General Counsel and Internal Enforcement Officer</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General Counsel of the Company, as the officer in charge of the compliance culture and proper corporate governance in the Company and as the officer responsible for the compliance of the Company, its officers, managers and employee with the laws and regulations that apply to them, is involved in shaping, implementing and ensuring the compliance with the enforcement plan and examining the suitability of the mechanisms set forth in the enforcement plan and its procedures to the laws that apply to the Company.</w:t>
      </w:r>
    </w:p>
    <w:p>
      <w:pPr>
        <w:spacing w:after="0" w:line="168"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General Counsel shall take an active part in the deliberations of the steering committee of which he is a member, and by virtue of his appointment as the Internal Enforcement Officer (also to be referred to in this plan as the “Officer”) at the Company shall act to fulfill his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Responsibility</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 xml:space="preserve">The Officer shall in practice lead the implementation of the enforcement plan. Powers shall be conferred on the Officer, enabling him to carry out the processes and mechanisms included in the enforcement plan and that are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specified in the standards in the ISA Document and in Chapter 6 of this plan, “Appointment of the Enforcement Officer”.</w:t>
      </w:r>
    </w:p>
    <w:p>
      <w:pPr>
        <w:spacing w:after="0" w:line="16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6503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860"/>
          </w:cols>
          <w:pgMar w:left="820" w:top="322" w:right="21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color w:val="auto"/>
        </w:rPr>
        <w:t>The Officer’s responsibilities and the acts for the implementation of the enforcement plan are specified in the assimilation plan in Chapter 11.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For any question or query on the issue of the enforcement plan, please contact the Officer: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Adv. Norman Kotler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normank@biolinerx.com</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Tel. 02-5489139</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Determination of a work plan for the fulfillment of all of his obligations pursuant to this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be responsible to add as an annex</w:t>
      </w:r>
    </w:p>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4.1.5</w:t>
      </w:r>
      <w:r>
        <w:rPr>
          <w:sz w:val="20"/>
          <w:szCs w:val="20"/>
          <w:color w:val="auto"/>
        </w:rPr>
        <w:tab/>
      </w:r>
      <w:r>
        <w:rPr>
          <w:rFonts w:ascii="Arial" w:cs="Arial" w:eastAsia="Arial" w:hAnsi="Arial"/>
          <w:sz w:val="14"/>
          <w:szCs w:val="14"/>
          <w:b w:val="1"/>
          <w:bCs w:val="1"/>
          <w:color w:val="auto"/>
        </w:rPr>
        <w:t>Internal auditor’s responsibility</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The Internal Audit Law, 5752-1992, provides that the internal auditor of the Company is, </w:t>
      </w:r>
      <w:r>
        <w:rPr>
          <w:rFonts w:ascii="Arial" w:cs="Arial" w:eastAsia="Arial" w:hAnsi="Arial"/>
          <w:sz w:val="15"/>
          <w:szCs w:val="15"/>
          <w:i w:val="1"/>
          <w:iCs w:val="1"/>
          <w:color w:val="auto"/>
        </w:rPr>
        <w:t>inter alia</w:t>
      </w:r>
      <w:r>
        <w:rPr>
          <w:rFonts w:ascii="Arial" w:cs="Arial" w:eastAsia="Arial" w:hAnsi="Arial"/>
          <w:sz w:val="15"/>
          <w:szCs w:val="15"/>
          <w:color w:val="auto"/>
        </w:rPr>
        <w:t>, the body responsible for the examination of issues such as: the propriety of the actions of the Company and the officers, the fulfillment of the provisions that are binding on the Company and the carrying out of decision-making processes according to proper procedures and, consequently, contributes to the Company’s compliance and enforcement mechanisms.</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accordance with his or her in-depth familiarity with internal control at the Company, the internal auditor shall take an active part in the deliberations and shaping of the enforcement plan insofar as will be required.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supervision:</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One of the roles of the internal auditor in the context of an enforcement plan is supervising the activity of the Officer and the enforcement plan (as defined in the ISA Document).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order to perform such role, the auditor shall set include a periodic audit in his or her work plan, which may include: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Examining the relevance and effectiveness of the enforcement plan, the effectiveness of the Officer’s actions, examining the compliance with the enforcement plan and its procedures once every four years, handling irregular cases that were identified, completing the acts required in the enforcement plan within the required timelines.</w:t>
      </w:r>
    </w:p>
    <w:p>
      <w:pPr>
        <w:spacing w:after="0" w:line="16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6503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840"/>
          </w:cols>
          <w:pgMar w:left="820" w:top="322" w:right="239" w:bottom="1440" w:gutter="0" w:footer="0" w:header="0"/>
        </w:sectPr>
      </w:pPr>
    </w:p>
    <w:bookmarkStart w:id="288" w:name="page289"/>
    <w:bookmarkEnd w:id="288"/>
    <w:p>
      <w:pPr>
        <w:ind w:left="583" w:hanging="583"/>
        <w:spacing w:after="0"/>
        <w:tabs>
          <w:tab w:leader="none" w:pos="583" w:val="left"/>
        </w:tabs>
        <w:numPr>
          <w:ilvl w:val="0"/>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Guiding principles/issues addressed</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color w:val="auto"/>
        </w:rPr>
        <w:t>BioLine is a dual-listed company that is listed on the Tel Aviv Stock Exchange and on NASDAQ in the U.S.</w:t>
      </w:r>
    </w:p>
    <w:p>
      <w:pPr>
        <w:spacing w:after="0" w:line="202" w:lineRule="exact"/>
        <w:rPr>
          <w:sz w:val="20"/>
          <w:szCs w:val="20"/>
          <w:color w:val="auto"/>
        </w:rPr>
      </w:pPr>
    </w:p>
    <w:p>
      <w:pPr>
        <w:jc w:val="both"/>
        <w:ind w:left="3" w:right="20"/>
        <w:spacing w:after="0" w:line="288" w:lineRule="auto"/>
        <w:rPr>
          <w:sz w:val="20"/>
          <w:szCs w:val="20"/>
          <w:color w:val="auto"/>
        </w:rPr>
      </w:pPr>
      <w:r>
        <w:rPr>
          <w:rFonts w:ascii="Arial" w:cs="Arial" w:eastAsia="Arial" w:hAnsi="Arial"/>
          <w:sz w:val="16"/>
          <w:szCs w:val="16"/>
          <w:color w:val="auto"/>
        </w:rPr>
        <w:t>The Company’s reporting obligations derive mainly from the requirements of the U.S.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reports deriving from its compliance with SEC’s requirements are also published in the ISA’s reporting system.</w:t>
      </w:r>
    </w:p>
    <w:p>
      <w:pPr>
        <w:spacing w:after="0" w:line="147" w:lineRule="exact"/>
        <w:rPr>
          <w:sz w:val="20"/>
          <w:szCs w:val="20"/>
          <w:color w:val="auto"/>
        </w:rPr>
      </w:pPr>
    </w:p>
    <w:p>
      <w:pPr>
        <w:jc w:val="both"/>
        <w:ind w:left="3"/>
        <w:spacing w:after="0" w:line="283" w:lineRule="auto"/>
        <w:rPr>
          <w:sz w:val="20"/>
          <w:szCs w:val="20"/>
          <w:color w:val="auto"/>
        </w:rPr>
      </w:pPr>
      <w:r>
        <w:rPr>
          <w:rFonts w:ascii="Arial" w:cs="Arial" w:eastAsia="Arial" w:hAnsi="Arial"/>
          <w:sz w:val="16"/>
          <w:szCs w:val="16"/>
          <w:color w:val="auto"/>
        </w:rPr>
        <w:t>Pursuant to an examination of the violations in the Fifth and Seventh Schedules to the Law, and an examination of the relevance to the Company by the General Counsel and the Officer, the following issues were found to be relevant to the enforcement plan.</w:t>
      </w:r>
    </w:p>
    <w:p>
      <w:pPr>
        <w:spacing w:after="0" w:line="147"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Prospectus/annual report process</w:t>
      </w:r>
    </w:p>
    <w:p>
      <w:pPr>
        <w:spacing w:after="0" w:line="210" w:lineRule="exact"/>
        <w:rPr>
          <w:sz w:val="20"/>
          <w:szCs w:val="20"/>
          <w:color w:val="auto"/>
        </w:rPr>
      </w:pPr>
    </w:p>
    <w:p>
      <w:pPr>
        <w:jc w:val="both"/>
        <w:ind w:left="3" w:right="20"/>
        <w:spacing w:after="0" w:line="294" w:lineRule="auto"/>
        <w:rPr>
          <w:sz w:val="20"/>
          <w:szCs w:val="20"/>
          <w:color w:val="auto"/>
        </w:rPr>
      </w:pPr>
      <w:r>
        <w:rPr>
          <w:rFonts w:ascii="Arial" w:cs="Arial" w:eastAsia="Arial" w:hAnsi="Arial"/>
          <w:sz w:val="15"/>
          <w:szCs w:val="15"/>
          <w:color w:val="auto"/>
        </w:rPr>
        <w:t>Corporations publish a prospectus as part of the process of offering securities or bonds. In addition, under U.S. law, the Company is required to file an annual report with the SEC. The process of preparation of the annual report is similar to the one related to the preparation of a prospectus. The purpose of the prospectus and the annual report is to provide to the general public and to the reasonable investor in particular information that is essential to the decision to purchase the Company’s securities.</w:t>
      </w:r>
    </w:p>
    <w:p>
      <w:pPr>
        <w:spacing w:after="0" w:line="145" w:lineRule="exact"/>
        <w:rPr>
          <w:sz w:val="20"/>
          <w:szCs w:val="20"/>
          <w:color w:val="auto"/>
        </w:rPr>
      </w:pPr>
    </w:p>
    <w:p>
      <w:pPr>
        <w:jc w:val="both"/>
        <w:ind w:left="3" w:right="20"/>
        <w:spacing w:after="0" w:line="268" w:lineRule="auto"/>
        <w:rPr>
          <w:sz w:val="20"/>
          <w:szCs w:val="20"/>
          <w:color w:val="auto"/>
        </w:rPr>
      </w:pPr>
      <w:r>
        <w:rPr>
          <w:rFonts w:ascii="Arial" w:cs="Arial" w:eastAsia="Arial" w:hAnsi="Arial"/>
          <w:sz w:val="16"/>
          <w:szCs w:val="16"/>
          <w:color w:val="auto"/>
        </w:rPr>
        <w:t>In view of the Company’s dual listing, it is obligated to institute a process with regard to a prospectus or annual report (and which is relevant to the process at the main stock exchange) upon the completion of which, the Company shall be able to publish a full, reliable and up-to-date prospectus or report that is approved by any and all relevant bodies and meets all of the regulatory requirements.</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 process shall be regulated in the context of a procedure or a checklist, specifying the acts that are required and which shall be updated from time to time and as necessary.</w:t>
      </w:r>
    </w:p>
    <w:p>
      <w:pPr>
        <w:spacing w:after="0" w:line="225"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b w:val="1"/>
          <w:bCs w:val="1"/>
          <w:color w:val="auto"/>
        </w:rPr>
        <w:t>Reports to the SEC and ISA</w:t>
      </w:r>
    </w:p>
    <w:p>
      <w:pPr>
        <w:spacing w:after="0" w:line="210"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The purpose of the reports to the ISA is to update the investors and supervisory bodies on the Company’s condition and on developments or changes in its activity that may be relevant to the investing public. The Company’s reports are based on the reports to the SEC and which are required thereby.</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All of the reports must include full, reliable and current information and to fulfill any and all relevant regulatory requirements.</w:t>
      </w:r>
    </w:p>
    <w:p>
      <w:pPr>
        <w:spacing w:after="0" w:line="206"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A reporting obligation exists in various cases which affects the content and manner of reporting. This plan deals with three issues that arise from the obligations that apply as a result of the Fifth and Seventh Schedules</w:t>
      </w:r>
    </w:p>
    <w:p>
      <w:pPr>
        <w:spacing w:after="0" w:line="147" w:lineRule="exact"/>
        <w:rPr>
          <w:sz w:val="20"/>
          <w:szCs w:val="20"/>
          <w:color w:val="auto"/>
        </w:rPr>
      </w:pPr>
    </w:p>
    <w:p>
      <w:pPr>
        <w:jc w:val="both"/>
        <w:ind w:left="583" w:right="20"/>
        <w:spacing w:after="0" w:line="324" w:lineRule="auto"/>
        <w:rPr>
          <w:sz w:val="20"/>
          <w:szCs w:val="20"/>
          <w:color w:val="auto"/>
        </w:rPr>
      </w:pPr>
      <w:r>
        <w:rPr>
          <w:rFonts w:ascii="Arial" w:cs="Arial" w:eastAsia="Arial" w:hAnsi="Arial"/>
          <w:sz w:val="15"/>
          <w:szCs w:val="15"/>
          <w:b w:val="1"/>
          <w:bCs w:val="1"/>
          <w:color w:val="auto"/>
        </w:rPr>
        <w:t xml:space="preserve">5.2.1 Periodic reports – </w:t>
      </w:r>
      <w:r>
        <w:rPr>
          <w:rFonts w:ascii="Arial" w:cs="Arial" w:eastAsia="Arial" w:hAnsi="Arial"/>
          <w:sz w:val="15"/>
          <w:szCs w:val="15"/>
          <w:color w:val="auto"/>
        </w:rPr>
        <w:t>In addition to an extensive annual report, a public company is required to release financial statements on a quarterly basis.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case, the structure and content of the reports are audited and supervised according to international accounting standards and the rules of the SEC.</w:t>
      </w:r>
    </w:p>
    <w:p>
      <w:pPr>
        <w:spacing w:after="0" w:line="123" w:lineRule="exact"/>
        <w:rPr>
          <w:sz w:val="20"/>
          <w:szCs w:val="20"/>
          <w:color w:val="auto"/>
        </w:rPr>
      </w:pPr>
    </w:p>
    <w:p>
      <w:pPr>
        <w:jc w:val="both"/>
        <w:ind w:left="583" w:right="20"/>
        <w:spacing w:after="0" w:line="268" w:lineRule="auto"/>
        <w:rPr>
          <w:sz w:val="20"/>
          <w:szCs w:val="20"/>
          <w:color w:val="auto"/>
        </w:rPr>
      </w:pPr>
      <w:r>
        <w:rPr>
          <w:rFonts w:ascii="Arial" w:cs="Arial" w:eastAsia="Arial" w:hAnsi="Arial"/>
          <w:sz w:val="16"/>
          <w:szCs w:val="16"/>
          <w:color w:val="auto"/>
        </w:rPr>
        <w:t>Establishing an internal procedure regarding periodic reporting will assist the Company in minimizing the risks related to the deadline for and appropriateness of the periodic reporting, and the fulfillment and enforcement thereof will assist in the prevention of failures on the part of employees and officers with regard to the subject, directly or indirectly.</w:t>
      </w:r>
    </w:p>
    <w:p>
      <w:pPr>
        <w:spacing w:after="0" w:line="159" w:lineRule="exact"/>
        <w:rPr>
          <w:sz w:val="20"/>
          <w:szCs w:val="20"/>
          <w:color w:val="auto"/>
        </w:rPr>
      </w:pPr>
    </w:p>
    <w:p>
      <w:pPr>
        <w:jc w:val="both"/>
        <w:ind w:left="583" w:right="20"/>
        <w:spacing w:after="0" w:line="288" w:lineRule="auto"/>
        <w:rPr>
          <w:sz w:val="20"/>
          <w:szCs w:val="20"/>
          <w:color w:val="auto"/>
        </w:rPr>
      </w:pPr>
      <w:r>
        <w:rPr>
          <w:rFonts w:ascii="Arial" w:cs="Arial" w:eastAsia="Arial" w:hAnsi="Arial"/>
          <w:sz w:val="15"/>
          <w:szCs w:val="15"/>
          <w:b w:val="1"/>
          <w:bCs w:val="1"/>
          <w:color w:val="auto"/>
        </w:rPr>
        <w:t xml:space="preserve">5.2.2 Immediate reports </w:t>
      </w:r>
      <w:r>
        <w:rPr>
          <w:rFonts w:ascii="Arial" w:cs="Arial" w:eastAsia="Arial" w:hAnsi="Arial"/>
          <w:sz w:val="15"/>
          <w:szCs w:val="15"/>
          <w:color w:val="auto"/>
        </w:rPr>
        <w:t>– BioLine, as a dual public company, is required to immediately report (according to SEC’s reporting rules) material events which</w:t>
      </w:r>
      <w:r>
        <w:rPr>
          <w:rFonts w:ascii="Arial" w:cs="Arial" w:eastAsia="Arial" w:hAnsi="Arial"/>
          <w:sz w:val="15"/>
          <w:szCs w:val="15"/>
          <w:b w:val="1"/>
          <w:bCs w:val="1"/>
          <w:color w:val="auto"/>
        </w:rPr>
        <w:t xml:space="preserve"> </w:t>
      </w:r>
      <w:r>
        <w:rPr>
          <w:rFonts w:ascii="Arial" w:cs="Arial" w:eastAsia="Arial" w:hAnsi="Arial"/>
          <w:sz w:val="15"/>
          <w:szCs w:val="15"/>
          <w:color w:val="auto"/>
        </w:rPr>
        <w:t>may have an effect on the price of the Company’s securities. The identification of the need to report, the decision on the need to report, the weighing of conflicting interests, the timing and content of the report, requires the Company to have an orderly process, which includes the identification of information which may have to be reported, the consultation with regard to the need to report, and the actual reporting, all within the timeframes prescribed in by applicable regulations.</w:t>
      </w:r>
    </w:p>
    <w:p>
      <w:pPr>
        <w:spacing w:after="0" w:line="150" w:lineRule="exact"/>
        <w:rPr>
          <w:sz w:val="20"/>
          <w:szCs w:val="20"/>
          <w:color w:val="auto"/>
        </w:rPr>
      </w:pPr>
    </w:p>
    <w:p>
      <w:pPr>
        <w:jc w:val="both"/>
        <w:ind w:left="583" w:right="20"/>
        <w:spacing w:after="0" w:line="283" w:lineRule="auto"/>
        <w:rPr>
          <w:sz w:val="20"/>
          <w:szCs w:val="20"/>
          <w:color w:val="auto"/>
        </w:rPr>
      </w:pPr>
      <w:r>
        <w:rPr>
          <w:rFonts w:ascii="Arial" w:cs="Arial" w:eastAsia="Arial" w:hAnsi="Arial"/>
          <w:sz w:val="16"/>
          <w:szCs w:val="16"/>
          <w:color w:val="auto"/>
        </w:rPr>
        <w:t>The purpose of establishing a process and determining rules of activity and conduct is to provide current, accurate and full reporting to the SEC, the ISA and the public, on issues that are regulated in the securities laws and the regulations thereunder.</w:t>
      </w:r>
    </w:p>
    <w:p>
      <w:pPr>
        <w:spacing w:after="0" w:line="151" w:lineRule="exact"/>
        <w:rPr>
          <w:sz w:val="20"/>
          <w:szCs w:val="20"/>
          <w:color w:val="auto"/>
        </w:rPr>
      </w:pPr>
    </w:p>
    <w:p>
      <w:pPr>
        <w:jc w:val="both"/>
        <w:ind w:left="583" w:right="20"/>
        <w:spacing w:after="0" w:line="268" w:lineRule="auto"/>
        <w:rPr>
          <w:sz w:val="20"/>
          <w:szCs w:val="20"/>
          <w:color w:val="auto"/>
        </w:rPr>
      </w:pPr>
      <w:r>
        <w:rPr>
          <w:rFonts w:ascii="Arial" w:cs="Arial" w:eastAsia="Arial" w:hAnsi="Arial"/>
          <w:sz w:val="16"/>
          <w:szCs w:val="16"/>
          <w:color w:val="auto"/>
        </w:rPr>
        <w:t>Establishing an internal procedure regarding immediate reports will assist the Company in minimizing the risks related to the deadline for and appropriateness of the periodic reporting, and the fulfillment and enforcement thereof will assist in the prevention of failures on the part of employees and officers with regard to the subject, directly or indirectly.</w:t>
      </w:r>
    </w:p>
    <w:p>
      <w:pPr>
        <w:spacing w:after="0" w:line="1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513" w:right="219" w:bottom="1440" w:gutter="0" w:footer="0" w:header="0"/>
        </w:sectPr>
      </w:pPr>
    </w:p>
    <w:bookmarkStart w:id="289" w:name="page290"/>
    <w:bookmarkEnd w:id="289"/>
    <w:p>
      <w:pPr>
        <w:spacing w:after="0"/>
        <w:tabs>
          <w:tab w:leader="none" w:pos="56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Prohibition on the use of inside information</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Inside information is “information on developments in the company, changes in its condition, expected developments or changes, or other information about the company, which is unknown to the public and which, were it to become known to the public, would result in a material change in the price of the Company’s security or the price of another security of which the Company’s security is a basic asset.” It was determined in the legislation that the use of inside information for the purpose of a securities transaction or its transmission to another, are prohibited by law.</w:t>
      </w:r>
    </w:p>
    <w:p>
      <w:pPr>
        <w:spacing w:after="0" w:line="168"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Each corporation is required to adopt rules and guidelines in order to fulfill Chapter H1 of the Securities Law including all of its provisions, as well as the U.S. laws which relate to such issue, all in order to prevent the use of inside information by the Company’s employees and other bodies.</w:t>
      </w:r>
    </w:p>
    <w:p>
      <w:pPr>
        <w:spacing w:after="0" w:line="15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It is necessary to put in place a process to cover the identification of the sensitive information, clarify the prohibition to use the same and assimilate it among any and all persons who come into contact with such information.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Establishing an internal procedure regarding the use of inside information will assist the Company in minimizing the risks related to the deadline for and appropriateness of the periodic reporting, and the fulfillment and enforcement thereof will assist in the prevention of failures on the part of employees and officers with regard to the subject, directly or indirectly.</w:t>
      </w:r>
    </w:p>
    <w:p>
      <w:pPr>
        <w:spacing w:after="0" w:line="15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4"/>
          <w:szCs w:val="14"/>
          <w:b w:val="1"/>
          <w:bCs w:val="1"/>
          <w:color w:val="auto"/>
        </w:rPr>
        <w:t>Transactions with interested parties</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 xml:space="preserve">Interested party transactions are transactions entered into between one of the interested parties of the company (or between a company affiliated with that party or a person related to it) and the company. Such transactions contain a potential for a conflict of interests that is higher than in ordinary transactions. Therefore, applicable laws and regulations set forth conditions to the approval of such type of transactions, </w:t>
      </w:r>
      <w:r>
        <w:rPr>
          <w:rFonts w:ascii="Arial" w:cs="Arial" w:eastAsia="Arial" w:hAnsi="Arial"/>
          <w:sz w:val="15"/>
          <w:szCs w:val="15"/>
          <w:i w:val="1"/>
          <w:iCs w:val="1"/>
          <w:color w:val="auto"/>
        </w:rPr>
        <w:t>inter alia</w:t>
      </w:r>
      <w:r>
        <w:rPr>
          <w:rFonts w:ascii="Arial" w:cs="Arial" w:eastAsia="Arial" w:hAnsi="Arial"/>
          <w:sz w:val="15"/>
          <w:szCs w:val="15"/>
          <w:color w:val="auto"/>
        </w:rPr>
        <w:t>, the manner of approval thereof by various organs of the corporation (including, under circumstances set forth in the law, an approval by a general meeting of a majority of the shareholders of the company from among the those shareholders who do not have a personal interest in relation to the transaction), and the disclosure to the public of the terms and conditions of the transaction.</w:t>
      </w:r>
    </w:p>
    <w:p>
      <w:pPr>
        <w:spacing w:after="0" w:line="1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view of the regulatory requirements concerning the identification of such transactions, the manner of approval thereof and reporting thereon, a controlled process should be put in place concerning the subject, in order to reduce the related risks and assist in the prevention of failures in the matter.</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5.5</w:t>
      </w:r>
      <w:r>
        <w:rPr>
          <w:sz w:val="20"/>
          <w:szCs w:val="20"/>
          <w:color w:val="auto"/>
        </w:rPr>
        <w:tab/>
      </w:r>
      <w:r>
        <w:rPr>
          <w:rFonts w:ascii="Arial" w:cs="Arial" w:eastAsia="Arial" w:hAnsi="Arial"/>
          <w:sz w:val="14"/>
          <w:szCs w:val="14"/>
          <w:b w:val="1"/>
          <w:bCs w:val="1"/>
          <w:color w:val="auto"/>
        </w:rPr>
        <w:t>Procedure for period end closing</w:t>
      </w:r>
    </w:p>
    <w:p>
      <w:pPr>
        <w:spacing w:after="0" w:line="21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accordance with the Companies Law, 5759-1999, the Securities Law and U.S. securities laws, public companies must abide by all disclosure rules and prepare proper financial statements covering all accounting operations. Companies must therefore operate in accordance with orderly and well-defined work procedures, and generate reports conform to accepted accounting practices, according to the provisions of the law. The procedure for period end closing, which is in the advanced stage of drafting, intended to set in order the preparation of the Company’s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290" w:name="page291"/>
    <w:bookmarkEnd w:id="290"/>
    <w:p>
      <w:pPr>
        <w:ind w:left="583" w:hanging="583"/>
        <w:spacing w:after="0"/>
        <w:tabs>
          <w:tab w:leader="none" w:pos="583"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 an Internal Enforcement Officer</w:t>
      </w:r>
    </w:p>
    <w:p>
      <w:pPr>
        <w:spacing w:after="0" w:line="205" w:lineRule="exact"/>
        <w:rPr>
          <w:rFonts w:ascii="Arial" w:cs="Arial" w:eastAsia="Arial" w:hAnsi="Arial"/>
          <w:sz w:val="16"/>
          <w:szCs w:val="16"/>
          <w:b w:val="1"/>
          <w:bCs w:val="1"/>
          <w:color w:val="auto"/>
        </w:rPr>
      </w:pPr>
    </w:p>
    <w:p>
      <w:pPr>
        <w:ind w:left="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6.1</w:t>
      </w:r>
      <w:r>
        <w:rPr>
          <w:rFonts w:ascii="Arial" w:cs="Arial" w:eastAsia="Arial" w:hAnsi="Arial"/>
          <w:sz w:val="14"/>
          <w:szCs w:val="14"/>
          <w:b w:val="1"/>
          <w:bCs w:val="1"/>
          <w:color w:val="auto"/>
        </w:rPr>
        <w:t>Appointment of an Officer</w:t>
      </w:r>
    </w:p>
    <w:p>
      <w:pPr>
        <w:spacing w:after="0" w:line="210"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The Officer shall have the skills, knowledge and experience that are appropriate for his position and areas of responsibility and shall be a manager in the Company who is familiar with the Company’s activity and the business and regulatory environment in which it operates.</w:t>
      </w:r>
    </w:p>
    <w:p>
      <w:pPr>
        <w:spacing w:after="0" w:line="151"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The Company’s management and the Audit Committee shall ensure that the Officer is given the powers and provided with suitable resources such that they will enable him to fulfill his duties and exercise his powers (as will be specified below) in an optimal manner.</w:t>
      </w:r>
    </w:p>
    <w:p>
      <w:pPr>
        <w:spacing w:after="0" w:line="147"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The appointment and approval (and change) process</w:t>
      </w:r>
    </w:p>
    <w:p>
      <w:pPr>
        <w:spacing w:after="0" w:line="210"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6"/>
          <w:szCs w:val="16"/>
          <w:color w:val="auto"/>
        </w:rPr>
        <w:t>The candidacy of the Officer shall be presented to the Audit Committee together with management’s recommendation to appoint him as the Officer, after the presentation of his skills and experience. For the purpose of management and implementation of the internal enforcement plan, on February 5, 2012, the Audit Committee appointed Adv. Norman Kotler for the position of Internal Enforcement Officer.</w:t>
      </w:r>
      <w:r>
        <w:rPr>
          <w:rFonts w:ascii="Arial" w:cs="Arial" w:eastAsia="Arial" w:hAnsi="Arial"/>
          <w:sz w:val="22"/>
          <w:szCs w:val="22"/>
          <w:color w:val="auto"/>
          <w:vertAlign w:val="superscript"/>
        </w:rPr>
        <w:t>1</w:t>
      </w:r>
    </w:p>
    <w:p>
      <w:pPr>
        <w:spacing w:after="0" w:line="68"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As set forth in the ISA Document, it was determined that the appointment of a new officer and/or removal of the Officer from his position require the management’s recommendation and the approval of the Audit Committee.</w:t>
      </w:r>
    </w:p>
    <w:p>
      <w:pPr>
        <w:spacing w:after="0" w:line="147"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6.3</w:t>
      </w:r>
      <w:r>
        <w:rPr>
          <w:sz w:val="20"/>
          <w:szCs w:val="20"/>
          <w:color w:val="auto"/>
        </w:rPr>
        <w:tab/>
      </w:r>
      <w:r>
        <w:rPr>
          <w:rFonts w:ascii="Arial" w:cs="Arial" w:eastAsia="Arial" w:hAnsi="Arial"/>
          <w:sz w:val="14"/>
          <w:szCs w:val="14"/>
          <w:b w:val="1"/>
          <w:bCs w:val="1"/>
          <w:color w:val="auto"/>
        </w:rPr>
        <w:t>Powers</w:t>
      </w:r>
    </w:p>
    <w:p>
      <w:pPr>
        <w:spacing w:after="0" w:line="210"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The Officer’s first and foremost authority is to implement the internal enforcement plan and lead the actual acts of enforcement pursuant to the plan,the requirements of the Law and the recommendations of the ISA and/or any other relevant body.</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Officer’s powers include but are not limited to the powers listed in the ISA Document:</w:t>
      </w:r>
    </w:p>
    <w:p>
      <w:pPr>
        <w:spacing w:after="0" w:line="202" w:lineRule="exact"/>
        <w:rPr>
          <w:sz w:val="20"/>
          <w:szCs w:val="20"/>
          <w:color w:val="auto"/>
        </w:rPr>
      </w:pPr>
    </w:p>
    <w:p>
      <w:pPr>
        <w:ind w:left="583"/>
        <w:spacing w:after="0"/>
        <w:tabs>
          <w:tab w:leader="none" w:pos="1142" w:val="left"/>
        </w:tabs>
        <w:rPr>
          <w:sz w:val="20"/>
          <w:szCs w:val="20"/>
          <w:color w:val="auto"/>
        </w:rPr>
      </w:pPr>
      <w:r>
        <w:rPr>
          <w:rFonts w:ascii="Arial" w:cs="Arial" w:eastAsia="Arial" w:hAnsi="Arial"/>
          <w:sz w:val="16"/>
          <w:szCs w:val="16"/>
          <w:b w:val="1"/>
          <w:bCs w:val="1"/>
          <w:color w:val="auto"/>
        </w:rPr>
        <w:t>6.3.1</w:t>
      </w:r>
      <w:r>
        <w:rPr>
          <w:sz w:val="20"/>
          <w:szCs w:val="20"/>
          <w:color w:val="auto"/>
        </w:rPr>
        <w:tab/>
      </w:r>
      <w:r>
        <w:rPr>
          <w:rFonts w:ascii="Arial" w:cs="Arial" w:eastAsia="Arial" w:hAnsi="Arial"/>
          <w:sz w:val="14"/>
          <w:szCs w:val="14"/>
          <w:b w:val="1"/>
          <w:bCs w:val="1"/>
          <w:color w:val="auto"/>
        </w:rPr>
        <w:t>Ongoing supervision:</w:t>
      </w:r>
    </w:p>
    <w:p>
      <w:pPr>
        <w:spacing w:after="0" w:line="210" w:lineRule="exact"/>
        <w:rPr>
          <w:sz w:val="20"/>
          <w:szCs w:val="20"/>
          <w:color w:val="auto"/>
        </w:rPr>
      </w:pPr>
    </w:p>
    <w:p>
      <w:pPr>
        <w:ind w:left="583"/>
        <w:spacing w:after="0"/>
        <w:rPr>
          <w:sz w:val="20"/>
          <w:szCs w:val="20"/>
          <w:color w:val="auto"/>
        </w:rPr>
      </w:pPr>
      <w:r>
        <w:rPr>
          <w:rFonts w:ascii="Arial" w:cs="Arial" w:eastAsia="Arial" w:hAnsi="Arial"/>
          <w:sz w:val="15"/>
          <w:szCs w:val="15"/>
          <w:color w:val="auto"/>
        </w:rPr>
        <w:t>The Company, through the Officer, shall ensure on an ongoing basis that the plan is actually implemented in order to achieve its goals as specified above.</w:t>
      </w:r>
    </w:p>
    <w:p>
      <w:pPr>
        <w:spacing w:after="0" w:line="217" w:lineRule="exact"/>
        <w:rPr>
          <w:sz w:val="20"/>
          <w:szCs w:val="20"/>
          <w:color w:val="auto"/>
        </w:rPr>
      </w:pPr>
    </w:p>
    <w:p>
      <w:pPr>
        <w:ind w:left="583"/>
        <w:spacing w:after="0"/>
        <w:rPr>
          <w:sz w:val="20"/>
          <w:szCs w:val="20"/>
          <w:color w:val="auto"/>
        </w:rPr>
      </w:pPr>
      <w:r>
        <w:rPr>
          <w:rFonts w:ascii="Arial" w:cs="Arial" w:eastAsia="Arial" w:hAnsi="Arial"/>
          <w:sz w:val="16"/>
          <w:szCs w:val="16"/>
          <w:color w:val="auto"/>
        </w:rPr>
        <w:t>Such supervision shall be performed through:</w:t>
      </w:r>
    </w:p>
    <w:p>
      <w:pPr>
        <w:spacing w:after="0" w:line="206" w:lineRule="exact"/>
        <w:rPr>
          <w:sz w:val="20"/>
          <w:szCs w:val="20"/>
          <w:color w:val="auto"/>
        </w:rPr>
      </w:pPr>
    </w:p>
    <w:p>
      <w:pPr>
        <w:ind w:left="583"/>
        <w:spacing w:after="0" w:line="283" w:lineRule="auto"/>
        <w:rPr>
          <w:sz w:val="20"/>
          <w:szCs w:val="20"/>
          <w:color w:val="auto"/>
        </w:rPr>
      </w:pPr>
      <w:r>
        <w:rPr>
          <w:rFonts w:ascii="Arial" w:cs="Arial" w:eastAsia="Arial" w:hAnsi="Arial"/>
          <w:sz w:val="16"/>
          <w:szCs w:val="16"/>
          <w:u w:val="single" w:color="auto"/>
          <w:color w:val="auto"/>
        </w:rPr>
        <w:t>Formulation of periodic reports</w:t>
      </w:r>
      <w:r>
        <w:rPr>
          <w:rFonts w:ascii="Arial" w:cs="Arial" w:eastAsia="Arial" w:hAnsi="Arial"/>
          <w:sz w:val="16"/>
          <w:szCs w:val="16"/>
          <w:color w:val="auto"/>
        </w:rPr>
        <w:t xml:space="preserve"> which include the means and actions that were taken in order to ensure the implementation of the plan, suspicionsof violations that were raised and how they were addressed, examination of relevance, updates and progress of assimilation of the plan, etc.</w:t>
      </w:r>
    </w:p>
    <w:p>
      <w:pPr>
        <w:spacing w:after="0" w:line="151" w:lineRule="exact"/>
        <w:rPr>
          <w:sz w:val="20"/>
          <w:szCs w:val="20"/>
          <w:color w:val="auto"/>
        </w:rPr>
      </w:pPr>
    </w:p>
    <w:p>
      <w:pPr>
        <w:ind w:left="583" w:right="20"/>
        <w:spacing w:after="0" w:line="283" w:lineRule="auto"/>
        <w:rPr>
          <w:sz w:val="20"/>
          <w:szCs w:val="20"/>
          <w:color w:val="auto"/>
        </w:rPr>
      </w:pPr>
      <w:r>
        <w:rPr>
          <w:rFonts w:ascii="Arial" w:cs="Arial" w:eastAsia="Arial" w:hAnsi="Arial"/>
          <w:sz w:val="16"/>
          <w:szCs w:val="16"/>
          <w:u w:val="single" w:color="auto"/>
          <w:color w:val="auto"/>
        </w:rPr>
        <w:t>Presentation of the reports</w:t>
      </w:r>
      <w:r>
        <w:rPr>
          <w:rFonts w:ascii="Arial" w:cs="Arial" w:eastAsia="Arial" w:hAnsi="Arial"/>
          <w:sz w:val="16"/>
          <w:szCs w:val="16"/>
          <w:color w:val="auto"/>
        </w:rPr>
        <w:t xml:space="preserve"> to the Company’s management and/or Audit Committee and/or Board of Directors and deliberation on the data reported by the forum to be determined.</w:t>
      </w:r>
    </w:p>
    <w:p>
      <w:pPr>
        <w:spacing w:after="0" w:line="151" w:lineRule="exact"/>
        <w:rPr>
          <w:sz w:val="20"/>
          <w:szCs w:val="20"/>
          <w:color w:val="auto"/>
        </w:rPr>
      </w:pPr>
    </w:p>
    <w:p>
      <w:pPr>
        <w:ind w:left="583"/>
        <w:spacing w:after="0"/>
        <w:rPr>
          <w:sz w:val="20"/>
          <w:szCs w:val="20"/>
          <w:color w:val="auto"/>
        </w:rPr>
      </w:pPr>
      <w:r>
        <w:rPr>
          <w:rFonts w:ascii="Arial" w:cs="Arial" w:eastAsia="Arial" w:hAnsi="Arial"/>
          <w:sz w:val="16"/>
          <w:szCs w:val="16"/>
          <w:u w:val="single" w:color="auto"/>
          <w:color w:val="auto"/>
        </w:rPr>
        <w:t>Reporting of issues requiring immediate attention</w:t>
      </w:r>
      <w:r>
        <w:rPr>
          <w:rFonts w:ascii="Arial" w:cs="Arial" w:eastAsia="Arial" w:hAnsi="Arial"/>
          <w:sz w:val="16"/>
          <w:szCs w:val="16"/>
          <w:color w:val="auto"/>
        </w:rPr>
        <w:t xml:space="preserve"> to the Company’s management and/or Audit Committee and/or Board of Directors.</w:t>
      </w:r>
    </w:p>
    <w:p>
      <w:pPr>
        <w:spacing w:after="0" w:line="206" w:lineRule="exact"/>
        <w:rPr>
          <w:sz w:val="20"/>
          <w:szCs w:val="20"/>
          <w:color w:val="auto"/>
        </w:rPr>
      </w:pPr>
    </w:p>
    <w:p>
      <w:pPr>
        <w:ind w:left="583" w:right="20"/>
        <w:spacing w:after="0" w:line="283" w:lineRule="auto"/>
        <w:rPr>
          <w:sz w:val="20"/>
          <w:szCs w:val="20"/>
          <w:color w:val="auto"/>
        </w:rPr>
      </w:pPr>
      <w:r>
        <w:rPr>
          <w:rFonts w:ascii="Arial" w:cs="Arial" w:eastAsia="Arial" w:hAnsi="Arial"/>
          <w:sz w:val="16"/>
          <w:szCs w:val="16"/>
          <w:u w:val="single" w:color="auto"/>
          <w:color w:val="auto"/>
        </w:rPr>
        <w:t>Documentation of the processes related to formulation of the plan</w:t>
      </w:r>
      <w:r>
        <w:rPr>
          <w:rFonts w:ascii="Arial" w:cs="Arial" w:eastAsia="Arial" w:hAnsi="Arial"/>
          <w:sz w:val="16"/>
          <w:szCs w:val="16"/>
          <w:color w:val="auto"/>
        </w:rPr>
        <w:t>, and the means that were instituted to implement the plan and to handle violations, as well as documentation, provision of documents for inspection and preservation of documents pursuant to the provisions of the Law.</w:t>
      </w:r>
    </w:p>
    <w:p>
      <w:pPr>
        <w:spacing w:after="0" w:line="147" w:lineRule="exact"/>
        <w:rPr>
          <w:sz w:val="20"/>
          <w:szCs w:val="20"/>
          <w:color w:val="auto"/>
        </w:rPr>
      </w:pPr>
    </w:p>
    <w:p>
      <w:pPr>
        <w:ind w:left="583"/>
        <w:spacing w:after="0"/>
        <w:tabs>
          <w:tab w:leader="none" w:pos="1142" w:val="left"/>
        </w:tabs>
        <w:rPr>
          <w:sz w:val="20"/>
          <w:szCs w:val="20"/>
          <w:color w:val="auto"/>
        </w:rPr>
      </w:pPr>
      <w:r>
        <w:rPr>
          <w:rFonts w:ascii="Arial" w:cs="Arial" w:eastAsia="Arial" w:hAnsi="Arial"/>
          <w:sz w:val="16"/>
          <w:szCs w:val="16"/>
          <w:b w:val="1"/>
          <w:bCs w:val="1"/>
          <w:color w:val="auto"/>
        </w:rPr>
        <w:t>6.3.2</w:t>
      </w:r>
      <w:r>
        <w:rPr>
          <w:sz w:val="20"/>
          <w:szCs w:val="20"/>
          <w:color w:val="auto"/>
        </w:rPr>
        <w:tab/>
      </w:r>
      <w:r>
        <w:rPr>
          <w:rFonts w:ascii="Arial" w:cs="Arial" w:eastAsia="Arial" w:hAnsi="Arial"/>
          <w:sz w:val="14"/>
          <w:szCs w:val="14"/>
          <w:b w:val="1"/>
          <w:bCs w:val="1"/>
          <w:color w:val="auto"/>
        </w:rPr>
        <w:t>Investigating suspected violations:</w:t>
      </w:r>
    </w:p>
    <w:p>
      <w:pPr>
        <w:spacing w:after="0" w:line="210" w:lineRule="exact"/>
        <w:rPr>
          <w:sz w:val="20"/>
          <w:szCs w:val="20"/>
          <w:color w:val="auto"/>
        </w:rPr>
      </w:pPr>
    </w:p>
    <w:p>
      <w:pPr>
        <w:ind w:left="583" w:right="20"/>
        <w:spacing w:after="0" w:line="318" w:lineRule="auto"/>
        <w:rPr>
          <w:sz w:val="20"/>
          <w:szCs w:val="20"/>
          <w:color w:val="auto"/>
        </w:rPr>
      </w:pPr>
      <w:r>
        <w:rPr>
          <w:rFonts w:ascii="Arial" w:cs="Arial" w:eastAsia="Arial" w:hAnsi="Arial"/>
          <w:sz w:val="15"/>
          <w:szCs w:val="15"/>
          <w:color w:val="auto"/>
        </w:rPr>
        <w:t>In any case of a suspected violation brought to his knowledge, the Officer shall act to investigate the facts together with a special-purpose team to be appointed by the Chief Financial &amp; Operating Officer, and if it transpires that there was a failure and a violation has occurred, he shall examine the reasons for the failure.</w:t>
      </w:r>
    </w:p>
    <w:p>
      <w:pPr>
        <w:spacing w:after="0" w:line="123" w:lineRule="exact"/>
        <w:rPr>
          <w:sz w:val="20"/>
          <w:szCs w:val="20"/>
          <w:color w:val="auto"/>
        </w:rPr>
      </w:pPr>
    </w:p>
    <w:p>
      <w:pPr>
        <w:ind w:left="583"/>
        <w:spacing w:after="0"/>
        <w:tabs>
          <w:tab w:leader="none" w:pos="1142" w:val="left"/>
        </w:tabs>
        <w:rPr>
          <w:sz w:val="20"/>
          <w:szCs w:val="20"/>
          <w:color w:val="auto"/>
        </w:rPr>
      </w:pPr>
      <w:r>
        <w:rPr>
          <w:rFonts w:ascii="Arial" w:cs="Arial" w:eastAsia="Arial" w:hAnsi="Arial"/>
          <w:sz w:val="16"/>
          <w:szCs w:val="16"/>
          <w:b w:val="1"/>
          <w:bCs w:val="1"/>
          <w:color w:val="auto"/>
        </w:rPr>
        <w:t>6.3.3</w:t>
      </w:r>
      <w:r>
        <w:rPr>
          <w:sz w:val="20"/>
          <w:szCs w:val="20"/>
          <w:color w:val="auto"/>
        </w:rPr>
        <w:tab/>
      </w:r>
      <w:r>
        <w:rPr>
          <w:rFonts w:ascii="Arial" w:cs="Arial" w:eastAsia="Arial" w:hAnsi="Arial"/>
          <w:sz w:val="14"/>
          <w:szCs w:val="14"/>
          <w:b w:val="1"/>
          <w:bCs w:val="1"/>
          <w:color w:val="auto"/>
        </w:rPr>
        <w:t>Remedying the violation:</w:t>
      </w:r>
    </w:p>
    <w:p>
      <w:pPr>
        <w:spacing w:after="0" w:line="210" w:lineRule="exact"/>
        <w:rPr>
          <w:sz w:val="20"/>
          <w:szCs w:val="20"/>
          <w:color w:val="auto"/>
        </w:rPr>
      </w:pPr>
    </w:p>
    <w:p>
      <w:pPr>
        <w:ind w:left="583" w:right="20"/>
        <w:spacing w:after="0" w:line="283" w:lineRule="auto"/>
        <w:rPr>
          <w:sz w:val="20"/>
          <w:szCs w:val="20"/>
          <w:color w:val="auto"/>
        </w:rPr>
      </w:pPr>
      <w:r>
        <w:rPr>
          <w:rFonts w:ascii="Arial" w:cs="Arial" w:eastAsia="Arial" w:hAnsi="Arial"/>
          <w:sz w:val="16"/>
          <w:szCs w:val="16"/>
          <w:color w:val="auto"/>
        </w:rPr>
        <w:t>The Officer shall act to remedy the discovered violation or failure as soon as possible and in accordance with the guidelines and approvals of the relevant bodies (the committee, managers and officers that are affected by the change, etc.)</w:t>
      </w:r>
    </w:p>
    <w:p>
      <w:pPr>
        <w:spacing w:after="0" w:line="147" w:lineRule="exact"/>
        <w:rPr>
          <w:sz w:val="20"/>
          <w:szCs w:val="20"/>
          <w:color w:val="auto"/>
        </w:rPr>
      </w:pPr>
    </w:p>
    <w:p>
      <w:pPr>
        <w:ind w:left="583"/>
        <w:spacing w:after="0"/>
        <w:tabs>
          <w:tab w:leader="none" w:pos="1142" w:val="left"/>
        </w:tabs>
        <w:rPr>
          <w:sz w:val="20"/>
          <w:szCs w:val="20"/>
          <w:color w:val="auto"/>
        </w:rPr>
      </w:pPr>
      <w:r>
        <w:rPr>
          <w:rFonts w:ascii="Arial" w:cs="Arial" w:eastAsia="Arial" w:hAnsi="Arial"/>
          <w:sz w:val="16"/>
          <w:szCs w:val="16"/>
          <w:b w:val="1"/>
          <w:bCs w:val="1"/>
          <w:color w:val="auto"/>
        </w:rPr>
        <w:t>6.3.4</w:t>
      </w:r>
      <w:r>
        <w:rPr>
          <w:sz w:val="20"/>
          <w:szCs w:val="20"/>
          <w:color w:val="auto"/>
        </w:rPr>
        <w:tab/>
      </w:r>
      <w:r>
        <w:rPr>
          <w:rFonts w:ascii="Arial" w:cs="Arial" w:eastAsia="Arial" w:hAnsi="Arial"/>
          <w:sz w:val="14"/>
          <w:szCs w:val="14"/>
          <w:b w:val="1"/>
          <w:bCs w:val="1"/>
          <w:color w:val="auto"/>
        </w:rPr>
        <w:t>Reporting the violation:</w:t>
      </w:r>
    </w:p>
    <w:p>
      <w:pPr>
        <w:spacing w:after="0" w:line="210" w:lineRule="exact"/>
        <w:rPr>
          <w:sz w:val="20"/>
          <w:szCs w:val="20"/>
          <w:color w:val="auto"/>
        </w:rPr>
      </w:pPr>
    </w:p>
    <w:p>
      <w:pPr>
        <w:ind w:left="583" w:right="20"/>
        <w:spacing w:after="0" w:line="283" w:lineRule="auto"/>
        <w:rPr>
          <w:sz w:val="20"/>
          <w:szCs w:val="20"/>
          <w:color w:val="auto"/>
        </w:rPr>
      </w:pPr>
      <w:r>
        <w:rPr>
          <w:rFonts w:ascii="Arial" w:cs="Arial" w:eastAsia="Arial" w:hAnsi="Arial"/>
          <w:sz w:val="16"/>
          <w:szCs w:val="16"/>
          <w:color w:val="auto"/>
        </w:rPr>
        <w:t>The Officer shall report the failure to the CEO, Chief Financial &amp; Operating Officer, and according to the severity of the case, also to the chairman of the Audit Committee/Board of Directors, all according to the reporting requirements in this plan.</w:t>
      </w:r>
    </w:p>
    <w:p>
      <w:pPr>
        <w:spacing w:after="0" w:line="151" w:lineRule="exact"/>
        <w:rPr>
          <w:sz w:val="20"/>
          <w:szCs w:val="20"/>
          <w:color w:val="auto"/>
        </w:rPr>
      </w:pPr>
    </w:p>
    <w:p>
      <w:pPr>
        <w:ind w:left="583" w:right="20"/>
        <w:spacing w:after="0" w:line="283" w:lineRule="auto"/>
        <w:rPr>
          <w:sz w:val="20"/>
          <w:szCs w:val="20"/>
          <w:color w:val="auto"/>
        </w:rPr>
      </w:pPr>
      <w:r>
        <w:rPr>
          <w:rFonts w:ascii="Arial" w:cs="Arial" w:eastAsia="Arial" w:hAnsi="Arial"/>
          <w:sz w:val="16"/>
          <w:szCs w:val="16"/>
          <w:color w:val="auto"/>
        </w:rPr>
        <w:t>Insofar as the CEO and/or Chief Financial &amp; Operating Officer are involved in the failure, the Officer shall contact the chairman of the Audit Committee. Insofar as the members of the Committee are involved in the matter, the Officer shall contact the internal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4231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42315" cy="7620"/>
                    </a:xfrm>
                    <a:prstGeom prst="rect">
                      <a:avLst/>
                    </a:prstGeom>
                    <a:noFill/>
                  </pic:spPr>
                </pic:pic>
              </a:graphicData>
            </a:graphic>
          </wp:anchor>
        </w:drawing>
      </w:r>
    </w:p>
    <w:p>
      <w:pPr>
        <w:spacing w:after="0" w:line="300" w:lineRule="exact"/>
        <w:rPr>
          <w:sz w:val="20"/>
          <w:szCs w:val="20"/>
          <w:color w:val="auto"/>
        </w:rPr>
      </w:pPr>
    </w:p>
    <w:p>
      <w:pPr>
        <w:ind w:left="3"/>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See quote from the minutes of an Audit Committee meeting dated February 5, 2012, which appears in Annex A.</w:t>
      </w:r>
    </w:p>
    <w:p>
      <w:pPr>
        <w:spacing w:after="0" w:line="13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318" w:right="219" w:bottom="1440" w:gutter="0" w:footer="0" w:header="0"/>
        </w:sectPr>
      </w:pPr>
    </w:p>
    <w:bookmarkStart w:id="291" w:name="page292"/>
    <w:bookmarkEnd w:id="291"/>
    <w:p>
      <w:pPr>
        <w:ind w:left="583"/>
        <w:spacing w:after="0"/>
        <w:tabs>
          <w:tab w:leader="none" w:pos="1142" w:val="left"/>
        </w:tabs>
        <w:rPr>
          <w:sz w:val="20"/>
          <w:szCs w:val="20"/>
          <w:color w:val="auto"/>
        </w:rPr>
      </w:pPr>
      <w:r>
        <w:rPr>
          <w:rFonts w:ascii="Arial" w:cs="Arial" w:eastAsia="Arial" w:hAnsi="Arial"/>
          <w:sz w:val="16"/>
          <w:szCs w:val="16"/>
          <w:b w:val="1"/>
          <w:bCs w:val="1"/>
          <w:color w:val="auto"/>
        </w:rPr>
        <w:t>6.3.5</w:t>
      </w:r>
      <w:r>
        <w:rPr>
          <w:sz w:val="20"/>
          <w:szCs w:val="20"/>
          <w:color w:val="auto"/>
        </w:rPr>
        <w:tab/>
      </w:r>
      <w:r>
        <w:rPr>
          <w:rFonts w:ascii="Arial" w:cs="Arial" w:eastAsia="Arial" w:hAnsi="Arial"/>
          <w:sz w:val="14"/>
          <w:szCs w:val="14"/>
          <w:b w:val="1"/>
          <w:bCs w:val="1"/>
          <w:color w:val="auto"/>
        </w:rPr>
        <w:t>Preventing the recurrence of the violation</w:t>
      </w:r>
    </w:p>
    <w:p>
      <w:pPr>
        <w:spacing w:after="0" w:line="210" w:lineRule="exact"/>
        <w:rPr>
          <w:sz w:val="20"/>
          <w:szCs w:val="20"/>
          <w:color w:val="auto"/>
        </w:rPr>
      </w:pPr>
    </w:p>
    <w:p>
      <w:pPr>
        <w:jc w:val="both"/>
        <w:ind w:left="583" w:right="20"/>
        <w:spacing w:after="0" w:line="263" w:lineRule="auto"/>
        <w:rPr>
          <w:sz w:val="20"/>
          <w:szCs w:val="20"/>
          <w:color w:val="auto"/>
        </w:rPr>
      </w:pPr>
      <w:r>
        <w:rPr>
          <w:rFonts w:ascii="Arial" w:cs="Arial" w:eastAsia="Arial" w:hAnsi="Arial"/>
          <w:sz w:val="16"/>
          <w:szCs w:val="16"/>
          <w:color w:val="auto"/>
        </w:rPr>
        <w:t>The Officer shall introduce new procedures or amendments to existing procedures, as well as controls over them, and approve the same with the relevant bodies. For the sake of clarity, by virtue of his position as the General Counsel of the Company, and for the purpose of performing his role as the Officer, the Officer shall have direct access at all times to any and all offices and documents of the Company and to any and all records and information at the Company, all as required, in his discretion, for his work.</w:t>
      </w:r>
    </w:p>
    <w:p>
      <w:pPr>
        <w:spacing w:after="0" w:line="168" w:lineRule="exact"/>
        <w:rPr>
          <w:sz w:val="20"/>
          <w:szCs w:val="20"/>
          <w:color w:val="auto"/>
        </w:rPr>
      </w:pPr>
    </w:p>
    <w:p>
      <w:pPr>
        <w:jc w:val="both"/>
        <w:ind w:left="583" w:right="20"/>
        <w:spacing w:after="0" w:line="283" w:lineRule="auto"/>
        <w:rPr>
          <w:sz w:val="20"/>
          <w:szCs w:val="20"/>
          <w:color w:val="auto"/>
        </w:rPr>
      </w:pPr>
      <w:r>
        <w:rPr>
          <w:rFonts w:ascii="Arial" w:cs="Arial" w:eastAsia="Arial" w:hAnsi="Arial"/>
          <w:sz w:val="16"/>
          <w:szCs w:val="16"/>
          <w:color w:val="auto"/>
        </w:rPr>
        <w:t>Naturally, any and all inquiries and actions performed at the Company as part of the enforcement plan shall be performed in accordance with the law and without harming or disrupting any investigation or inquiry by law of which the Company is aware.</w:t>
      </w:r>
    </w:p>
    <w:p>
      <w:pPr>
        <w:spacing w:after="0" w:line="151" w:lineRule="exact"/>
        <w:rPr>
          <w:sz w:val="20"/>
          <w:szCs w:val="20"/>
          <w:color w:val="auto"/>
        </w:rPr>
      </w:pPr>
    </w:p>
    <w:p>
      <w:pPr>
        <w:ind w:left="583"/>
        <w:spacing w:after="0"/>
        <w:rPr>
          <w:sz w:val="20"/>
          <w:szCs w:val="20"/>
          <w:color w:val="auto"/>
        </w:rPr>
      </w:pPr>
      <w:r>
        <w:rPr>
          <w:rFonts w:ascii="Arial" w:cs="Arial" w:eastAsia="Arial" w:hAnsi="Arial"/>
          <w:sz w:val="16"/>
          <w:szCs w:val="16"/>
          <w:color w:val="auto"/>
        </w:rPr>
        <w:t>In any case of doubt whether or not an issue is within the Officer’s jurisdiction, the Officer or any other party shall consult with the Audit Committee.</w:t>
      </w:r>
    </w:p>
    <w:p>
      <w:pPr>
        <w:spacing w:after="0" w:line="202"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4"/>
          <w:szCs w:val="14"/>
          <w:b w:val="1"/>
          <w:bCs w:val="1"/>
          <w:color w:val="auto"/>
        </w:rPr>
        <w:t>Supervision over the Officer</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5"/>
          <w:szCs w:val="15"/>
          <w:color w:val="auto"/>
        </w:rPr>
        <w:t>As stated above, and as will be further specified below, the Audit Committee is responsible for the appointment and the termination of the appointment of the Officer.</w:t>
      </w:r>
    </w:p>
    <w:p>
      <w:pPr>
        <w:spacing w:after="0" w:line="217"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Chief Financial &amp; Operating Officer is the direct supervisor of the General Counsel and Officer, and authority is conferred on him accordingly.</w:t>
      </w:r>
    </w:p>
    <w:p>
      <w:pPr>
        <w:spacing w:after="0" w:line="206" w:lineRule="exact"/>
        <w:rPr>
          <w:sz w:val="20"/>
          <w:szCs w:val="20"/>
          <w:color w:val="auto"/>
        </w:rPr>
      </w:pPr>
    </w:p>
    <w:p>
      <w:pPr>
        <w:ind w:left="3" w:right="20"/>
        <w:spacing w:after="0" w:line="318" w:lineRule="auto"/>
        <w:rPr>
          <w:sz w:val="20"/>
          <w:szCs w:val="20"/>
          <w:color w:val="auto"/>
        </w:rPr>
      </w:pPr>
      <w:r>
        <w:rPr>
          <w:rFonts w:ascii="Arial" w:cs="Arial" w:eastAsia="Arial" w:hAnsi="Arial"/>
          <w:sz w:val="15"/>
          <w:szCs w:val="15"/>
          <w:color w:val="auto"/>
        </w:rPr>
        <w:t>The supervision over the Officer’s activity and the implementation of the enforcement plan is within the responsibility of the internal auditor in the context of his or her ongoing work and at the request of the Audit Committee (such supervision shall be performed pursuant to the audit plan to be approved by the Audit Committee).</w:t>
      </w:r>
    </w:p>
    <w:p>
      <w:pPr>
        <w:spacing w:after="0" w:line="123"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b w:val="1"/>
          <w:bCs w:val="1"/>
          <w:color w:val="auto"/>
        </w:rPr>
        <w:t>Officer’s reporting responsibility</w:t>
      </w:r>
    </w:p>
    <w:p>
      <w:pPr>
        <w:spacing w:after="0" w:line="210"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auto"/>
        </w:rPr>
        <w:t>The Officer shall report a failure to the CEO, Chief Financial &amp; Operating Officer, and according to the severity of the case, also to the chairman of the Audit Committee/Board of Directors, all according to the reporting requirements in this plan.</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report to the Chief Financial &amp; Operating Officer shall be performed after an initial inquiry proceeding by the Officer that shall include an initial factual inquiry.</w:t>
      </w:r>
    </w:p>
    <w:p>
      <w:pPr>
        <w:spacing w:after="0" w:line="206"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auto"/>
        </w:rPr>
        <w:t>The report to the Chief Financial &amp; Operating Officer shall be performed no later than two working days after having first learned of the suspected violation, and in any event, no later than four days from the date on which the report shall have been made to him.</w:t>
      </w:r>
    </w:p>
    <w:p>
      <w:pPr>
        <w:spacing w:after="0" w:line="151"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auto"/>
        </w:rPr>
        <w:t>Insofar as the Chief Financial &amp; Operating Officer and/or CEO are involved in the failing, the Officer shall contact the chairman of the Board of Directors or the Audit Committee. Insofar as members of the Audit Committee are involved in the matter, the Officer shall contact the internal auditor.</w:t>
      </w:r>
    </w:p>
    <w:p>
      <w:pPr>
        <w:spacing w:after="0" w:line="147" w:lineRule="exact"/>
        <w:rPr>
          <w:sz w:val="20"/>
          <w:szCs w:val="20"/>
          <w:color w:val="auto"/>
        </w:rPr>
      </w:pPr>
    </w:p>
    <w:p>
      <w:pPr>
        <w:ind w:left="583" w:hanging="583"/>
        <w:spacing w:after="0"/>
        <w:tabs>
          <w:tab w:leader="none" w:pos="583"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Contact and reporting</w:t>
      </w:r>
    </w:p>
    <w:p>
      <w:pPr>
        <w:spacing w:after="0" w:line="206"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4"/>
          <w:szCs w:val="14"/>
          <w:b w:val="1"/>
          <w:bCs w:val="1"/>
          <w:color w:val="auto"/>
        </w:rPr>
        <w:t>Possibilities of contact and reporting in the event of a suspected violation</w:t>
      </w:r>
    </w:p>
    <w:p>
      <w:pPr>
        <w:spacing w:after="0" w:line="210" w:lineRule="exact"/>
        <w:rPr>
          <w:sz w:val="20"/>
          <w:szCs w:val="20"/>
          <w:color w:val="auto"/>
        </w:rPr>
      </w:pPr>
    </w:p>
    <w:p>
      <w:pPr>
        <w:ind w:left="3"/>
        <w:spacing w:after="0" w:line="318" w:lineRule="auto"/>
        <w:rPr>
          <w:sz w:val="20"/>
          <w:szCs w:val="20"/>
          <w:color w:val="auto"/>
        </w:rPr>
      </w:pPr>
      <w:r>
        <w:rPr>
          <w:rFonts w:ascii="Arial" w:cs="Arial" w:eastAsia="Arial" w:hAnsi="Arial"/>
          <w:sz w:val="15"/>
          <w:szCs w:val="15"/>
          <w:color w:val="auto"/>
        </w:rPr>
        <w:t>According to requirements and expectations, the Company has set forth internal mechanisms which enable the officers, directors, employees and service providers of the Company to report and warn about deficiencies and failures in relation to the fulfillment of the provisions of the securities laws or violations of the plan.</w:t>
      </w:r>
    </w:p>
    <w:p>
      <w:pPr>
        <w:spacing w:after="0" w:line="127"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auto"/>
        </w:rPr>
        <w:t>The reporting mechanisms for administrative enforcement issues shall be identical to those prevailing at the Company (reporting mechanisms upon a breach of the code of ethics, contacting and reporting to the internal auditor, etc.).</w:t>
      </w:r>
    </w:p>
    <w:p>
      <w:pPr>
        <w:spacing w:after="0" w:line="15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318" w:right="219" w:bottom="1440" w:gutter="0" w:footer="0" w:header="0"/>
        </w:sectPr>
      </w:pPr>
    </w:p>
    <w:bookmarkStart w:id="292" w:name="page293"/>
    <w:bookmarkEnd w:id="292"/>
    <w:p>
      <w:pPr>
        <w:ind w:left="1160" w:hanging="578"/>
        <w:spacing w:after="0"/>
        <w:tabs>
          <w:tab w:leader="none" w:pos="1160"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Employees, officers and directors</w:t>
      </w:r>
    </w:p>
    <w:p>
      <w:pPr>
        <w:spacing w:after="0" w:line="210" w:lineRule="exact"/>
        <w:rPr>
          <w:sz w:val="20"/>
          <w:szCs w:val="20"/>
          <w:color w:val="auto"/>
        </w:rPr>
      </w:pPr>
    </w:p>
    <w:p>
      <w:pPr>
        <w:ind w:left="580"/>
        <w:spacing w:after="0" w:line="283" w:lineRule="auto"/>
        <w:rPr>
          <w:sz w:val="20"/>
          <w:szCs w:val="20"/>
          <w:color w:val="auto"/>
        </w:rPr>
      </w:pPr>
      <w:r>
        <w:rPr>
          <w:rFonts w:ascii="Arial" w:cs="Arial" w:eastAsia="Arial" w:hAnsi="Arial"/>
          <w:sz w:val="16"/>
          <w:szCs w:val="16"/>
          <w:color w:val="auto"/>
        </w:rPr>
        <w:t>In any case of a suspected violation or improper conduct, the Company’s employees, officers and directors have the possibility (and sometimes the obligation) to contact their direct supervisor, the internal auditor and/or the chairman of the Audit Committee.</w:t>
      </w:r>
    </w:p>
    <w:p>
      <w:pPr>
        <w:sectPr>
          <w:pgSz w:w="11900" w:h="16838" w:orient="portrait"/>
          <w:cols w:equalWidth="0" w:num="1">
            <w:col w:w="11420"/>
          </w:cols>
          <w:pgMar w:left="240" w:top="318" w:right="239" w:bottom="1440" w:gutter="0" w:footer="0" w:header="0"/>
        </w:sectPr>
      </w:pPr>
    </w:p>
    <w:p>
      <w:pPr>
        <w:spacing w:after="0" w:line="1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Internal Auditor, Linur Dloomy, CPA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Audit Committee Chairperson, Nurit Binyamini</w:t>
      </w:r>
    </w:p>
    <w:p>
      <w:pPr>
        <w:spacing w:after="0" w:line="200" w:lineRule="exact"/>
        <w:rPr>
          <w:sz w:val="20"/>
          <w:szCs w:val="20"/>
          <w:color w:val="auto"/>
        </w:rPr>
      </w:pPr>
    </w:p>
    <w:p>
      <w:pPr>
        <w:sectPr>
          <w:pgSz w:w="11900" w:h="16838" w:orient="portrait"/>
          <w:cols w:equalWidth="0" w:num="2">
            <w:col w:w="5340" w:space="720"/>
            <w:col w:w="5360"/>
          </w:cols>
          <w:pgMar w:left="240" w:top="318" w:right="239" w:bottom="1440" w:gutter="0" w:footer="0" w:header="0"/>
          <w:type w:val="continuous"/>
        </w:sectPr>
      </w:pP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E-mail: ldloomy@deloitte.co.il</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5"/>
          <w:szCs w:val="15"/>
          <w:color w:val="auto"/>
        </w:rPr>
        <w:t>E-mail: Nurit378@gmail.com</w:t>
      </w:r>
    </w:p>
    <w:p>
      <w:pPr>
        <w:spacing w:after="0" w:line="200" w:lineRule="exact"/>
        <w:rPr>
          <w:sz w:val="20"/>
          <w:szCs w:val="20"/>
          <w:color w:val="auto"/>
        </w:rPr>
      </w:pPr>
    </w:p>
    <w:p>
      <w:pPr>
        <w:sectPr>
          <w:pgSz w:w="11900" w:h="16838" w:orient="portrait"/>
          <w:cols w:equalWidth="0" w:num="2">
            <w:col w:w="5340" w:space="720"/>
            <w:col w:w="5360"/>
          </w:cols>
          <w:pgMar w:left="240" w:top="318" w:right="239" w:bottom="1440" w:gutter="0" w:footer="0" w:header="0"/>
          <w:type w:val="continuous"/>
        </w:sectPr>
      </w:pPr>
    </w:p>
    <w:p>
      <w:pPr>
        <w:spacing w:after="0" w:line="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Tel. 052-5838635</w:t>
      </w:r>
    </w:p>
    <w:p>
      <w:pPr>
        <w:spacing w:after="0" w:line="20" w:lineRule="exact"/>
        <w:rPr>
          <w:sz w:val="20"/>
          <w:szCs w:val="20"/>
          <w:color w:val="auto"/>
        </w:rPr>
      </w:pPr>
      <w:r>
        <w:rPr>
          <w:sz w:val="20"/>
          <w:szCs w:val="20"/>
          <w:color w:val="auto"/>
        </w:rPr>
        <w:br w:type="column"/>
      </w:r>
    </w:p>
    <w:p>
      <w:pPr>
        <w:jc w:val="center"/>
        <w:ind w:right="4500"/>
        <w:spacing w:after="0"/>
        <w:rPr>
          <w:sz w:val="20"/>
          <w:szCs w:val="20"/>
          <w:color w:val="auto"/>
        </w:rPr>
      </w:pPr>
      <w:r>
        <w:rPr>
          <w:rFonts w:ascii="Arial" w:cs="Arial" w:eastAsia="Arial" w:hAnsi="Arial"/>
          <w:sz w:val="14"/>
          <w:szCs w:val="14"/>
          <w:color w:val="auto"/>
        </w:rPr>
        <w:t>052-6440745</w:t>
      </w:r>
    </w:p>
    <w:p>
      <w:pPr>
        <w:spacing w:after="0" w:line="200" w:lineRule="exact"/>
        <w:rPr>
          <w:sz w:val="20"/>
          <w:szCs w:val="20"/>
          <w:color w:val="auto"/>
        </w:rPr>
      </w:pPr>
    </w:p>
    <w:p>
      <w:pPr>
        <w:sectPr>
          <w:pgSz w:w="11900" w:h="16838" w:orient="portrait"/>
          <w:cols w:equalWidth="0" w:num="2">
            <w:col w:w="5340" w:space="720"/>
            <w:col w:w="5360"/>
          </w:cols>
          <w:pgMar w:left="240" w:top="318" w:right="239" w:bottom="1440" w:gutter="0" w:footer="0" w:header="0"/>
          <w:type w:val="continuous"/>
        </w:sectPr>
      </w:pPr>
    </w:p>
    <w:p>
      <w:pPr>
        <w:spacing w:after="0" w:line="25" w:lineRule="exact"/>
        <w:rPr>
          <w:sz w:val="20"/>
          <w:szCs w:val="20"/>
          <w:color w:val="auto"/>
        </w:rPr>
      </w:pPr>
    </w:p>
    <w:p>
      <w:pPr>
        <w:ind w:left="1160" w:hanging="578"/>
        <w:spacing w:after="0"/>
        <w:tabs>
          <w:tab w:leader="none" w:pos="116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Service providers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Officer is responsible for adding a method of reporting by external parties.</w:t>
      </w:r>
    </w:p>
    <w:p>
      <w:pPr>
        <w:spacing w:after="0" w:line="20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order that all relevant parties shall be aware of their reporting obligation and of the various possibilities of reporting a possible suspected violation, this information shall be passed on to all relevant parties in the context of this document, the training programs, the Company’s website, engagement agreements, employment documents, etc.</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of the relevant parties shall be familiar with the existence of the enforcement plan, the main parts of the plan and where it may be inspected, as well as the method of reporting and the rights of the reporting party (anonymity/confidentiality/favorable consideration in the event that he is the violating party, etc.).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confirm that once a year the aforesaid information is communicated to relevant bodies in an initiated manner (for example a dedicated e-mail)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confirm that the manner of approaching him is available at all times.</w:t>
      </w:r>
    </w:p>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intentionally omitted</w:t>
      </w:r>
      <w:r>
        <w:rPr>
          <w:rFonts w:ascii="Arial" w:cs="Arial" w:eastAsia="Arial" w:hAnsi="Arial"/>
          <w:sz w:val="14"/>
          <w:szCs w:val="14"/>
          <w:b w:val="1"/>
          <w:bCs w:val="1"/>
          <w:color w:val="auto"/>
        </w:rPr>
        <w:t>]</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7.3</w:t>
      </w:r>
      <w:r>
        <w:rPr>
          <w:sz w:val="20"/>
          <w:szCs w:val="20"/>
          <w:color w:val="auto"/>
        </w:rPr>
        <w:tab/>
      </w:r>
      <w:r>
        <w:rPr>
          <w:rFonts w:ascii="Arial" w:cs="Arial" w:eastAsia="Arial" w:hAnsi="Arial"/>
          <w:sz w:val="15"/>
          <w:szCs w:val="15"/>
          <w:b w:val="1"/>
          <w:bCs w:val="1"/>
          <w:color w:val="auto"/>
        </w:rPr>
        <w:t>External reporting</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There are situations in which a violation or a suspected violation of the securities laws requires reporting to the competent authorities (the ISA or the Israeli Police, as the case may require).</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Even in those cases in which there is no reporting obligation, voluntary disclosure should be considered, since the ISA Document states that the ISA’s enforcement considerations in exercising its powers in respect of corporations and individuals include the factors of voluntary disclosure by the corporation and the corporation’s cooperation with the ISA.</w:t>
      </w:r>
    </w:p>
    <w:p>
      <w:pPr>
        <w:spacing w:after="0" w:line="16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Situations where there is a legal obligation to report to the ISA include among others situations in which an item was published which may mislead a reasonable investor or trading was done based on inside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In all situations in which there is no reporting obligation, the Officer shall discuss the need to report with the Chief Financial &amp; Operating Officer and outside legal advisors.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Their conclusion and the considerations that led thereto shall be brought for deliberation by the Audit Committee which shall be convened for such purpose.</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General Counsel together with the Chief Financial &amp; Operating Officer shall report to the competent authorities in accordance with the Company’s decision and soon after the date of the decision.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type w:val="continuous"/>
        </w:sectPr>
      </w:pPr>
    </w:p>
    <w:bookmarkStart w:id="293" w:name="page294"/>
    <w:bookmarkEnd w:id="293"/>
    <w:p>
      <w:pPr>
        <w:ind w:left="583" w:hanging="583"/>
        <w:spacing w:after="0"/>
        <w:tabs>
          <w:tab w:leader="none" w:pos="583"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Sanctions in events of violation and failure to report</w:t>
      </w:r>
    </w:p>
    <w:p>
      <w:pPr>
        <w:spacing w:after="0" w:line="210" w:lineRule="exact"/>
        <w:rPr>
          <w:sz w:val="20"/>
          <w:szCs w:val="20"/>
          <w:color w:val="auto"/>
        </w:rPr>
      </w:pPr>
    </w:p>
    <w:p>
      <w:pPr>
        <w:jc w:val="both"/>
        <w:ind w:left="3" w:right="20"/>
        <w:spacing w:after="0" w:line="268" w:lineRule="auto"/>
        <w:rPr>
          <w:sz w:val="20"/>
          <w:szCs w:val="20"/>
          <w:color w:val="auto"/>
        </w:rPr>
      </w:pPr>
      <w:r>
        <w:rPr>
          <w:rFonts w:ascii="Arial" w:cs="Arial" w:eastAsia="Arial" w:hAnsi="Arial"/>
          <w:sz w:val="16"/>
          <w:szCs w:val="16"/>
          <w:color w:val="auto"/>
        </w:rPr>
        <w:t>As mentioned above, one of the functions of an enforcement plan is to encourage an organizational culture of compliance with, and respect for, the law. The ISA Document makes clear that “a culture of compliance means that the corporation is obligated to prevent violations of the law and to handle violations and violating parties with the appropriate measures.”</w:t>
      </w:r>
    </w:p>
    <w:p>
      <w:pPr>
        <w:spacing w:after="0" w:line="159"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4"/>
          <w:szCs w:val="14"/>
          <w:b w:val="1"/>
          <w:bCs w:val="1"/>
          <w:color w:val="auto"/>
        </w:rPr>
        <w:t>Determination of sanctions in events of violation</w:t>
      </w:r>
    </w:p>
    <w:p>
      <w:pPr>
        <w:spacing w:after="0" w:line="210" w:lineRule="exact"/>
        <w:rPr>
          <w:sz w:val="20"/>
          <w:szCs w:val="20"/>
          <w:color w:val="auto"/>
        </w:rPr>
      </w:pPr>
    </w:p>
    <w:p>
      <w:pPr>
        <w:jc w:val="both"/>
        <w:ind w:left="3" w:right="20"/>
        <w:spacing w:after="0" w:line="268" w:lineRule="auto"/>
        <w:rPr>
          <w:sz w:val="20"/>
          <w:szCs w:val="20"/>
          <w:color w:val="auto"/>
        </w:rPr>
      </w:pPr>
      <w:r>
        <w:rPr>
          <w:rFonts w:ascii="Arial" w:cs="Arial" w:eastAsia="Arial" w:hAnsi="Arial"/>
          <w:sz w:val="16"/>
          <w:szCs w:val="16"/>
          <w:color w:val="auto"/>
        </w:rPr>
        <w:t>In view of the ISA determination that “the Company shall institute suitable measures against violating parties, including, in appropriate cases, disciplinary action in respect of anyone violating the provisions of the securities laws or the provisions of the enforcement plan”, the Company shall set forth in each procedure separately, insofar as necessary, the disciplinary action that is required.</w:t>
      </w:r>
    </w:p>
    <w:p>
      <w:pPr>
        <w:spacing w:after="0" w:line="159" w:lineRule="exact"/>
        <w:rPr>
          <w:sz w:val="20"/>
          <w:szCs w:val="20"/>
          <w:color w:val="auto"/>
        </w:rPr>
      </w:pPr>
    </w:p>
    <w:p>
      <w:pPr>
        <w:ind w:left="583" w:hanging="583"/>
        <w:spacing w:after="0"/>
        <w:tabs>
          <w:tab w:leader="none" w:pos="583"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Findings of a mapping of the existing situation</w:t>
      </w:r>
    </w:p>
    <w:p>
      <w:pPr>
        <w:spacing w:after="0" w:line="210"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auto"/>
        </w:rPr>
        <w:t>Pursuant to Chapter 7 in the ISA Document: “Adjustment of the plan to the corporation and the unique circumstances thereof, after the performance of a compliance survey in the area of the securities laws”.</w:t>
      </w:r>
    </w:p>
    <w:p>
      <w:pPr>
        <w:spacing w:after="0" w:line="151" w:lineRule="exact"/>
        <w:rPr>
          <w:sz w:val="20"/>
          <w:szCs w:val="20"/>
          <w:color w:val="auto"/>
        </w:rPr>
      </w:pPr>
    </w:p>
    <w:p>
      <w:pPr>
        <w:ind w:left="3" w:right="20"/>
        <w:spacing w:after="0" w:line="283" w:lineRule="auto"/>
        <w:rPr>
          <w:sz w:val="20"/>
          <w:szCs w:val="20"/>
          <w:color w:val="auto"/>
        </w:rPr>
      </w:pPr>
      <w:r>
        <w:rPr>
          <w:rFonts w:ascii="Arial" w:cs="Arial" w:eastAsia="Arial" w:hAnsi="Arial"/>
          <w:sz w:val="16"/>
          <w:szCs w:val="16"/>
          <w:color w:val="auto"/>
        </w:rPr>
        <w:t>A summary of the first survey that was performed by Deloitte – Brightman Almagor Zohar, the Company’s consultants for the enforcement plan project, is available in the Officer’s files.</w:t>
      </w:r>
    </w:p>
    <w:p>
      <w:pPr>
        <w:spacing w:after="0" w:line="147" w:lineRule="exact"/>
        <w:rPr>
          <w:sz w:val="20"/>
          <w:szCs w:val="20"/>
          <w:color w:val="auto"/>
        </w:rPr>
      </w:pPr>
    </w:p>
    <w:p>
      <w:pPr>
        <w:ind w:left="583" w:hanging="583"/>
        <w:spacing w:after="0"/>
        <w:tabs>
          <w:tab w:leader="none" w:pos="583"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Relevant procedures</w:t>
      </w:r>
    </w:p>
    <w:p>
      <w:pPr>
        <w:spacing w:after="0" w:line="210" w:lineRule="exact"/>
        <w:rPr>
          <w:sz w:val="20"/>
          <w:szCs w:val="20"/>
          <w:color w:val="auto"/>
        </w:rPr>
      </w:pPr>
    </w:p>
    <w:p>
      <w:pPr>
        <w:jc w:val="both"/>
        <w:ind w:left="3"/>
        <w:spacing w:after="0" w:line="263" w:lineRule="auto"/>
        <w:rPr>
          <w:sz w:val="20"/>
          <w:szCs w:val="20"/>
          <w:color w:val="auto"/>
        </w:rPr>
      </w:pPr>
      <w:r>
        <w:rPr>
          <w:rFonts w:ascii="Arial" w:cs="Arial" w:eastAsia="Arial" w:hAnsi="Arial"/>
          <w:sz w:val="16"/>
          <w:szCs w:val="16"/>
          <w:color w:val="auto"/>
        </w:rPr>
        <w:t>Pursuant to the compliance survey, the Company has formulated the internal procedures that are specified below, while considering the Company’s structure, its unique features, and the potential risks and deficiencies in the area of the compliance with the securities laws to which it is exposed. The role of the procedures is to regulate and determine rules of activity and conduct, the purpose of which is to prevent violations of securities laws as well as to create work processes which will address and control such processes.</w:t>
      </w:r>
    </w:p>
    <w:p>
      <w:pPr>
        <w:spacing w:after="0" w:line="164"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4"/>
          <w:szCs w:val="14"/>
          <w:b w:val="1"/>
          <w:bCs w:val="1"/>
          <w:color w:val="auto"/>
        </w:rPr>
        <w:t>Statement of Company Policy – Securities Trades by BioLineRx Ltd. personnel</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4"/>
          <w:szCs w:val="14"/>
          <w:color w:val="auto"/>
        </w:rPr>
        <w:t>The draft procedure was approved by the Board of Directors on May 15, 2012. The procedure in its final form was approved by the Company’s management on June 6, 2012.</w:t>
      </w:r>
    </w:p>
    <w:p>
      <w:pPr>
        <w:spacing w:after="0" w:line="4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Chief Financial and Operating Officer was appointed as the officer responsible for the procedure.</w:t>
      </w:r>
    </w:p>
    <w:p>
      <w:pPr>
        <w:spacing w:after="0" w:line="19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procedure is relevant to all of the Company’s employees and to those who come into contact with information which may constitute inside information.</w:t>
      </w:r>
    </w:p>
    <w:p>
      <w:pPr>
        <w:spacing w:after="0" w:line="202"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4"/>
          <w:szCs w:val="14"/>
          <w:b w:val="1"/>
          <w:bCs w:val="1"/>
          <w:color w:val="auto"/>
        </w:rPr>
        <w:t>Transactions involving interested and related parties</w:t>
      </w:r>
    </w:p>
    <w:p>
      <w:pPr>
        <w:spacing w:after="0" w:line="210" w:lineRule="exact"/>
        <w:rPr>
          <w:sz w:val="20"/>
          <w:szCs w:val="20"/>
          <w:color w:val="auto"/>
        </w:rPr>
      </w:pPr>
    </w:p>
    <w:p>
      <w:pPr>
        <w:jc w:val="both"/>
        <w:ind w:left="3" w:right="20"/>
        <w:spacing w:after="0" w:line="283" w:lineRule="auto"/>
        <w:rPr>
          <w:sz w:val="20"/>
          <w:szCs w:val="20"/>
          <w:color w:val="auto"/>
        </w:rPr>
      </w:pPr>
      <w:r>
        <w:rPr>
          <w:rFonts w:ascii="Arial" w:cs="Arial" w:eastAsia="Arial" w:hAnsi="Arial"/>
          <w:sz w:val="16"/>
          <w:szCs w:val="16"/>
          <w:color w:val="auto"/>
        </w:rPr>
        <w:t>The procedure was approved for the first time in December 2010. An amendment to the procedure was approved by the Company’s management on July 3, 2012 and by the Audit Committee and Board of Directors in November 2012.</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Executive Director of Finance and Reporting and the General Counsel were appointed as the officers responsible for the procedure.</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procedure is mainly relevant to directors, other officers, the finance department and the General Counsel.</w:t>
      </w:r>
    </w:p>
    <w:p>
      <w:pPr>
        <w:spacing w:after="0" w:line="202"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4"/>
          <w:szCs w:val="14"/>
          <w:b w:val="1"/>
          <w:bCs w:val="1"/>
          <w:color w:val="auto"/>
        </w:rPr>
        <w:t xml:space="preserve">Procedure for prospectus/annual report/other reports to the SEC and ISA </w:t>
      </w:r>
      <w:r>
        <w:rPr>
          <w:rFonts w:ascii="Arial" w:cs="Arial" w:eastAsia="Arial" w:hAnsi="Arial"/>
          <w:sz w:val="14"/>
          <w:szCs w:val="14"/>
          <w:color w:val="auto"/>
        </w:rPr>
        <w:t>(Disclosure Controls)</w:t>
      </w:r>
    </w:p>
    <w:p>
      <w:pPr>
        <w:spacing w:after="0" w:line="21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procedure was approved by Company management in September 2012 and by the Audit Committee and Board of Directors in November 2012.</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Chief Financial and Operating Officer and the General Counsel were appointed as the officers responsible for the procedure.</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procedure is relevant primarily to the Finance Department and the General Counsel</w:t>
      </w:r>
    </w:p>
    <w:p>
      <w:pPr>
        <w:spacing w:after="0" w:line="202" w:lineRule="exact"/>
        <w:rPr>
          <w:sz w:val="20"/>
          <w:szCs w:val="20"/>
          <w:color w:val="auto"/>
        </w:rPr>
      </w:pPr>
    </w:p>
    <w:p>
      <w:pPr>
        <w:ind w:left="3"/>
        <w:spacing w:after="0"/>
        <w:tabs>
          <w:tab w:leader="none" w:pos="562"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4"/>
          <w:szCs w:val="14"/>
          <w:b w:val="1"/>
          <w:bCs w:val="1"/>
          <w:color w:val="auto"/>
        </w:rPr>
        <w:t>Period end closing procedure</w:t>
      </w:r>
    </w:p>
    <w:p>
      <w:pPr>
        <w:spacing w:after="0" w:line="210" w:lineRule="exact"/>
        <w:rPr>
          <w:sz w:val="20"/>
          <w:szCs w:val="20"/>
          <w:color w:val="auto"/>
        </w:rPr>
      </w:pPr>
    </w:p>
    <w:p>
      <w:pPr>
        <w:ind w:left="723"/>
        <w:spacing w:after="0"/>
        <w:rPr>
          <w:sz w:val="20"/>
          <w:szCs w:val="20"/>
          <w:color w:val="auto"/>
        </w:rPr>
      </w:pPr>
      <w:r>
        <w:rPr>
          <w:rFonts w:ascii="Arial" w:cs="Arial" w:eastAsia="Arial" w:hAnsi="Arial"/>
          <w:sz w:val="16"/>
          <w:szCs w:val="16"/>
          <w:color w:val="auto"/>
        </w:rPr>
        <w:t>(in progress)</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Approved on ____________</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Appointed as procedure officer: Manager of Reporting and Control</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procedure is relevant to the Chief Financial and Operating Officer and the Finance Department</w:t>
      </w: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318" w:right="219" w:bottom="1440" w:gutter="0" w:footer="0" w:header="0"/>
        </w:sectPr>
      </w:pPr>
    </w:p>
    <w:bookmarkStart w:id="294" w:name="page295"/>
    <w:bookmarkEnd w:id="294"/>
    <w:p>
      <w:pPr>
        <w:ind w:left="583" w:hanging="583"/>
        <w:spacing w:after="0"/>
        <w:tabs>
          <w:tab w:leader="none" w:pos="583"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Assimilation plan</w:t>
      </w:r>
    </w:p>
    <w:p>
      <w:pPr>
        <w:spacing w:after="0" w:line="205"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11.1</w:t>
      </w:r>
      <w:r>
        <w:rPr>
          <w:rFonts w:ascii="Arial" w:cs="Arial" w:eastAsia="Arial" w:hAnsi="Arial"/>
          <w:sz w:val="14"/>
          <w:szCs w:val="14"/>
          <w:b w:val="1"/>
          <w:bCs w:val="1"/>
          <w:color w:val="auto"/>
        </w:rPr>
        <w:t>Background</w:t>
      </w:r>
    </w:p>
    <w:p>
      <w:pPr>
        <w:spacing w:after="0" w:line="209" w:lineRule="exact"/>
        <w:rPr>
          <w:rFonts w:ascii="Arial" w:cs="Arial" w:eastAsia="Arial" w:hAnsi="Arial"/>
          <w:sz w:val="16"/>
          <w:szCs w:val="16"/>
          <w:b w:val="1"/>
          <w:bCs w:val="1"/>
          <w:color w:val="auto"/>
        </w:rPr>
      </w:pPr>
    </w:p>
    <w:p>
      <w:pPr>
        <w:ind w:left="583" w:right="1640"/>
        <w:spacing w:after="0" w:line="580" w:lineRule="auto"/>
        <w:rPr>
          <w:rFonts w:ascii="Arial" w:cs="Arial" w:eastAsia="Arial" w:hAnsi="Arial"/>
          <w:sz w:val="16"/>
          <w:szCs w:val="16"/>
          <w:b w:val="1"/>
          <w:bCs w:val="1"/>
          <w:color w:val="auto"/>
        </w:rPr>
      </w:pPr>
      <w:r>
        <w:rPr>
          <w:rFonts w:ascii="Arial" w:cs="Arial" w:eastAsia="Arial" w:hAnsi="Arial"/>
          <w:sz w:val="14"/>
          <w:szCs w:val="14"/>
          <w:color w:val="auto"/>
        </w:rPr>
        <w:t>An enforcement plan is a mechanism to encourage compliance which is binding on all of a company’s employees, managers and officers. This document is not intended just for display and the familiarity with its content and the implementation hereof are material to the Company.</w:t>
      </w:r>
    </w:p>
    <w:p>
      <w:pPr>
        <w:spacing w:after="0" w:line="1" w:lineRule="exact"/>
        <w:rPr>
          <w:rFonts w:ascii="Arial" w:cs="Arial" w:eastAsia="Arial" w:hAnsi="Arial"/>
          <w:sz w:val="16"/>
          <w:szCs w:val="16"/>
          <w:b w:val="1"/>
          <w:bCs w:val="1"/>
          <w:color w:val="auto"/>
        </w:rPr>
      </w:pPr>
    </w:p>
    <w:p>
      <w:pPr>
        <w:ind w:left="583"/>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Therefore, the Company examined various possible mechanisms for the purpose of assimilation of the enforcement plan and the procedures related hereto, and established the selected mechanisms in an assimilation plan that is brought below.</w:t>
      </w:r>
    </w:p>
    <w:p>
      <w:pPr>
        <w:spacing w:after="0" w:line="146" w:lineRule="exact"/>
        <w:rPr>
          <w:rFonts w:ascii="Arial" w:cs="Arial" w:eastAsia="Arial" w:hAnsi="Arial"/>
          <w:sz w:val="16"/>
          <w:szCs w:val="16"/>
          <w:b w:val="1"/>
          <w:bCs w:val="1"/>
          <w:color w:val="auto"/>
        </w:rPr>
      </w:pPr>
    </w:p>
    <w:p>
      <w:pPr>
        <w:ind w:left="583"/>
        <w:spacing w:after="0" w:line="288"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purpose of the assimilation plan </w:t>
      </w:r>
      <w:r>
        <w:rPr>
          <w:rFonts w:ascii="Arial" w:cs="Arial" w:eastAsia="Arial" w:hAnsi="Arial"/>
          <w:sz w:val="16"/>
          <w:szCs w:val="16"/>
          <w:color w:val="auto"/>
        </w:rPr>
        <w:t>is to promote and ensure the commitment of all of the relevant parties to the plan, their knowledge of the main parts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actual implementation hereof in all of their activity.</w:t>
      </w:r>
    </w:p>
    <w:p>
      <w:pPr>
        <w:spacing w:after="0" w:line="142"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11.2</w:t>
      </w:r>
      <w:r>
        <w:rPr>
          <w:rFonts w:ascii="Arial" w:cs="Arial" w:eastAsia="Arial" w:hAnsi="Arial"/>
          <w:sz w:val="14"/>
          <w:szCs w:val="14"/>
          <w:b w:val="1"/>
          <w:bCs w:val="1"/>
          <w:color w:val="auto"/>
        </w:rPr>
        <w:t>Presentation of the enforcement plan</w:t>
      </w:r>
    </w:p>
    <w:p>
      <w:pPr>
        <w:spacing w:after="0" w:line="209" w:lineRule="exact"/>
        <w:rPr>
          <w:rFonts w:ascii="Arial" w:cs="Arial" w:eastAsia="Arial" w:hAnsi="Arial"/>
          <w:sz w:val="16"/>
          <w:szCs w:val="16"/>
          <w:b w:val="1"/>
          <w:bCs w:val="1"/>
          <w:color w:val="auto"/>
        </w:rPr>
      </w:pPr>
    </w:p>
    <w:p>
      <w:pPr>
        <w:jc w:val="both"/>
        <w:ind w:left="583"/>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After the completion of the enforcement plan and its approval by the relevant bodies, the plan shall be presented to all of the employees and managers at a Company meeting. At such meeting, the CEO of the Company shall present the main parts of the plan, the importance of compliance herewith, the role of the Enforcement Officer and the manner of publication of the plan.</w:t>
      </w:r>
    </w:p>
    <w:p>
      <w:pPr>
        <w:spacing w:after="0" w:line="162" w:lineRule="exact"/>
        <w:rPr>
          <w:rFonts w:ascii="Arial" w:cs="Arial" w:eastAsia="Arial" w:hAnsi="Arial"/>
          <w:sz w:val="16"/>
          <w:szCs w:val="16"/>
          <w:b w:val="1"/>
          <w:bCs w:val="1"/>
          <w:color w:val="auto"/>
        </w:rPr>
      </w:pPr>
    </w:p>
    <w:p>
      <w:pPr>
        <w:ind w:left="583"/>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Following the presentation of the plan, the plan and the procedures related hereto shall be posted on the Company’s website (path/link) and be sent via e-mail to the distribution list of all of the Company’s employees and managers.</w:t>
      </w:r>
    </w:p>
    <w:p>
      <w:pPr>
        <w:spacing w:after="0" w:line="150" w:lineRule="exact"/>
        <w:rPr>
          <w:rFonts w:ascii="Arial" w:cs="Arial" w:eastAsia="Arial" w:hAnsi="Arial"/>
          <w:sz w:val="16"/>
          <w:szCs w:val="16"/>
          <w:b w:val="1"/>
          <w:bCs w:val="1"/>
          <w:color w:val="auto"/>
        </w:rPr>
      </w:pPr>
    </w:p>
    <w:p>
      <w:pPr>
        <w:ind w:left="583"/>
        <w:spacing w:after="0"/>
        <w:rPr>
          <w:rFonts w:ascii="Arial" w:cs="Arial" w:eastAsia="Arial" w:hAnsi="Arial"/>
          <w:sz w:val="16"/>
          <w:szCs w:val="16"/>
          <w:b w:val="1"/>
          <w:bCs w:val="1"/>
          <w:color w:val="auto"/>
        </w:rPr>
      </w:pPr>
      <w:r>
        <w:rPr>
          <w:rFonts w:ascii="Arial" w:cs="Arial" w:eastAsia="Arial" w:hAnsi="Arial"/>
          <w:sz w:val="16"/>
          <w:szCs w:val="16"/>
          <w:color w:val="auto"/>
        </w:rPr>
        <w:t>A printed copy is to be kept at the offices of the Company’s CEO, Enforcement Officer and the Company’s auditor.</w:t>
      </w:r>
    </w:p>
    <w:p>
      <w:pPr>
        <w:spacing w:after="0" w:line="205" w:lineRule="exact"/>
        <w:rPr>
          <w:rFonts w:ascii="Arial" w:cs="Arial" w:eastAsia="Arial" w:hAnsi="Arial"/>
          <w:sz w:val="16"/>
          <w:szCs w:val="16"/>
          <w:b w:val="1"/>
          <w:bCs w:val="1"/>
          <w:color w:val="auto"/>
        </w:rPr>
      </w:pPr>
    </w:p>
    <w:p>
      <w:pPr>
        <w:jc w:val="both"/>
        <w:ind w:left="583"/>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The Enforcement Officer shall examine the need for updating the general documents of the Company (like, for example, disciplinary code, the employment agreements, code of conduct, etc., as well as specific related procedures – employee initiation procedure, inside information procedure, etc.) in order that they include a reference to the subject of administrative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98425</wp:posOffset>
            </wp:positionV>
            <wp:extent cx="6922135" cy="5740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22135" cy="574040"/>
                    </a:xfrm>
                    <a:prstGeom prst="rect">
                      <a:avLst/>
                    </a:prstGeom>
                    <a:noFill/>
                  </pic:spPr>
                </pic:pic>
              </a:graphicData>
            </a:graphic>
          </wp:anchor>
        </w:drawing>
      </w:r>
    </w:p>
    <w:p>
      <w:pPr>
        <w:spacing w:after="0" w:line="175" w:lineRule="exact"/>
        <w:rPr>
          <w:sz w:val="20"/>
          <w:szCs w:val="20"/>
          <w:color w:val="auto"/>
        </w:rPr>
      </w:pPr>
    </w:p>
    <w:p>
      <w:pPr>
        <w:ind w:left="23"/>
        <w:spacing w:after="0"/>
        <w:rPr>
          <w:sz w:val="20"/>
          <w:szCs w:val="20"/>
          <w:color w:val="auto"/>
        </w:rPr>
      </w:pPr>
      <w:r>
        <w:rPr>
          <w:rFonts w:ascii="Arial" w:cs="Arial" w:eastAsia="Arial" w:hAnsi="Arial"/>
          <w:sz w:val="16"/>
          <w:szCs w:val="16"/>
          <w:b w:val="1"/>
          <w:bCs w:val="1"/>
          <w:u w:val="single" w:color="auto"/>
          <w:color w:val="auto"/>
        </w:rPr>
        <w:t>From the ISA Document:</w:t>
      </w:r>
    </w:p>
    <w:p>
      <w:pPr>
        <w:spacing w:after="0" w:line="210" w:lineRule="exact"/>
        <w:rPr>
          <w:sz w:val="20"/>
          <w:szCs w:val="20"/>
          <w:color w:val="auto"/>
        </w:rPr>
      </w:pPr>
    </w:p>
    <w:p>
      <w:pPr>
        <w:ind w:left="23" w:right="600"/>
        <w:spacing w:after="0" w:line="283" w:lineRule="auto"/>
        <w:rPr>
          <w:sz w:val="20"/>
          <w:szCs w:val="20"/>
          <w:color w:val="auto"/>
        </w:rPr>
      </w:pPr>
      <w:r>
        <w:rPr>
          <w:rFonts w:ascii="Arial" w:cs="Arial" w:eastAsia="Arial" w:hAnsi="Arial"/>
          <w:sz w:val="16"/>
          <w:szCs w:val="16"/>
          <w:color w:val="auto"/>
        </w:rPr>
        <w:t>Measures shall be taken in order to ensure the commitment of all echelons of the corporation to the aforesaid procedures, for example, through the establishment of such commitment in the disciplinary code or employment agreements.</w:t>
      </w:r>
    </w:p>
    <w:p>
      <w:pPr>
        <w:spacing w:after="0" w:line="195" w:lineRule="exact"/>
        <w:rPr>
          <w:sz w:val="20"/>
          <w:szCs w:val="20"/>
          <w:color w:val="auto"/>
        </w:rPr>
      </w:pPr>
    </w:p>
    <w:p>
      <w:pPr>
        <w:ind w:left="583"/>
        <w:spacing w:after="0"/>
        <w:tabs>
          <w:tab w:leader="none" w:pos="1282" w:val="left"/>
        </w:tabs>
        <w:rPr>
          <w:sz w:val="20"/>
          <w:szCs w:val="20"/>
          <w:color w:val="auto"/>
        </w:rPr>
      </w:pPr>
      <w:r>
        <w:rPr>
          <w:rFonts w:ascii="Arial" w:cs="Arial" w:eastAsia="Arial" w:hAnsi="Arial"/>
          <w:sz w:val="16"/>
          <w:szCs w:val="16"/>
          <w:b w:val="1"/>
          <w:bCs w:val="1"/>
          <w:color w:val="auto"/>
        </w:rPr>
        <w:t>11.3</w:t>
      </w:r>
      <w:r>
        <w:rPr>
          <w:sz w:val="20"/>
          <w:szCs w:val="20"/>
          <w:color w:val="auto"/>
        </w:rPr>
        <w:tab/>
      </w:r>
      <w:r>
        <w:rPr>
          <w:rFonts w:ascii="Arial" w:cs="Arial" w:eastAsia="Arial" w:hAnsi="Arial"/>
          <w:sz w:val="14"/>
          <w:szCs w:val="14"/>
          <w:b w:val="1"/>
          <w:bCs w:val="1"/>
          <w:color w:val="auto"/>
        </w:rPr>
        <w:t>Implementation and assimilation of the enforcement plan</w:t>
      </w:r>
    </w:p>
    <w:p>
      <w:pPr>
        <w:spacing w:after="0" w:line="206" w:lineRule="exact"/>
        <w:rPr>
          <w:sz w:val="20"/>
          <w:szCs w:val="20"/>
          <w:color w:val="auto"/>
        </w:rPr>
      </w:pPr>
    </w:p>
    <w:p>
      <w:pPr>
        <w:ind w:left="583"/>
        <w:spacing w:after="0"/>
        <w:rPr>
          <w:sz w:val="20"/>
          <w:szCs w:val="20"/>
          <w:color w:val="auto"/>
        </w:rPr>
      </w:pPr>
      <w:r>
        <w:rPr>
          <w:rFonts w:ascii="Arial" w:cs="Arial" w:eastAsia="Arial" w:hAnsi="Arial"/>
          <w:sz w:val="16"/>
          <w:szCs w:val="16"/>
          <w:b w:val="1"/>
          <w:bCs w:val="1"/>
          <w:color w:val="auto"/>
        </w:rPr>
        <w:t>Publication of the enforcement plan</w:t>
      </w:r>
    </w:p>
    <w:p>
      <w:pPr>
        <w:spacing w:after="0" w:line="210"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 enforcement plan shall be published on the Company’s portal/website and distributed via e-mail to all of the Company’s employees.</w:t>
      </w:r>
    </w:p>
    <w:p>
      <w:pPr>
        <w:spacing w:after="0" w:line="206" w:lineRule="exact"/>
        <w:rPr>
          <w:sz w:val="20"/>
          <w:szCs w:val="20"/>
          <w:color w:val="auto"/>
        </w:rPr>
      </w:pPr>
    </w:p>
    <w:p>
      <w:pPr>
        <w:ind w:left="583"/>
        <w:spacing w:after="0"/>
        <w:rPr>
          <w:sz w:val="20"/>
          <w:szCs w:val="20"/>
          <w:color w:val="auto"/>
        </w:rPr>
      </w:pPr>
      <w:r>
        <w:rPr>
          <w:rFonts w:ascii="Arial" w:cs="Arial" w:eastAsia="Arial" w:hAnsi="Arial"/>
          <w:sz w:val="16"/>
          <w:szCs w:val="16"/>
          <w:color w:val="auto"/>
        </w:rPr>
        <w:t>Following any updates of the enforcement plan, an e-mail shall be sent with a summary of the changes to all of the Company’s employees.</w:t>
      </w:r>
    </w:p>
    <w:p>
      <w:pPr>
        <w:spacing w:after="0" w:line="202" w:lineRule="exact"/>
        <w:rPr>
          <w:sz w:val="20"/>
          <w:szCs w:val="20"/>
          <w:color w:val="auto"/>
        </w:rPr>
      </w:pPr>
    </w:p>
    <w:p>
      <w:pPr>
        <w:ind w:left="583"/>
        <w:spacing w:after="0"/>
        <w:rPr>
          <w:sz w:val="20"/>
          <w:szCs w:val="20"/>
          <w:color w:val="auto"/>
        </w:rPr>
      </w:pPr>
      <w:r>
        <w:rPr>
          <w:rFonts w:ascii="Arial" w:cs="Arial" w:eastAsia="Arial" w:hAnsi="Arial"/>
          <w:sz w:val="16"/>
          <w:szCs w:val="16"/>
          <w:b w:val="1"/>
          <w:bCs w:val="1"/>
          <w:color w:val="auto"/>
        </w:rPr>
        <w:t>Team/forum of assimilation of the administrative enforcement plan</w:t>
      </w:r>
    </w:p>
    <w:p>
      <w:pPr>
        <w:spacing w:after="0" w:line="210" w:lineRule="exact"/>
        <w:rPr>
          <w:sz w:val="20"/>
          <w:szCs w:val="20"/>
          <w:color w:val="auto"/>
        </w:rPr>
      </w:pPr>
    </w:p>
    <w:p>
      <w:pPr>
        <w:ind w:left="583"/>
        <w:spacing w:after="0" w:line="283" w:lineRule="auto"/>
        <w:rPr>
          <w:sz w:val="20"/>
          <w:szCs w:val="20"/>
          <w:color w:val="auto"/>
        </w:rPr>
      </w:pPr>
      <w:r>
        <w:rPr>
          <w:rFonts w:ascii="Arial" w:cs="Arial" w:eastAsia="Arial" w:hAnsi="Arial"/>
          <w:sz w:val="16"/>
          <w:szCs w:val="16"/>
          <w:color w:val="auto"/>
        </w:rPr>
        <w:t>The steering committee referred to in Section 4.1.2 shall arrange for the implementation of the internal enforcement assimilation plan and the approval of any updates or modifications that will be performed.</w:t>
      </w:r>
    </w:p>
    <w:p>
      <w:pPr>
        <w:spacing w:after="0" w:line="147" w:lineRule="exact"/>
        <w:rPr>
          <w:sz w:val="20"/>
          <w:szCs w:val="20"/>
          <w:color w:val="auto"/>
        </w:rPr>
      </w:pPr>
    </w:p>
    <w:p>
      <w:pPr>
        <w:ind w:left="583"/>
        <w:spacing w:after="0"/>
        <w:rPr>
          <w:sz w:val="20"/>
          <w:szCs w:val="20"/>
          <w:color w:val="auto"/>
        </w:rPr>
      </w:pPr>
      <w:r>
        <w:rPr>
          <w:rFonts w:ascii="Arial" w:cs="Arial" w:eastAsia="Arial" w:hAnsi="Arial"/>
          <w:sz w:val="16"/>
          <w:szCs w:val="16"/>
          <w:b w:val="1"/>
          <w:bCs w:val="1"/>
          <w:color w:val="auto"/>
        </w:rPr>
        <w:t>New employee</w:t>
      </w:r>
    </w:p>
    <w:p>
      <w:pPr>
        <w:spacing w:after="0" w:line="210" w:lineRule="exact"/>
        <w:rPr>
          <w:sz w:val="20"/>
          <w:szCs w:val="20"/>
          <w:color w:val="auto"/>
        </w:rPr>
      </w:pPr>
    </w:p>
    <w:p>
      <w:pPr>
        <w:ind w:left="583"/>
        <w:spacing w:after="0" w:line="283" w:lineRule="auto"/>
        <w:rPr>
          <w:sz w:val="20"/>
          <w:szCs w:val="20"/>
          <w:color w:val="auto"/>
        </w:rPr>
      </w:pPr>
      <w:r>
        <w:rPr>
          <w:rFonts w:ascii="Arial" w:cs="Arial" w:eastAsia="Arial" w:hAnsi="Arial"/>
          <w:sz w:val="16"/>
          <w:szCs w:val="16"/>
          <w:color w:val="auto"/>
        </w:rPr>
        <w:t>Each new employee, upon his or her arrival at the Company and in the context of the employee’s initiation process as conducted by HR, shall be given access to the enforcement plan, be required to read the main parts hereof and sign that he or she has read the plan.</w:t>
      </w:r>
    </w:p>
    <w:p>
      <w:pPr>
        <w:spacing w:after="0" w:line="151" w:lineRule="exact"/>
        <w:rPr>
          <w:sz w:val="20"/>
          <w:szCs w:val="20"/>
          <w:color w:val="auto"/>
        </w:rPr>
      </w:pPr>
    </w:p>
    <w:p>
      <w:pPr>
        <w:ind w:left="583"/>
        <w:spacing w:after="0" w:line="283" w:lineRule="auto"/>
        <w:rPr>
          <w:sz w:val="20"/>
          <w:szCs w:val="20"/>
          <w:color w:val="auto"/>
        </w:rPr>
      </w:pPr>
      <w:r>
        <w:rPr>
          <w:rFonts w:ascii="Arial" w:cs="Arial" w:eastAsia="Arial" w:hAnsi="Arial"/>
          <w:sz w:val="16"/>
          <w:szCs w:val="16"/>
          <w:color w:val="auto"/>
        </w:rPr>
        <w:t>During the first month of his employment, the new employee will be required to participate in training by the Internal Enforcement Officer on the subject of administrative enforcement.</w:t>
      </w:r>
    </w:p>
    <w:p>
      <w:pPr>
        <w:spacing w:after="0" w:line="15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3"/>
          </w:cols>
          <w:pgMar w:left="237" w:top="512" w:right="239" w:bottom="1440" w:gutter="0" w:footer="0" w:header="0"/>
        </w:sectPr>
      </w:pPr>
    </w:p>
    <w:bookmarkStart w:id="295" w:name="page296"/>
    <w:bookmarkEnd w:id="295"/>
    <w:p>
      <w:pPr>
        <w:spacing w:after="0"/>
        <w:rPr>
          <w:sz w:val="20"/>
          <w:szCs w:val="20"/>
          <w:color w:val="auto"/>
        </w:rPr>
      </w:pPr>
      <w:r>
        <w:rPr>
          <w:rFonts w:ascii="Arial" w:cs="Arial" w:eastAsia="Arial" w:hAnsi="Arial"/>
          <w:sz w:val="16"/>
          <w:szCs w:val="16"/>
          <w:b w:val="1"/>
          <w:bCs w:val="1"/>
          <w:color w:val="auto"/>
        </w:rPr>
        <w:t>New officer</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Each new officer shall participate in a talk with the Administrative Enforcement Officer at which the internal enforcement plan will be presented to him. At the end of the meeting, the officer shall sign a document in which he declares that he has read the plan and undertakes to comply with all provisions hereof that are relevant to him. The officer shall also receive a copy of the plan via e-mail or a link to its location on the Company’s website.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Assimilation and periodic communication – Company employees and managers</w:t>
      </w:r>
    </w:p>
    <w:p>
      <w:pPr>
        <w:spacing w:after="0" w:line="210" w:lineRule="exact"/>
        <w:rPr>
          <w:sz w:val="20"/>
          <w:szCs w:val="20"/>
          <w:color w:val="auto"/>
        </w:rPr>
      </w:pPr>
    </w:p>
    <w:p>
      <w:pPr>
        <w:jc w:val="both"/>
        <w:ind w:right="20"/>
        <w:spacing w:after="0" w:line="358" w:lineRule="auto"/>
        <w:rPr>
          <w:sz w:val="20"/>
          <w:szCs w:val="20"/>
          <w:color w:val="auto"/>
        </w:rPr>
      </w:pPr>
      <w:r>
        <w:rPr>
          <w:rFonts w:ascii="Arial" w:cs="Arial" w:eastAsia="Arial" w:hAnsi="Arial"/>
          <w:sz w:val="14"/>
          <w:szCs w:val="14"/>
          <w:color w:val="auto"/>
        </w:rPr>
        <w:t>In order to ensure that all employees are aware of the obligations that apply to them by virtue of the Improvement of Internal Enforcement Proceedings in the ISA Law and the enforcement plan, a training session procedure shall be assimilated for all of the Company’s employees and managers as well as the Company’s officers.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Alternatives:</w:t>
      </w:r>
    </w:p>
    <w:p>
      <w:pPr>
        <w:spacing w:after="0" w:line="206" w:lineRule="exact"/>
        <w:rPr>
          <w:sz w:val="20"/>
          <w:szCs w:val="20"/>
          <w:color w:val="auto"/>
        </w:rPr>
      </w:pPr>
    </w:p>
    <w:p>
      <w:pPr>
        <w:ind w:left="580" w:right="20" w:hanging="286"/>
        <w:spacing w:after="0" w:line="283" w:lineRule="auto"/>
        <w:tabs>
          <w:tab w:leader="none" w:pos="5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Frontal training sessions shall be held by the Officer on behalf of the Company or by an outside body. The training sessions shall be performed at least once a year. The training sessions shall include a review of the enforcement plan, possible violations and reporting methods.</w:t>
      </w:r>
    </w:p>
    <w:p>
      <w:pPr>
        <w:spacing w:after="0" w:line="150" w:lineRule="exact"/>
        <w:rPr>
          <w:rFonts w:ascii="Arial" w:cs="Arial" w:eastAsia="Arial" w:hAnsi="Arial"/>
          <w:sz w:val="16"/>
          <w:szCs w:val="16"/>
          <w:color w:val="auto"/>
        </w:rPr>
      </w:pPr>
    </w:p>
    <w:p>
      <w:pPr>
        <w:jc w:val="both"/>
        <w:ind w:left="580" w:right="20" w:hanging="286"/>
        <w:spacing w:after="0" w:line="268" w:lineRule="auto"/>
        <w:tabs>
          <w:tab w:leader="none" w:pos="5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Written training sessions. At least once a year the Officer shall send a presentation via e-mail to the employees that will include an employee guide – a review of the enforcement plan, possible violations and reporting methods. The employee shall be required to send a return e-mail to the Officer in which he confirms that he has read the content of the guide and undertakes to act according thereto.</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course presentation shall be attached as an annex.</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Each employee shall complete the course at least once a year.</w:t>
      </w:r>
    </w:p>
    <w:p>
      <w:pPr>
        <w:spacing w:after="0" w:line="206"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Every November the Officer shall distribute a request via e-mail to all of the Company’s employees and managers to complete the course within one month from the e-mail’s distribution date.</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Toward the expiration of such period (about one week before the target date) the Officer shall distribute a reminder e-mail to all of the Company’s employees and managers. At the end of the period the Officer shall examine the response rate. In each case where an employee/manager shall have failed to fulfill the request, the Officer shall send an e-mail to the aforesaid employees and their managers, informing that they are required to complete the course and the proficiency test within 5 working days. Employees and managers who will fail to fulfill such demand shall be liable for sanctions by the Company pursuant to Chapter 8 of the enforcement plan.</w:t>
      </w:r>
    </w:p>
    <w:p>
      <w:pPr>
        <w:spacing w:after="0" w:line="16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 Enforcement Officer shall confirm that 100% of the Company’s employees and managers have participated in the course over the year. At the end of the year, the Enforcement Officer shall issue a report with regard to the administrative enforcement which shall include the percentage of the employees who shall have participated in training in such year.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course shall be maintained and updated by the Enforcement Officer pursuant to changes in the enforcement plan and/or the assimilation plan.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Assimilation and periodic communication – officers/Board of Directors</w:t>
      </w:r>
    </w:p>
    <w:p>
      <w:pPr>
        <w:spacing w:after="0" w:line="210"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The officers and Board of Directors shall participate in frontal training sessions held by the Officer on behalf of the Company or an outside body. The training sessions shall be held at least once a year. The training sessions shall include a review of the enforcement plan, possible violations, reporting methods.</w:t>
      </w:r>
    </w:p>
    <w:p>
      <w:pPr>
        <w:spacing w:after="0" w:line="127"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The Enforcement Officer shall confirm that 100% of the Company’s officers/Board of Directors have participated in frontal training sessions over the year and if not, he shall arrange to make up the missing sessions towards the end of the year.</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4"/>
          <w:szCs w:val="14"/>
          <w:b w:val="1"/>
          <w:bCs w:val="1"/>
          <w:color w:val="auto"/>
        </w:rPr>
        <w:t>Implementation and assimilation of the related procedures in the enforcement plan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Enforcement Officer, in collaboration with the relevant bodies (such as HR), shall map the populations that are relevant to the procedures related to the enforcement plan and determine which employees are required to participate in an assimilation process for each of the procedures (the “</w:t>
      </w:r>
      <w:r>
        <w:rPr>
          <w:rFonts w:ascii="Arial" w:cs="Arial" w:eastAsia="Arial" w:hAnsi="Arial"/>
          <w:sz w:val="16"/>
          <w:szCs w:val="16"/>
          <w:b w:val="1"/>
          <w:bCs w:val="1"/>
          <w:color w:val="auto"/>
        </w:rPr>
        <w:t>Mapping and Classification</w:t>
      </w:r>
      <w:r>
        <w:rPr>
          <w:rFonts w:ascii="Arial" w:cs="Arial" w:eastAsia="Arial" w:hAnsi="Arial"/>
          <w:sz w:val="16"/>
          <w:szCs w:val="16"/>
          <w:color w:val="auto"/>
        </w:rPr>
        <w:t xml:space="preserve"> </w:t>
      </w:r>
      <w:r>
        <w:rPr>
          <w:rFonts w:ascii="Arial" w:cs="Arial" w:eastAsia="Arial" w:hAnsi="Arial"/>
          <w:sz w:val="16"/>
          <w:szCs w:val="16"/>
          <w:b w:val="1"/>
          <w:bCs w:val="1"/>
          <w:color w:val="auto"/>
        </w:rPr>
        <w:t>Process</w:t>
      </w:r>
      <w:r>
        <w:rPr>
          <w:rFonts w:ascii="Arial" w:cs="Arial" w:eastAsia="Arial" w:hAnsi="Arial"/>
          <w:sz w:val="16"/>
          <w:szCs w:val="16"/>
          <w:color w:val="auto"/>
        </w:rPr>
        <w:t>”).</w:t>
      </w:r>
    </w:p>
    <w:p>
      <w:pPr>
        <w:spacing w:after="0" w:line="16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6503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860"/>
          </w:cols>
          <w:pgMar w:left="820" w:top="318" w:right="219" w:bottom="1440" w:gutter="0" w:footer="0" w:header="0"/>
        </w:sectPr>
      </w:pPr>
    </w:p>
    <w:bookmarkStart w:id="296" w:name="page297"/>
    <w:bookmarkEnd w:id="296"/>
    <w:p>
      <w:pPr>
        <w:spacing w:after="0"/>
        <w:rPr>
          <w:sz w:val="20"/>
          <w:szCs w:val="20"/>
          <w:color w:val="auto"/>
        </w:rPr>
      </w:pPr>
      <w:r>
        <w:rPr>
          <w:rFonts w:ascii="Arial" w:cs="Arial" w:eastAsia="Arial" w:hAnsi="Arial"/>
          <w:sz w:val="16"/>
          <w:szCs w:val="16"/>
          <w:u w:val="single" w:color="auto"/>
          <w:color w:val="auto"/>
        </w:rPr>
        <w:t>Such process shall be performed at least once a year</w:t>
      </w:r>
      <w:r>
        <w:rPr>
          <w:rFonts w:ascii="Arial" w:cs="Arial" w:eastAsia="Arial" w:hAnsi="Arial"/>
          <w:sz w:val="16"/>
          <w:szCs w:val="16"/>
          <w:color w:val="auto"/>
        </w:rPr>
        <w:t>.</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According to the Mapping and Classification Process, the employee shall receive the procedures that are relevant to his areas of responsibility and be required to sign a document whereby he understands their content and is committed to act according thereto. After the signing by him, the direct supervisor and the Officer shall sign in confirmation and receipt of the document. The Enforcement Officer shall also monitor the employees’ aforesaid signatures of the procedures to confirm that they comply with the Mapping and Classification Process and that all of the relevant employees have signed their commitment to all of the procedures that are relevant to their functions and areas of responsibility.</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steering committee responsible for the implementation of the enforcement plan shall confirm that 100% of the employees have signed the procedures that were sent to them.</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11.5</w:t>
      </w:r>
      <w:r>
        <w:rPr>
          <w:sz w:val="20"/>
          <w:szCs w:val="20"/>
          <w:color w:val="auto"/>
        </w:rPr>
        <w:tab/>
      </w:r>
      <w:r>
        <w:rPr>
          <w:rFonts w:ascii="Arial" w:cs="Arial" w:eastAsia="Arial" w:hAnsi="Arial"/>
          <w:sz w:val="14"/>
          <w:szCs w:val="14"/>
          <w:b w:val="1"/>
          <w:bCs w:val="1"/>
          <w:color w:val="auto"/>
        </w:rPr>
        <w:t>Assimilation among parties external to the Company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part of his work plan, the Officer shall define parties external to the Company that are obligated to comply with the enforcement plan and/or the related procedures, and have them sign the relevant procedures to attest that they have read and understood the obligations that apply to them by virtue of the Law, the enforcement plan and the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Existing engagements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Insofar as necessary, an annex to the contract shall be added to existing engagements in which the external party undertakes to information security and prevention of misuse of inside information in particular, and to the fulfillment of any and all regulatory obligations that apply to such party, including the Improvement of Internal Enforcement Proceedings in the ISA Law in general.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engagements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Any new engagements with an external party shall be performed after the signing by such party of a confidentiality and engagement agreements. As part of such agreements, the external party shall undertake to maintain information security, prevent misuse of inside information in particular, and in general fulfill any and all regulatory obligations that apply to such party including the Improvement of Internal Enforcement Proceedings in the ISA Law.</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11.6</w:t>
      </w:r>
      <w:r>
        <w:rPr>
          <w:sz w:val="20"/>
          <w:szCs w:val="20"/>
          <w:color w:val="auto"/>
        </w:rPr>
        <w:tab/>
      </w:r>
      <w:r>
        <w:rPr>
          <w:rFonts w:ascii="Arial" w:cs="Arial" w:eastAsia="Arial" w:hAnsi="Arial"/>
          <w:sz w:val="14"/>
          <w:szCs w:val="14"/>
          <w:b w:val="1"/>
          <w:bCs w:val="1"/>
          <w:color w:val="auto"/>
        </w:rPr>
        <w:t>Monitoring of and reporting on the assimilation of the enforcement plan and the related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examine the fulfillment of the assimilation plan and report to the relevant bodies as set forth in Chapter 4 of the enforcement plan.</w:t>
      </w: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11.7</w:t>
      </w:r>
      <w:r>
        <w:rPr>
          <w:sz w:val="20"/>
          <w:szCs w:val="20"/>
          <w:color w:val="auto"/>
        </w:rPr>
        <w:tab/>
      </w:r>
      <w:r>
        <w:rPr>
          <w:rFonts w:ascii="Arial" w:cs="Arial" w:eastAsia="Arial" w:hAnsi="Arial"/>
          <w:sz w:val="14"/>
          <w:szCs w:val="14"/>
          <w:b w:val="1"/>
          <w:bCs w:val="1"/>
          <w:color w:val="auto"/>
        </w:rPr>
        <w:t>Assimilation acts pursuant to the updating of the enforcement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Once a year and as necessary the Officer shall examine the need for updating the assimilation plan as it is presented below.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plan’s update shall be approved by the steering committee in the course of a meeting that will be convened to deliberate on the matter.</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respect of each update of the enforcement plan, the Officer shall examine the need to inform all parties about the main changes or the full, updated enforcement plan and shall choose the best suited means of assimilation in order to communicate the changes and/or the updated enforcement plan.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addition, in respect of each change the Officer shall examine the need for updating the existing assimilation plan and assimilation tools.</w:t>
      </w:r>
    </w:p>
    <w:p>
      <w:pPr>
        <w:spacing w:after="0" w:line="206"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The essential elements of the assimilation plan were approved by the Audit Committee and Board of Directors as part of the approval of the enforcement plan.</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6503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840"/>
          </w:cols>
          <w:pgMar w:left="820" w:top="322"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6"/>
          <w:szCs w:val="16"/>
          <w:b w:val="1"/>
          <w:bCs w:val="1"/>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Decisions of the Board of Directors and Audit Committee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decision from February 5, 2012:</w:t>
      </w:r>
    </w:p>
    <w:p>
      <w:pPr>
        <w:spacing w:after="0" w:line="206" w:lineRule="exact"/>
        <w:rPr>
          <w:sz w:val="20"/>
          <w:szCs w:val="20"/>
          <w:color w:val="auto"/>
        </w:rPr>
      </w:pPr>
    </w:p>
    <w:p>
      <w:pPr>
        <w:ind w:right="1260" w:firstLine="292"/>
        <w:spacing w:after="0" w:line="508" w:lineRule="auto"/>
        <w:rPr>
          <w:sz w:val="20"/>
          <w:szCs w:val="20"/>
          <w:color w:val="auto"/>
        </w:rPr>
      </w:pPr>
      <w:r>
        <w:rPr>
          <w:rFonts w:ascii="Arial" w:cs="Arial" w:eastAsia="Arial" w:hAnsi="Arial"/>
          <w:sz w:val="16"/>
          <w:szCs w:val="16"/>
          <w:color w:val="auto"/>
        </w:rPr>
        <w:t>“RESOLVED, that Norman Kotler, Adv., be appointed the person responsible for implementation of the Company’s Administrative Enforcement Plan.” Audit Committee decision from March 21, 2012:</w:t>
      </w:r>
    </w:p>
    <w:p>
      <w:pPr>
        <w:ind w:right="580" w:firstLine="292"/>
        <w:spacing w:after="0" w:line="508" w:lineRule="auto"/>
        <w:rPr>
          <w:sz w:val="20"/>
          <w:szCs w:val="20"/>
          <w:color w:val="auto"/>
        </w:rPr>
      </w:pPr>
      <w:r>
        <w:rPr>
          <w:rFonts w:ascii="Arial" w:cs="Arial" w:eastAsia="Arial" w:hAnsi="Arial"/>
          <w:sz w:val="16"/>
          <w:szCs w:val="16"/>
          <w:color w:val="auto"/>
        </w:rPr>
        <w:t>“RESOLVED, to approve the Administrative Enforcement Plan as presented to the Committee and to recommend approval of the Plan by the Board of Directors.” Board of Directors decision from March 22, 2012:</w:t>
      </w:r>
    </w:p>
    <w:p>
      <w:pPr>
        <w:ind w:left="280"/>
        <w:spacing w:after="0" w:line="283" w:lineRule="auto"/>
        <w:rPr>
          <w:sz w:val="20"/>
          <w:szCs w:val="20"/>
          <w:color w:val="auto"/>
        </w:rPr>
      </w:pPr>
      <w:r>
        <w:rPr>
          <w:rFonts w:ascii="Arial" w:cs="Arial" w:eastAsia="Arial" w:hAnsi="Arial"/>
          <w:sz w:val="16"/>
          <w:szCs w:val="16"/>
          <w:color w:val="auto"/>
        </w:rPr>
        <w:t>“RESOLVED, to approve the Administrative Enforcement Plan as presented to the Board, with such non-substantive changes that may be subsequently made after further review by management and Deloitte.”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decision from November 13, 2013:</w:t>
      </w:r>
    </w:p>
    <w:p>
      <w:pPr>
        <w:spacing w:after="0" w:line="206" w:lineRule="exact"/>
        <w:rPr>
          <w:sz w:val="20"/>
          <w:szCs w:val="20"/>
          <w:color w:val="auto"/>
        </w:rPr>
      </w:pPr>
    </w:p>
    <w:p>
      <w:pPr>
        <w:ind w:left="280"/>
        <w:spacing w:after="0" w:line="283" w:lineRule="auto"/>
        <w:rPr>
          <w:sz w:val="20"/>
          <w:szCs w:val="20"/>
          <w:color w:val="auto"/>
        </w:rPr>
      </w:pPr>
      <w:r>
        <w:rPr>
          <w:rFonts w:ascii="Arial" w:cs="Arial" w:eastAsia="Arial" w:hAnsi="Arial"/>
          <w:sz w:val="16"/>
          <w:szCs w:val="16"/>
          <w:color w:val="auto"/>
        </w:rPr>
        <w:t>“RESOLVED, to ratify the appointment and authorization of the Audit Committee as the “responsible entity” for supervising the implementation of the Company’s Internal Enforcement Plan beginning November 24,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298" w:name="page299"/>
    <w:bookmarkEnd w:id="298"/>
    <w:p>
      <w:pPr>
        <w:jc w:val="center"/>
        <w:ind w:right="3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335915</wp:posOffset>
            </wp:positionV>
            <wp:extent cx="1948180" cy="3556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G</w:t>
      </w: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Vehicle Agreement</w:t>
      </w:r>
    </w:p>
    <w:p>
      <w:pPr>
        <w:spacing w:after="0" w:line="206" w:lineRule="exact"/>
        <w:rPr>
          <w:sz w:val="20"/>
          <w:szCs w:val="20"/>
          <w:color w:val="auto"/>
        </w:rPr>
      </w:pPr>
    </w:p>
    <w:p>
      <w:pPr>
        <w:jc w:val="both"/>
        <w:ind w:left="3" w:right="20"/>
        <w:spacing w:after="0" w:line="271" w:lineRule="auto"/>
        <w:rPr>
          <w:sz w:val="20"/>
          <w:szCs w:val="20"/>
          <w:color w:val="auto"/>
        </w:rPr>
      </w:pPr>
      <w:r>
        <w:rPr>
          <w:rFonts w:ascii="Arial" w:cs="Arial" w:eastAsia="Arial" w:hAnsi="Arial"/>
          <w:sz w:val="16"/>
          <w:szCs w:val="16"/>
          <w:color w:val="auto"/>
        </w:rPr>
        <w:t>This Vehicle Agreement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entered into on Click here to enter text. by and between </w:t>
      </w:r>
      <w:r>
        <w:rPr>
          <w:rFonts w:ascii="Arial" w:cs="Arial" w:eastAsia="Arial" w:hAnsi="Arial"/>
          <w:sz w:val="16"/>
          <w:szCs w:val="16"/>
          <w:b w:val="1"/>
          <w:bCs w:val="1"/>
          <w:color w:val="auto"/>
        </w:rPr>
        <w:t>BioLineRx Ltd.</w:t>
      </w:r>
      <w:r>
        <w:rPr>
          <w:rFonts w:ascii="Arial" w:cs="Arial" w:eastAsia="Arial" w:hAnsi="Arial"/>
          <w:sz w:val="16"/>
          <w:szCs w:val="16"/>
          <w:color w:val="auto"/>
        </w:rPr>
        <w:t>, a company organized under the laws of the State of Israel, with its offices at Modi’in Technology Park, 2 HaMa’ayan Street, Modi’in 7177871 (“</w:t>
      </w:r>
      <w:r>
        <w:rPr>
          <w:rFonts w:ascii="Arial" w:cs="Arial" w:eastAsia="Arial" w:hAnsi="Arial"/>
          <w:sz w:val="16"/>
          <w:szCs w:val="16"/>
          <w:b w:val="1"/>
          <w:bCs w:val="1"/>
          <w:color w:val="auto"/>
        </w:rPr>
        <w:t>BioLine</w:t>
      </w:r>
      <w:r>
        <w:rPr>
          <w:rFonts w:ascii="Arial" w:cs="Arial" w:eastAsia="Arial" w:hAnsi="Arial"/>
          <w:sz w:val="16"/>
          <w:szCs w:val="16"/>
          <w:color w:val="auto"/>
        </w:rPr>
        <w:t>”), and Click here to enter text., whose address is Click here to enter text.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160"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WHEREAS, BioLine has employed Employee pursuant to a certain Employment Agreement, dated Click here to enter text.; and</w:t>
      </w:r>
    </w:p>
    <w:p>
      <w:pPr>
        <w:spacing w:after="0" w:line="206" w:lineRule="exact"/>
        <w:rPr>
          <w:sz w:val="20"/>
          <w:szCs w:val="20"/>
          <w:color w:val="auto"/>
        </w:rPr>
      </w:pPr>
    </w:p>
    <w:p>
      <w:pPr>
        <w:jc w:val="both"/>
        <w:ind w:left="3"/>
        <w:spacing w:after="0" w:line="283" w:lineRule="auto"/>
        <w:rPr>
          <w:sz w:val="20"/>
          <w:szCs w:val="20"/>
          <w:color w:val="auto"/>
        </w:rPr>
      </w:pPr>
      <w:r>
        <w:rPr>
          <w:rFonts w:ascii="Arial" w:cs="Arial" w:eastAsia="Arial" w:hAnsi="Arial"/>
          <w:sz w:val="16"/>
          <w:szCs w:val="16"/>
          <w:color w:val="auto"/>
        </w:rPr>
        <w:t>WHEREAS, Employee has requested that BioLine provide him/her with a vehicle, and BioLine has agreed to provide Employee with a vehicle pursuant to the terms and conditions set forth herein.</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Therefore, the parties agree as follows:</w:t>
      </w:r>
    </w:p>
    <w:p>
      <w:pPr>
        <w:spacing w:after="0" w:line="206" w:lineRule="exact"/>
        <w:rPr>
          <w:sz w:val="20"/>
          <w:szCs w:val="20"/>
          <w:color w:val="auto"/>
        </w:rPr>
      </w:pPr>
    </w:p>
    <w:p>
      <w:pPr>
        <w:jc w:val="both"/>
        <w:ind w:left="283" w:right="20" w:hanging="283"/>
        <w:spacing w:after="0" w:line="278" w:lineRule="auto"/>
        <w:tabs>
          <w:tab w:leader="none" w:pos="283" w:val="left"/>
        </w:tabs>
        <w:numPr>
          <w:ilvl w:val="0"/>
          <w:numId w:val="254"/>
        </w:numPr>
        <w:rPr>
          <w:rFonts w:ascii="Arial" w:cs="Arial" w:eastAsia="Arial" w:hAnsi="Arial"/>
          <w:sz w:val="15"/>
          <w:szCs w:val="15"/>
          <w:color w:val="auto"/>
        </w:rPr>
      </w:pPr>
      <w:r>
        <w:rPr>
          <w:rFonts w:ascii="Arial" w:cs="Arial" w:eastAsia="Arial" w:hAnsi="Arial"/>
          <w:sz w:val="15"/>
          <w:szCs w:val="15"/>
          <w:color w:val="auto"/>
        </w:rPr>
        <w:t xml:space="preserve">BioLine shall provide Employee with the use of a vehicle selected by BioLine. BioLine shall have the sole discretion to determine the type of vehicle provided to Employee in accordance with the then current BioLine car policy. The vehicle, a detailed description of which appears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 (the “</w:t>
      </w:r>
      <w:r>
        <w:rPr>
          <w:rFonts w:ascii="Arial" w:cs="Arial" w:eastAsia="Arial" w:hAnsi="Arial"/>
          <w:sz w:val="15"/>
          <w:szCs w:val="15"/>
          <w:b w:val="1"/>
          <w:bCs w:val="1"/>
          <w:color w:val="auto"/>
        </w:rPr>
        <w:t>Vehicle</w:t>
      </w:r>
      <w:r>
        <w:rPr>
          <w:rFonts w:ascii="Arial" w:cs="Arial" w:eastAsia="Arial" w:hAnsi="Arial"/>
          <w:sz w:val="15"/>
          <w:szCs w:val="15"/>
          <w:color w:val="auto"/>
        </w:rPr>
        <w:t>”), will be provided to Employee no later than Click here to enter text. (the “</w:t>
      </w:r>
      <w:r>
        <w:rPr>
          <w:rFonts w:ascii="Arial" w:cs="Arial" w:eastAsia="Arial" w:hAnsi="Arial"/>
          <w:sz w:val="15"/>
          <w:szCs w:val="15"/>
          <w:b w:val="1"/>
          <w:bCs w:val="1"/>
          <w:color w:val="auto"/>
        </w:rPr>
        <w:t>Effective Date</w:t>
      </w:r>
      <w:r>
        <w:rPr>
          <w:rFonts w:ascii="Arial" w:cs="Arial" w:eastAsia="Arial" w:hAnsi="Arial"/>
          <w:sz w:val="15"/>
          <w:szCs w:val="15"/>
          <w:color w:val="auto"/>
        </w:rPr>
        <w:t>”) and for a period of up to thirty-six (36) months from the calendar month following the Effective Date (the “</w:t>
      </w:r>
      <w:r>
        <w:rPr>
          <w:rFonts w:ascii="Arial" w:cs="Arial" w:eastAsia="Arial" w:hAnsi="Arial"/>
          <w:sz w:val="15"/>
          <w:szCs w:val="15"/>
          <w:b w:val="1"/>
          <w:bCs w:val="1"/>
          <w:color w:val="auto"/>
        </w:rPr>
        <w:t>Term</w:t>
      </w:r>
      <w:r>
        <w:rPr>
          <w:rFonts w:ascii="Arial" w:cs="Arial" w:eastAsia="Arial" w:hAnsi="Arial"/>
          <w:sz w:val="15"/>
          <w:szCs w:val="15"/>
          <w:color w:val="auto"/>
        </w:rPr>
        <w:t xml:space="preserve">”). Upon receipt of the Vehicle, Employee shall execute the Vehicle Receipt Form attached as </w:t>
      </w:r>
      <w:r>
        <w:rPr>
          <w:rFonts w:ascii="Arial" w:cs="Arial" w:eastAsia="Arial" w:hAnsi="Arial"/>
          <w:sz w:val="15"/>
          <w:szCs w:val="15"/>
          <w:b w:val="1"/>
          <w:bCs w:val="1"/>
          <w:color w:val="auto"/>
        </w:rPr>
        <w:t>Exhibit B</w:t>
      </w:r>
      <w:r>
        <w:rPr>
          <w:rFonts w:ascii="Arial" w:cs="Arial" w:eastAsia="Arial" w:hAnsi="Arial"/>
          <w:sz w:val="15"/>
          <w:szCs w:val="15"/>
          <w:color w:val="auto"/>
        </w:rPr>
        <w:t xml:space="preserve"> hereto. Notwithstanding the abovementioned, the Vehicle provided to Employee may have been leased to BioLine prior to the date hereof, in which event, the Term shall be amended accordingly, and this Agreement shall apply to the applicable Term. If Employee receives a vehicle for the interim period before the Effective Date (the “</w:t>
      </w:r>
      <w:r>
        <w:rPr>
          <w:rFonts w:ascii="Arial" w:cs="Arial" w:eastAsia="Arial" w:hAnsi="Arial"/>
          <w:sz w:val="15"/>
          <w:szCs w:val="15"/>
          <w:b w:val="1"/>
          <w:bCs w:val="1"/>
          <w:color w:val="auto"/>
        </w:rPr>
        <w:t>Temporary Vehicle</w:t>
      </w:r>
      <w:r>
        <w:rPr>
          <w:rFonts w:ascii="Arial" w:cs="Arial" w:eastAsia="Arial" w:hAnsi="Arial"/>
          <w:sz w:val="15"/>
          <w:szCs w:val="15"/>
          <w:color w:val="auto"/>
        </w:rPr>
        <w:t xml:space="preserve">”), the terms of this Agreement shall apply to the Temporary Vehicle in full. It is clarified, </w:t>
      </w:r>
      <w:r>
        <w:rPr>
          <w:rFonts w:ascii="Arial" w:cs="Arial" w:eastAsia="Arial" w:hAnsi="Arial"/>
          <w:sz w:val="15"/>
          <w:szCs w:val="15"/>
          <w:i w:val="1"/>
          <w:iCs w:val="1"/>
          <w:color w:val="auto"/>
        </w:rPr>
        <w:t>however</w:t>
      </w:r>
      <w:r>
        <w:rPr>
          <w:rFonts w:ascii="Arial" w:cs="Arial" w:eastAsia="Arial" w:hAnsi="Arial"/>
          <w:sz w:val="15"/>
          <w:szCs w:val="15"/>
          <w:color w:val="auto"/>
        </w:rPr>
        <w:t>, that the interim period shall not be considered part of the Term.</w:t>
      </w:r>
    </w:p>
    <w:p>
      <w:pPr>
        <w:spacing w:after="0" w:line="155" w:lineRule="exact"/>
        <w:rPr>
          <w:rFonts w:ascii="Arial" w:cs="Arial" w:eastAsia="Arial" w:hAnsi="Arial"/>
          <w:sz w:val="15"/>
          <w:szCs w:val="15"/>
          <w:color w:val="auto"/>
        </w:rPr>
      </w:pPr>
    </w:p>
    <w:p>
      <w:pPr>
        <w:ind w:left="283" w:hanging="283"/>
        <w:spacing w:after="0"/>
        <w:tabs>
          <w:tab w:leader="none" w:pos="283" w:val="left"/>
        </w:tabs>
        <w:numPr>
          <w:ilvl w:val="0"/>
          <w:numId w:val="254"/>
        </w:numPr>
        <w:rPr>
          <w:rFonts w:ascii="Arial" w:cs="Arial" w:eastAsia="Arial" w:hAnsi="Arial"/>
          <w:sz w:val="16"/>
          <w:szCs w:val="16"/>
          <w:color w:val="auto"/>
        </w:rPr>
      </w:pPr>
      <w:r>
        <w:rPr>
          <w:rFonts w:ascii="Arial" w:cs="Arial" w:eastAsia="Arial" w:hAnsi="Arial"/>
          <w:sz w:val="16"/>
          <w:szCs w:val="16"/>
          <w:b w:val="1"/>
          <w:bCs w:val="1"/>
          <w:color w:val="auto"/>
        </w:rPr>
        <w:t>Payments by Employee</w:t>
      </w:r>
    </w:p>
    <w:p>
      <w:pPr>
        <w:spacing w:after="0" w:line="205" w:lineRule="exact"/>
        <w:rPr>
          <w:rFonts w:ascii="Arial" w:cs="Arial" w:eastAsia="Arial" w:hAnsi="Arial"/>
          <w:sz w:val="16"/>
          <w:szCs w:val="16"/>
          <w:color w:val="auto"/>
        </w:rPr>
      </w:pPr>
    </w:p>
    <w:p>
      <w:pPr>
        <w:ind w:left="723" w:right="20" w:hanging="438"/>
        <w:spacing w:after="0" w:line="288" w:lineRule="auto"/>
        <w:rPr>
          <w:rFonts w:ascii="Arial" w:cs="Arial" w:eastAsia="Arial" w:hAnsi="Arial"/>
          <w:sz w:val="16"/>
          <w:szCs w:val="16"/>
          <w:color w:val="auto"/>
        </w:rPr>
      </w:pPr>
      <w:r>
        <w:rPr>
          <w:rFonts w:ascii="Arial" w:cs="Arial" w:eastAsia="Arial" w:hAnsi="Arial"/>
          <w:sz w:val="16"/>
          <w:szCs w:val="16"/>
          <w:color w:val="auto"/>
        </w:rPr>
        <w:t>2.1. Employee acknowledges that the benefit he/she receives from the Vehicle is taxable, and agrees to bear all taxes arising out of the use of the Vehicle (“</w:t>
      </w:r>
      <w:r>
        <w:rPr>
          <w:rFonts w:ascii="Arial" w:cs="Arial" w:eastAsia="Arial" w:hAnsi="Arial"/>
          <w:sz w:val="16"/>
          <w:szCs w:val="16"/>
          <w:b w:val="1"/>
          <w:bCs w:val="1"/>
          <w:color w:val="auto"/>
        </w:rPr>
        <w:t>Vehicle</w:t>
      </w:r>
      <w:r>
        <w:rPr>
          <w:rFonts w:ascii="Arial" w:cs="Arial" w:eastAsia="Arial" w:hAnsi="Arial"/>
          <w:sz w:val="16"/>
          <w:szCs w:val="16"/>
          <w:color w:val="auto"/>
        </w:rPr>
        <w:t xml:space="preserve"> </w:t>
      </w:r>
      <w:r>
        <w:rPr>
          <w:rFonts w:ascii="Arial" w:cs="Arial" w:eastAsia="Arial" w:hAnsi="Arial"/>
          <w:sz w:val="16"/>
          <w:szCs w:val="16"/>
          <w:b w:val="1"/>
          <w:bCs w:val="1"/>
          <w:color w:val="auto"/>
        </w:rPr>
        <w:t>Taxes</w:t>
      </w:r>
      <w:r>
        <w:rPr>
          <w:rFonts w:ascii="Arial" w:cs="Arial" w:eastAsia="Arial" w:hAnsi="Arial"/>
          <w:sz w:val="16"/>
          <w:szCs w:val="16"/>
          <w:color w:val="auto"/>
        </w:rPr>
        <w:t>”). Employee acknowledges that Vehicle Taxes will be withheld from his/her salary as required by law.</w:t>
      </w:r>
    </w:p>
    <w:p>
      <w:pPr>
        <w:spacing w:after="0" w:line="147" w:lineRule="exact"/>
        <w:rPr>
          <w:sz w:val="20"/>
          <w:szCs w:val="20"/>
          <w:color w:val="auto"/>
        </w:rPr>
      </w:pPr>
    </w:p>
    <w:p>
      <w:pPr>
        <w:ind w:left="723" w:hanging="437"/>
        <w:spacing w:after="0" w:line="283" w:lineRule="auto"/>
        <w:tabs>
          <w:tab w:leader="none" w:pos="702" w:val="left"/>
        </w:tabs>
        <w:rPr>
          <w:sz w:val="20"/>
          <w:szCs w:val="20"/>
          <w:color w:val="auto"/>
        </w:rPr>
      </w:pPr>
      <w:r>
        <w:rPr>
          <w:rFonts w:ascii="Arial" w:cs="Arial" w:eastAsia="Arial" w:hAnsi="Arial"/>
          <w:sz w:val="16"/>
          <w:szCs w:val="16"/>
          <w:color w:val="auto"/>
        </w:rPr>
        <w:t>2.2.</w:t>
        <w:tab/>
        <w:t>Vehicle Taxes may be increased according to changes from time to time in the applicable tax regulations, and Employee’s Salary will be reduced accordingly in the event of such regulatory changes.</w:t>
      </w:r>
    </w:p>
    <w:p>
      <w:pPr>
        <w:spacing w:after="0" w:line="151" w:lineRule="exact"/>
        <w:rPr>
          <w:sz w:val="20"/>
          <w:szCs w:val="20"/>
          <w:color w:val="auto"/>
        </w:rPr>
      </w:pPr>
    </w:p>
    <w:p>
      <w:pPr>
        <w:ind w:left="283"/>
        <w:spacing w:after="0"/>
        <w:tabs>
          <w:tab w:leader="none" w:pos="70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Employee shall be responsible for the following payments:</w:t>
      </w:r>
    </w:p>
    <w:p>
      <w:pPr>
        <w:spacing w:after="0" w:line="176" w:lineRule="exact"/>
        <w:rPr>
          <w:sz w:val="20"/>
          <w:szCs w:val="20"/>
          <w:color w:val="auto"/>
        </w:rPr>
      </w:pPr>
    </w:p>
    <w:p>
      <w:pPr>
        <w:ind w:left="723"/>
        <w:spacing w:after="0"/>
        <w:rPr>
          <w:sz w:val="20"/>
          <w:szCs w:val="20"/>
          <w:color w:val="auto"/>
        </w:rPr>
      </w:pPr>
      <w:r>
        <w:rPr>
          <w:rFonts w:ascii="Arial" w:cs="Arial" w:eastAsia="Arial" w:hAnsi="Arial"/>
          <w:sz w:val="16"/>
          <w:szCs w:val="16"/>
          <w:color w:val="auto"/>
        </w:rPr>
        <w:t>2.3.1. Fines and penalty payments including parking tickets and costs related to the imposing of a prohibited use notice (</w:t>
      </w:r>
      <w:r>
        <w:rPr>
          <w:rFonts w:ascii="Arial" w:cs="Arial" w:eastAsia="Arial" w:hAnsi="Arial"/>
          <w:sz w:val="16"/>
          <w:szCs w:val="16"/>
          <w:color w:val="auto"/>
        </w:rPr>
        <w:t>תילהנימ התבשה</w:t>
      </w:r>
      <w:r>
        <w:rPr>
          <w:rFonts w:ascii="Arial" w:cs="Arial" w:eastAsia="Arial" w:hAnsi="Arial"/>
          <w:sz w:val="16"/>
          <w:szCs w:val="16"/>
          <w:color w:val="auto"/>
        </w:rPr>
        <w:t>);</w:t>
      </w:r>
    </w:p>
    <w:p>
      <w:pPr>
        <w:spacing w:after="0" w:line="232" w:lineRule="exact"/>
        <w:rPr>
          <w:sz w:val="20"/>
          <w:szCs w:val="20"/>
          <w:color w:val="auto"/>
        </w:rPr>
      </w:pPr>
    </w:p>
    <w:p>
      <w:pPr>
        <w:jc w:val="both"/>
        <w:ind w:left="1163" w:right="20" w:hanging="437"/>
        <w:spacing w:after="0" w:line="265" w:lineRule="auto"/>
        <w:rPr>
          <w:sz w:val="20"/>
          <w:szCs w:val="20"/>
          <w:color w:val="auto"/>
        </w:rPr>
      </w:pPr>
      <w:r>
        <w:rPr>
          <w:rFonts w:ascii="Arial" w:cs="Arial" w:eastAsia="Arial" w:hAnsi="Arial"/>
          <w:sz w:val="16"/>
          <w:szCs w:val="16"/>
          <w:color w:val="auto"/>
        </w:rPr>
        <w:t>2.3.2. Fuel over the monthly limit specified in Exhibit A, as may be amended from time to time due to changes in the prices of fuel (the “</w:t>
      </w:r>
      <w:r>
        <w:rPr>
          <w:rFonts w:ascii="Arial" w:cs="Arial" w:eastAsia="Arial" w:hAnsi="Arial"/>
          <w:sz w:val="16"/>
          <w:szCs w:val="16"/>
          <w:b w:val="1"/>
          <w:bCs w:val="1"/>
          <w:color w:val="auto"/>
        </w:rPr>
        <w:t>Fuel Limit</w:t>
      </w:r>
      <w:r>
        <w:rPr>
          <w:rFonts w:ascii="Arial" w:cs="Arial" w:eastAsia="Arial" w:hAnsi="Arial"/>
          <w:sz w:val="16"/>
          <w:szCs w:val="16"/>
          <w:color w:val="auto"/>
        </w:rPr>
        <w:t>”). Employee will be charged once every six (6) months for use of fuel over the Fuel Limit, which will be calculated in accordance with Employee’s average use during the preceding six-month period (e.g., if Employee’s Fuel Limit is 1000 liters, and Employee’s average monthly use is 1100 liters, Employee will be charged for 600 liters (excess use of 100 multiplied by six months));</w:t>
      </w:r>
    </w:p>
    <w:p>
      <w:pPr>
        <w:spacing w:after="0" w:line="165" w:lineRule="exact"/>
        <w:rPr>
          <w:sz w:val="20"/>
          <w:szCs w:val="20"/>
          <w:color w:val="auto"/>
        </w:rPr>
      </w:pPr>
    </w:p>
    <w:p>
      <w:pPr>
        <w:jc w:val="both"/>
        <w:ind w:left="1163" w:right="20" w:hanging="437"/>
        <w:spacing w:after="0" w:line="283" w:lineRule="auto"/>
        <w:rPr>
          <w:sz w:val="20"/>
          <w:szCs w:val="20"/>
          <w:color w:val="auto"/>
        </w:rPr>
      </w:pPr>
      <w:r>
        <w:rPr>
          <w:rFonts w:ascii="Arial" w:cs="Arial" w:eastAsia="Arial" w:hAnsi="Arial"/>
          <w:sz w:val="16"/>
          <w:szCs w:val="16"/>
          <w:color w:val="auto"/>
        </w:rPr>
        <w:t>2.3.3. Fines imposed by the leasing company for mileage costs exceeding the annual limit specified in Exhibit A, as may be amended from time to time based on Employee’s place of residence (the “</w:t>
      </w:r>
      <w:r>
        <w:rPr>
          <w:rFonts w:ascii="Arial" w:cs="Arial" w:eastAsia="Arial" w:hAnsi="Arial"/>
          <w:sz w:val="16"/>
          <w:szCs w:val="16"/>
          <w:b w:val="1"/>
          <w:bCs w:val="1"/>
          <w:color w:val="auto"/>
        </w:rPr>
        <w:t>Mileage Limit</w:t>
      </w:r>
      <w:r>
        <w:rPr>
          <w:rFonts w:ascii="Arial" w:cs="Arial" w:eastAsia="Arial" w:hAnsi="Arial"/>
          <w:sz w:val="16"/>
          <w:szCs w:val="16"/>
          <w:color w:val="auto"/>
        </w:rPr>
        <w:t>”);</w:t>
      </w:r>
    </w:p>
    <w:p>
      <w:pPr>
        <w:spacing w:after="0" w:line="121" w:lineRule="exact"/>
        <w:rPr>
          <w:sz w:val="20"/>
          <w:szCs w:val="20"/>
          <w:color w:val="auto"/>
        </w:rPr>
      </w:pPr>
    </w:p>
    <w:p>
      <w:pPr>
        <w:ind w:left="723"/>
        <w:spacing w:after="0"/>
        <w:rPr>
          <w:sz w:val="20"/>
          <w:szCs w:val="20"/>
          <w:color w:val="auto"/>
        </w:rPr>
      </w:pPr>
      <w:r>
        <w:rPr>
          <w:rFonts w:ascii="Arial" w:cs="Arial" w:eastAsia="Arial" w:hAnsi="Arial"/>
          <w:sz w:val="16"/>
          <w:szCs w:val="16"/>
          <w:color w:val="auto"/>
        </w:rPr>
        <w:t>2.3.4. Highway 6 expenses (</w:t>
      </w:r>
      <w:r>
        <w:rPr>
          <w:rFonts w:ascii="Arial" w:cs="Arial" w:eastAsia="Arial" w:hAnsi="Arial"/>
          <w:sz w:val="16"/>
          <w:szCs w:val="16"/>
          <w:color w:val="auto"/>
        </w:rPr>
        <w:t>לקספ</w:t>
      </w:r>
      <w:r>
        <w:rPr>
          <w:rFonts w:ascii="Arial" w:cs="Arial" w:eastAsia="Arial" w:hAnsi="Arial"/>
          <w:sz w:val="16"/>
          <w:szCs w:val="16"/>
          <w:color w:val="auto"/>
        </w:rPr>
        <w:t>) and tolls, except for tolls related to business use, as set forth in Section 3.1 below;</w:t>
      </w:r>
    </w:p>
    <w:p>
      <w:pPr>
        <w:spacing w:after="0" w:line="23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1267" w:right="219" w:bottom="1440" w:gutter="0" w:footer="0" w:header="0"/>
        </w:sectPr>
      </w:pPr>
    </w:p>
    <w:bookmarkStart w:id="299" w:name="page300"/>
    <w:bookmarkEnd w:id="299"/>
    <w:p>
      <w:pPr>
        <w:ind w:left="723"/>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2.3.5. Tel Aviv Fast Lane expenses, except for tolls related to business use, as set forth in Section 3.1 below;</w:t>
      </w:r>
    </w:p>
    <w:p>
      <w:pPr>
        <w:spacing w:after="0" w:line="206" w:lineRule="exact"/>
        <w:rPr>
          <w:sz w:val="20"/>
          <w:szCs w:val="20"/>
          <w:color w:val="auto"/>
        </w:rPr>
      </w:pPr>
    </w:p>
    <w:p>
      <w:pPr>
        <w:ind w:left="1163" w:right="20" w:hanging="437"/>
        <w:spacing w:after="0" w:line="283" w:lineRule="auto"/>
        <w:rPr>
          <w:sz w:val="20"/>
          <w:szCs w:val="20"/>
          <w:color w:val="auto"/>
        </w:rPr>
      </w:pPr>
      <w:r>
        <w:rPr>
          <w:rFonts w:ascii="Arial" w:cs="Arial" w:eastAsia="Arial" w:hAnsi="Arial"/>
          <w:sz w:val="16"/>
          <w:szCs w:val="16"/>
          <w:color w:val="auto"/>
        </w:rPr>
        <w:t>2.3.6. Fines and expenses imposed by the leasing company for tolls related to travel on Highway 6 or the Tel Aviv Fast Lane that is not based on subscriptions arranged by Employee;</w:t>
      </w:r>
    </w:p>
    <w:p>
      <w:pPr>
        <w:spacing w:after="0" w:line="151" w:lineRule="exact"/>
        <w:rPr>
          <w:sz w:val="20"/>
          <w:szCs w:val="20"/>
          <w:color w:val="auto"/>
        </w:rPr>
      </w:pPr>
    </w:p>
    <w:p>
      <w:pPr>
        <w:ind w:left="723"/>
        <w:spacing w:after="0"/>
        <w:rPr>
          <w:sz w:val="20"/>
          <w:szCs w:val="20"/>
          <w:color w:val="auto"/>
        </w:rPr>
      </w:pPr>
      <w:r>
        <w:rPr>
          <w:rFonts w:ascii="Arial" w:cs="Arial" w:eastAsia="Arial" w:hAnsi="Arial"/>
          <w:sz w:val="16"/>
          <w:szCs w:val="16"/>
          <w:color w:val="auto"/>
        </w:rPr>
        <w:t>2.3.7. Insurance deductible, which will be borne by Employee if the damage was caused by Employee, as follows:</w:t>
      </w:r>
    </w:p>
    <w:p>
      <w:pPr>
        <w:spacing w:after="0" w:line="206" w:lineRule="exact"/>
        <w:rPr>
          <w:sz w:val="20"/>
          <w:szCs w:val="20"/>
          <w:color w:val="auto"/>
        </w:rPr>
      </w:pPr>
    </w:p>
    <w:p>
      <w:pPr>
        <w:ind w:left="1463" w:hanging="294"/>
        <w:spacing w:after="0"/>
        <w:tabs>
          <w:tab w:leader="none" w:pos="146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On the third occurrence of any such damage, Employee shall bear 30% of the insurance deductible.</w:t>
      </w:r>
    </w:p>
    <w:p>
      <w:pPr>
        <w:spacing w:after="0" w:line="205" w:lineRule="exact"/>
        <w:rPr>
          <w:rFonts w:ascii="Arial" w:cs="Arial" w:eastAsia="Arial" w:hAnsi="Arial"/>
          <w:sz w:val="16"/>
          <w:szCs w:val="16"/>
          <w:color w:val="auto"/>
        </w:rPr>
      </w:pPr>
    </w:p>
    <w:p>
      <w:pPr>
        <w:ind w:left="1463" w:hanging="294"/>
        <w:spacing w:after="0"/>
        <w:tabs>
          <w:tab w:leader="none" w:pos="146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From the fourth occurrence of any such damage and onwards, Employee shall bear 50% of the insurance deductible.</w:t>
      </w:r>
    </w:p>
    <w:p>
      <w:pPr>
        <w:spacing w:after="0" w:line="205" w:lineRule="exact"/>
        <w:rPr>
          <w:rFonts w:ascii="Arial" w:cs="Arial" w:eastAsia="Arial" w:hAnsi="Arial"/>
          <w:sz w:val="16"/>
          <w:szCs w:val="16"/>
          <w:color w:val="auto"/>
        </w:rPr>
      </w:pPr>
    </w:p>
    <w:p>
      <w:pPr>
        <w:jc w:val="both"/>
        <w:ind w:left="1463" w:right="20" w:hanging="294"/>
        <w:spacing w:after="0" w:line="268" w:lineRule="auto"/>
        <w:tabs>
          <w:tab w:leader="none" w:pos="146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Employee will be charged as provided above only if damage was reported to the leasing company in a timely manner. If damage was not reported in a timely manner, and as a result the leasing company charges BioLine for additional events of damage, Employee will bear the full cost of the insurance deductible.</w:t>
      </w:r>
    </w:p>
    <w:p>
      <w:pPr>
        <w:spacing w:after="0" w:line="163" w:lineRule="exact"/>
        <w:rPr>
          <w:sz w:val="20"/>
          <w:szCs w:val="20"/>
          <w:color w:val="auto"/>
        </w:rPr>
      </w:pPr>
    </w:p>
    <w:p>
      <w:pPr>
        <w:ind w:left="723"/>
        <w:spacing w:after="0"/>
        <w:rPr>
          <w:sz w:val="20"/>
          <w:szCs w:val="20"/>
          <w:color w:val="auto"/>
        </w:rPr>
      </w:pPr>
      <w:r>
        <w:rPr>
          <w:rFonts w:ascii="Arial" w:cs="Arial" w:eastAsia="Arial" w:hAnsi="Arial"/>
          <w:sz w:val="16"/>
          <w:szCs w:val="16"/>
          <w:color w:val="auto"/>
        </w:rPr>
        <w:t>2.3.8. Employee shall bear the cost of any flat tires, except for the first two (2) flat tires per year, as indicated in Section 3.1.1 below; and</w:t>
      </w:r>
    </w:p>
    <w:p>
      <w:pPr>
        <w:spacing w:after="0" w:line="206" w:lineRule="exact"/>
        <w:rPr>
          <w:sz w:val="20"/>
          <w:szCs w:val="20"/>
          <w:color w:val="auto"/>
        </w:rPr>
      </w:pPr>
    </w:p>
    <w:p>
      <w:pPr>
        <w:jc w:val="both"/>
        <w:ind w:left="1163" w:right="20" w:hanging="437"/>
        <w:spacing w:after="0" w:line="268" w:lineRule="auto"/>
        <w:rPr>
          <w:sz w:val="20"/>
          <w:szCs w:val="20"/>
          <w:color w:val="auto"/>
        </w:rPr>
      </w:pPr>
      <w:r>
        <w:rPr>
          <w:rFonts w:ascii="Arial" w:cs="Arial" w:eastAsia="Arial" w:hAnsi="Arial"/>
          <w:sz w:val="16"/>
          <w:szCs w:val="16"/>
          <w:color w:val="auto"/>
        </w:rPr>
        <w:t>2.3.9. It is Employee’s responsibility to ensure that the Vehicle has a full tank upon sending the Vehicle to maintenance and repairs. If the Vehicle’s tank is not full, and an extra charge is billed for fuel, Employee shall bear the extra fuel charge, provided however that BioLine may decide in its sole discretion to bear such expense if Employee could not have predicted the repair.</w:t>
      </w:r>
    </w:p>
    <w:p>
      <w:pPr>
        <w:spacing w:after="0" w:line="163" w:lineRule="exact"/>
        <w:rPr>
          <w:sz w:val="20"/>
          <w:szCs w:val="20"/>
          <w:color w:val="auto"/>
        </w:rPr>
      </w:pPr>
    </w:p>
    <w:p>
      <w:pPr>
        <w:jc w:val="both"/>
        <w:ind w:left="723" w:hanging="437"/>
        <w:spacing w:after="0" w:line="268" w:lineRule="auto"/>
        <w:tabs>
          <w:tab w:leader="none" w:pos="702" w:val="left"/>
        </w:tabs>
        <w:rPr>
          <w:sz w:val="20"/>
          <w:szCs w:val="20"/>
          <w:color w:val="auto"/>
        </w:rPr>
      </w:pPr>
      <w:r>
        <w:rPr>
          <w:rFonts w:ascii="Arial" w:cs="Arial" w:eastAsia="Arial" w:hAnsi="Arial"/>
          <w:sz w:val="16"/>
          <w:szCs w:val="16"/>
          <w:color w:val="auto"/>
        </w:rPr>
        <w:t>2.4.</w:t>
        <w:tab/>
        <w:t>Employee undertakes to pay, upon first demand, all fines and penalty payments, such as parking tickets, etc., within sixty (60) days of receipt of the ticket. If Employee does not pay the required fines, etc., BioLine may withhold such amount from his/her Salary, together with any late penalties or additional payments which may be assessed.</w:t>
      </w:r>
    </w:p>
    <w:p>
      <w:pPr>
        <w:spacing w:after="0" w:line="163" w:lineRule="exact"/>
        <w:rPr>
          <w:sz w:val="20"/>
          <w:szCs w:val="20"/>
          <w:color w:val="auto"/>
        </w:rPr>
      </w:pPr>
    </w:p>
    <w:p>
      <w:pPr>
        <w:jc w:val="both"/>
        <w:ind w:left="723" w:right="20" w:hanging="437"/>
        <w:spacing w:after="0" w:line="268" w:lineRule="auto"/>
        <w:tabs>
          <w:tab w:leader="none" w:pos="702" w:val="left"/>
        </w:tabs>
        <w:rPr>
          <w:sz w:val="20"/>
          <w:szCs w:val="20"/>
          <w:color w:val="auto"/>
        </w:rPr>
      </w:pPr>
      <w:r>
        <w:rPr>
          <w:rFonts w:ascii="Arial" w:cs="Arial" w:eastAsia="Arial" w:hAnsi="Arial"/>
          <w:sz w:val="16"/>
          <w:szCs w:val="16"/>
          <w:color w:val="auto"/>
        </w:rPr>
        <w:t>2.5.</w:t>
        <w:tab/>
        <w:t>Employee confirms and represents that he/she is the holder of the Vehicle as of the Effective Date. Consequently, Employee hereby agrees to the assignment of any tickets, fines, penalties, as well as traffic points (</w:t>
      </w:r>
      <w:r>
        <w:rPr>
          <w:rFonts w:ascii="Arial" w:cs="Arial" w:eastAsia="Arial" w:hAnsi="Arial"/>
          <w:sz w:val="16"/>
          <w:szCs w:val="16"/>
          <w:color w:val="auto"/>
        </w:rPr>
        <w:t>תודוקנ</w:t>
      </w:r>
      <w:r>
        <w:rPr>
          <w:rFonts w:ascii="Arial" w:cs="Arial" w:eastAsia="Arial" w:hAnsi="Arial"/>
          <w:sz w:val="16"/>
          <w:szCs w:val="16"/>
          <w:color w:val="auto"/>
        </w:rPr>
        <w:t xml:space="preserve">) to Employee, and authorizes BioLine to carry out such assignment vis-a-vis the competent authority if required. Employee has executed the Confirmation and Assignment deed attached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hereto.</w:t>
      </w:r>
    </w:p>
    <w:p>
      <w:pPr>
        <w:spacing w:after="0" w:line="159" w:lineRule="exact"/>
        <w:rPr>
          <w:sz w:val="20"/>
          <w:szCs w:val="20"/>
          <w:color w:val="auto"/>
        </w:rPr>
      </w:pPr>
    </w:p>
    <w:p>
      <w:pPr>
        <w:ind w:left="283" w:hanging="283"/>
        <w:spacing w:after="0"/>
        <w:tabs>
          <w:tab w:leader="none" w:pos="283" w:val="left"/>
        </w:tabs>
        <w:numPr>
          <w:ilvl w:val="0"/>
          <w:numId w:val="256"/>
        </w:numPr>
        <w:rPr>
          <w:rFonts w:ascii="Arial" w:cs="Arial" w:eastAsia="Arial" w:hAnsi="Arial"/>
          <w:sz w:val="16"/>
          <w:szCs w:val="16"/>
          <w:color w:val="auto"/>
        </w:rPr>
      </w:pPr>
      <w:r>
        <w:rPr>
          <w:rFonts w:ascii="Arial" w:cs="Arial" w:eastAsia="Arial" w:hAnsi="Arial"/>
          <w:sz w:val="16"/>
          <w:szCs w:val="16"/>
          <w:b w:val="1"/>
          <w:bCs w:val="1"/>
          <w:color w:val="auto"/>
        </w:rPr>
        <w:t>Payments by BioLine</w:t>
      </w:r>
    </w:p>
    <w:p>
      <w:pPr>
        <w:spacing w:after="0" w:line="206" w:lineRule="exact"/>
        <w:rPr>
          <w:sz w:val="20"/>
          <w:szCs w:val="20"/>
          <w:color w:val="auto"/>
        </w:rPr>
      </w:pPr>
    </w:p>
    <w:p>
      <w:pPr>
        <w:ind w:left="723" w:right="20" w:hanging="437"/>
        <w:spacing w:after="0" w:line="288" w:lineRule="auto"/>
        <w:tabs>
          <w:tab w:leader="none" w:pos="702" w:val="left"/>
        </w:tabs>
        <w:rPr>
          <w:sz w:val="20"/>
          <w:szCs w:val="20"/>
          <w:color w:val="auto"/>
        </w:rPr>
      </w:pPr>
      <w:r>
        <w:rPr>
          <w:rFonts w:ascii="Arial" w:cs="Arial" w:eastAsia="Arial" w:hAnsi="Arial"/>
          <w:sz w:val="16"/>
          <w:szCs w:val="16"/>
          <w:color w:val="auto"/>
        </w:rPr>
        <w:t>3.1.</w:t>
        <w:tab/>
        <w:t>BioLine shall pay or be responsible for the payment of the monthly leasing payment charged by the leasing company for the Vehicle (the “</w:t>
      </w:r>
      <w:r>
        <w:rPr>
          <w:rFonts w:ascii="Arial" w:cs="Arial" w:eastAsia="Arial" w:hAnsi="Arial"/>
          <w:sz w:val="16"/>
          <w:szCs w:val="16"/>
          <w:b w:val="1"/>
          <w:bCs w:val="1"/>
          <w:color w:val="auto"/>
        </w:rPr>
        <w:t>Lease Payment</w:t>
      </w:r>
      <w:r>
        <w:rPr>
          <w:rFonts w:ascii="Arial" w:cs="Arial" w:eastAsia="Arial" w:hAnsi="Arial"/>
          <w:sz w:val="16"/>
          <w:szCs w:val="16"/>
          <w:color w:val="auto"/>
        </w:rPr>
        <w:t>”), and for expenses related to the Vehicle, as follows:</w:t>
      </w:r>
    </w:p>
    <w:p>
      <w:pPr>
        <w:spacing w:after="0" w:line="147" w:lineRule="exact"/>
        <w:rPr>
          <w:sz w:val="20"/>
          <w:szCs w:val="20"/>
          <w:color w:val="auto"/>
        </w:rPr>
      </w:pPr>
    </w:p>
    <w:p>
      <w:pPr>
        <w:ind w:left="723"/>
        <w:spacing w:after="0"/>
        <w:rPr>
          <w:sz w:val="20"/>
          <w:szCs w:val="20"/>
          <w:color w:val="auto"/>
        </w:rPr>
      </w:pPr>
      <w:r>
        <w:rPr>
          <w:rFonts w:ascii="Arial" w:cs="Arial" w:eastAsia="Arial" w:hAnsi="Arial"/>
          <w:sz w:val="16"/>
          <w:szCs w:val="16"/>
          <w:color w:val="auto"/>
        </w:rPr>
        <w:t>3.1.1. Insurance, licensing fees, maintenance and repairs, and the repair cost of two (2) flat tires a year, in accordance with BioLine’s car policy;</w:t>
      </w:r>
    </w:p>
    <w:p>
      <w:pPr>
        <w:spacing w:after="0" w:line="206" w:lineRule="exact"/>
        <w:rPr>
          <w:sz w:val="20"/>
          <w:szCs w:val="20"/>
          <w:color w:val="auto"/>
        </w:rPr>
      </w:pPr>
    </w:p>
    <w:p>
      <w:pPr>
        <w:ind w:left="723"/>
        <w:spacing w:after="0"/>
        <w:rPr>
          <w:sz w:val="20"/>
          <w:szCs w:val="20"/>
          <w:color w:val="auto"/>
        </w:rPr>
      </w:pPr>
      <w:r>
        <w:rPr>
          <w:rFonts w:ascii="Arial" w:cs="Arial" w:eastAsia="Arial" w:hAnsi="Arial"/>
          <w:sz w:val="15"/>
          <w:szCs w:val="15"/>
          <w:color w:val="auto"/>
        </w:rPr>
        <w:t>3.1.2. Insurance deductible of 100% if the damage is caused by a third party, and the following portions of the insurance deductible if the damage is caused by</w:t>
      </w:r>
    </w:p>
    <w:p>
      <w:pPr>
        <w:spacing w:after="0" w:line="34" w:lineRule="exact"/>
        <w:rPr>
          <w:sz w:val="20"/>
          <w:szCs w:val="20"/>
          <w:color w:val="auto"/>
        </w:rPr>
      </w:pPr>
    </w:p>
    <w:p>
      <w:pPr>
        <w:ind w:left="1163"/>
        <w:spacing w:after="0"/>
        <w:rPr>
          <w:sz w:val="20"/>
          <w:szCs w:val="20"/>
          <w:color w:val="auto"/>
        </w:rPr>
      </w:pPr>
      <w:r>
        <w:rPr>
          <w:rFonts w:ascii="Arial" w:cs="Arial" w:eastAsia="Arial" w:hAnsi="Arial"/>
          <w:sz w:val="16"/>
          <w:szCs w:val="16"/>
          <w:color w:val="auto"/>
        </w:rPr>
        <w:t>Employee:</w:t>
      </w:r>
    </w:p>
    <w:p>
      <w:pPr>
        <w:spacing w:after="0" w:line="194" w:lineRule="exact"/>
        <w:rPr>
          <w:sz w:val="20"/>
          <w:szCs w:val="20"/>
          <w:color w:val="auto"/>
        </w:rPr>
      </w:pPr>
    </w:p>
    <w:p>
      <w:pPr>
        <w:ind w:left="1463" w:hanging="294"/>
        <w:spacing w:after="0"/>
        <w:tabs>
          <w:tab w:leader="none" w:pos="146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100% of the insurance deductible in the first two occurrences;</w:t>
      </w:r>
    </w:p>
    <w:p>
      <w:pPr>
        <w:spacing w:after="0" w:line="205" w:lineRule="exact"/>
        <w:rPr>
          <w:rFonts w:ascii="Arial" w:cs="Arial" w:eastAsia="Arial" w:hAnsi="Arial"/>
          <w:sz w:val="16"/>
          <w:szCs w:val="16"/>
          <w:color w:val="auto"/>
        </w:rPr>
      </w:pPr>
    </w:p>
    <w:p>
      <w:pPr>
        <w:ind w:left="1463" w:hanging="294"/>
        <w:spacing w:after="0"/>
        <w:tabs>
          <w:tab w:leader="none" w:pos="146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70% of the insurance deductible in the third occurrence;</w:t>
      </w:r>
    </w:p>
    <w:p>
      <w:pPr>
        <w:spacing w:after="0" w:line="205" w:lineRule="exact"/>
        <w:rPr>
          <w:rFonts w:ascii="Arial" w:cs="Arial" w:eastAsia="Arial" w:hAnsi="Arial"/>
          <w:sz w:val="16"/>
          <w:szCs w:val="16"/>
          <w:color w:val="auto"/>
        </w:rPr>
      </w:pPr>
    </w:p>
    <w:p>
      <w:pPr>
        <w:ind w:left="723" w:right="5380" w:firstLine="446"/>
        <w:spacing w:after="0" w:line="508" w:lineRule="auto"/>
        <w:tabs>
          <w:tab w:leader="none" w:pos="145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50% of the insurance deductible in the fourth occurrence and onwards. 3.1.3. Fuel up to the Fuel Limit;</w:t>
      </w:r>
    </w:p>
    <w:p>
      <w:pPr>
        <w:jc w:val="center"/>
        <w:ind w:right="-2"/>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882" w:right="219" w:bottom="1440" w:gutter="0" w:footer="0" w:header="0"/>
        </w:sectPr>
      </w:pPr>
    </w:p>
    <w:bookmarkStart w:id="300" w:name="page301"/>
    <w:bookmarkEnd w:id="300"/>
    <w:p>
      <w:pPr>
        <w:ind w:left="723"/>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3.1.4. Mileage costs up to the Mileage Limit;</w:t>
      </w:r>
    </w:p>
    <w:p>
      <w:pPr>
        <w:spacing w:after="0" w:line="206" w:lineRule="exact"/>
        <w:rPr>
          <w:sz w:val="20"/>
          <w:szCs w:val="20"/>
          <w:color w:val="auto"/>
        </w:rPr>
      </w:pPr>
    </w:p>
    <w:p>
      <w:pPr>
        <w:ind w:left="1163" w:hanging="437"/>
        <w:spacing w:after="0" w:line="307" w:lineRule="auto"/>
        <w:rPr>
          <w:sz w:val="20"/>
          <w:szCs w:val="20"/>
          <w:color w:val="auto"/>
        </w:rPr>
      </w:pPr>
      <w:r>
        <w:rPr>
          <w:rFonts w:ascii="Arial" w:cs="Arial" w:eastAsia="Arial" w:hAnsi="Arial"/>
          <w:sz w:val="16"/>
          <w:szCs w:val="16"/>
          <w:color w:val="auto"/>
        </w:rPr>
        <w:t>3.1.5. Reimbursement for Highway 6 tolls in connection with business related travel only, and subject to the installation by Employee of the Highway 6 meter (</w:t>
      </w:r>
      <w:r>
        <w:rPr>
          <w:rFonts w:ascii="Arial" w:cs="Arial" w:eastAsia="Arial" w:hAnsi="Arial"/>
          <w:sz w:val="16"/>
          <w:szCs w:val="16"/>
          <w:color w:val="auto"/>
        </w:rPr>
        <w:t>לקספ</w:t>
      </w:r>
      <w:r>
        <w:rPr>
          <w:rFonts w:ascii="Arial" w:cs="Arial" w:eastAsia="Arial" w:hAnsi="Arial"/>
          <w:sz w:val="16"/>
          <w:szCs w:val="16"/>
          <w:color w:val="auto"/>
        </w:rPr>
        <w:t>), in accordance with BioLine’s procedures for reimbursement of expenses;</w:t>
      </w:r>
    </w:p>
    <w:p>
      <w:pPr>
        <w:spacing w:after="0" w:line="114" w:lineRule="exact"/>
        <w:rPr>
          <w:sz w:val="20"/>
          <w:szCs w:val="20"/>
          <w:color w:val="auto"/>
        </w:rPr>
      </w:pPr>
    </w:p>
    <w:p>
      <w:pPr>
        <w:ind w:left="723"/>
        <w:spacing w:after="0"/>
        <w:rPr>
          <w:sz w:val="20"/>
          <w:szCs w:val="20"/>
          <w:color w:val="auto"/>
        </w:rPr>
      </w:pPr>
      <w:r>
        <w:rPr>
          <w:rFonts w:ascii="Arial" w:cs="Arial" w:eastAsia="Arial" w:hAnsi="Arial"/>
          <w:sz w:val="15"/>
          <w:szCs w:val="15"/>
          <w:color w:val="auto"/>
        </w:rPr>
        <w:t>3.1.6. Reimbursement for Tel Aviv Fast Lane tolls in connection with business related travel only, and subject to Employee’s arranging a subscription; and</w:t>
      </w:r>
    </w:p>
    <w:p>
      <w:pPr>
        <w:spacing w:after="0" w:line="217" w:lineRule="exact"/>
        <w:rPr>
          <w:sz w:val="20"/>
          <w:szCs w:val="20"/>
          <w:color w:val="auto"/>
        </w:rPr>
      </w:pPr>
    </w:p>
    <w:p>
      <w:pPr>
        <w:ind w:left="723"/>
        <w:spacing w:after="0"/>
        <w:rPr>
          <w:sz w:val="20"/>
          <w:szCs w:val="20"/>
          <w:color w:val="auto"/>
        </w:rPr>
      </w:pPr>
      <w:r>
        <w:rPr>
          <w:rFonts w:ascii="Arial" w:cs="Arial" w:eastAsia="Arial" w:hAnsi="Arial"/>
          <w:sz w:val="16"/>
          <w:szCs w:val="16"/>
          <w:color w:val="auto"/>
        </w:rPr>
        <w:t>3.1.7. Other expenses, all as may be decided from time to time by BioLine and in accordance with BioLine’s car policy then in effect.</w:t>
      </w:r>
    </w:p>
    <w:p>
      <w:pPr>
        <w:spacing w:after="0" w:line="206" w:lineRule="exact"/>
        <w:rPr>
          <w:sz w:val="20"/>
          <w:szCs w:val="20"/>
          <w:color w:val="auto"/>
        </w:rPr>
      </w:pPr>
    </w:p>
    <w:p>
      <w:pPr>
        <w:ind w:left="283"/>
        <w:spacing w:after="0"/>
        <w:tabs>
          <w:tab w:leader="none" w:pos="70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For the avoidance of doubt, BioLine shall not be responsible for the payment of any fines, penalties or other expenses as set forth in Section 2.3 above.</w:t>
      </w:r>
    </w:p>
    <w:p>
      <w:pPr>
        <w:spacing w:after="0" w:line="202" w:lineRule="exact"/>
        <w:rPr>
          <w:sz w:val="20"/>
          <w:szCs w:val="20"/>
          <w:color w:val="auto"/>
        </w:rPr>
      </w:pPr>
    </w:p>
    <w:p>
      <w:pPr>
        <w:ind w:left="283" w:hanging="283"/>
        <w:spacing w:after="0"/>
        <w:tabs>
          <w:tab w:leader="none" w:pos="283" w:val="left"/>
        </w:tabs>
        <w:numPr>
          <w:ilvl w:val="0"/>
          <w:numId w:val="258"/>
        </w:numPr>
        <w:rPr>
          <w:rFonts w:ascii="Arial" w:cs="Arial" w:eastAsia="Arial" w:hAnsi="Arial"/>
          <w:sz w:val="16"/>
          <w:szCs w:val="16"/>
          <w:color w:val="auto"/>
        </w:rPr>
      </w:pPr>
      <w:r>
        <w:rPr>
          <w:rFonts w:ascii="Arial" w:cs="Arial" w:eastAsia="Arial" w:hAnsi="Arial"/>
          <w:sz w:val="16"/>
          <w:szCs w:val="16"/>
          <w:b w:val="1"/>
          <w:bCs w:val="1"/>
          <w:color w:val="auto"/>
        </w:rPr>
        <w:t>Operation and Use of the Vehicle</w:t>
      </w:r>
    </w:p>
    <w:p>
      <w:pPr>
        <w:spacing w:after="0" w:line="209" w:lineRule="exact"/>
        <w:rPr>
          <w:rFonts w:ascii="Arial" w:cs="Arial" w:eastAsia="Arial" w:hAnsi="Arial"/>
          <w:sz w:val="16"/>
          <w:szCs w:val="16"/>
          <w:color w:val="auto"/>
        </w:rPr>
      </w:pPr>
    </w:p>
    <w:p>
      <w:pPr>
        <w:ind w:left="723" w:right="20" w:hanging="438"/>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4.1. The Vehicle shall be the exclusive responsibility of Employee. Employee shall execute the Undertaking to Secure the Vehicle and Security Code in the form attached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hereto.</w:t>
      </w:r>
    </w:p>
    <w:p>
      <w:pPr>
        <w:spacing w:after="0" w:line="150" w:lineRule="exact"/>
        <w:rPr>
          <w:rFonts w:ascii="Arial" w:cs="Arial" w:eastAsia="Arial" w:hAnsi="Arial"/>
          <w:sz w:val="16"/>
          <w:szCs w:val="16"/>
          <w:color w:val="auto"/>
        </w:rPr>
      </w:pPr>
    </w:p>
    <w:p>
      <w:pPr>
        <w:ind w:left="723" w:right="20" w:hanging="438"/>
        <w:spacing w:after="0" w:line="263" w:lineRule="auto"/>
        <w:rPr>
          <w:rFonts w:ascii="Arial" w:cs="Arial" w:eastAsia="Arial" w:hAnsi="Arial"/>
          <w:sz w:val="16"/>
          <w:szCs w:val="16"/>
          <w:color w:val="auto"/>
        </w:rPr>
      </w:pPr>
      <w:r>
        <w:rPr>
          <w:rFonts w:ascii="Arial" w:cs="Arial" w:eastAsia="Arial" w:hAnsi="Arial"/>
          <w:sz w:val="16"/>
          <w:szCs w:val="16"/>
          <w:color w:val="auto"/>
        </w:rPr>
        <w:t>4.2. Employee undertakes to abide by any and all laws and regulations regarding the use of the Vehicle and to operate the vehicle in a cautious manner. Employee further undertakes to notify BioLine immediately if Employee’s license is revoked for any reason. Employee will take all appropriate measures to avoid loss of or damage to the Vehicle or to any third party, and shall at all times comply with the then current BioLine car policy. Employee also undertakes to follow any other limitation or requirement set by the terms of the Vehicle’s insurance policy.</w:t>
      </w:r>
    </w:p>
    <w:p>
      <w:pPr>
        <w:spacing w:after="0" w:line="167" w:lineRule="exact"/>
        <w:rPr>
          <w:rFonts w:ascii="Arial" w:cs="Arial" w:eastAsia="Arial" w:hAnsi="Arial"/>
          <w:sz w:val="16"/>
          <w:szCs w:val="16"/>
          <w:color w:val="auto"/>
        </w:rPr>
      </w:pPr>
    </w:p>
    <w:p>
      <w:pPr>
        <w:ind w:left="723" w:hanging="438"/>
        <w:spacing w:after="0" w:line="280" w:lineRule="auto"/>
        <w:rPr>
          <w:rFonts w:ascii="Arial" w:cs="Arial" w:eastAsia="Arial" w:hAnsi="Arial"/>
          <w:sz w:val="16"/>
          <w:szCs w:val="16"/>
          <w:color w:val="auto"/>
        </w:rPr>
      </w:pPr>
      <w:r>
        <w:rPr>
          <w:rFonts w:ascii="Arial" w:cs="Arial" w:eastAsia="Arial" w:hAnsi="Arial"/>
          <w:sz w:val="15"/>
          <w:szCs w:val="15"/>
          <w:color w:val="auto"/>
        </w:rPr>
        <w:t>4.3. Employee undertakes not to (a) transport more passengers or weight than are allowed by the insurance policy, (b) use the Vehicle for any purpose other than for work-related travel or for his/her own personal needs, (c) drive the Vehicle on unpaved roads or in places which are inappropriate for travel by a private vehicle, (d) take or drive the Vehicle to any areas which are outside the area of the State of Israel (including the Sinai Peninsula and the area of the Palestinian Authority), (e) use the Vehicle for towing, for pushing another vehicle or any other object, for competition, for racing, for testing stability or speed or for any other motor sport, (f) use the Vehicle for any illegal use, political purpose or in connection with any organization, strike or riot, or (g) leave the keys in the Vehicle while Employee is not in the Vehicle, or leave the Vehicle without activating the locking mechanism or other means of securing the Vehicle, even for a short time.</w:t>
      </w:r>
    </w:p>
    <w:p>
      <w:pPr>
        <w:spacing w:after="0" w:line="156" w:lineRule="exact"/>
        <w:rPr>
          <w:rFonts w:ascii="Arial" w:cs="Arial" w:eastAsia="Arial" w:hAnsi="Arial"/>
          <w:sz w:val="16"/>
          <w:szCs w:val="16"/>
          <w:color w:val="auto"/>
        </w:rPr>
      </w:pPr>
    </w:p>
    <w:p>
      <w:pPr>
        <w:ind w:left="723" w:right="20" w:hanging="438"/>
        <w:spacing w:after="0" w:line="289" w:lineRule="auto"/>
        <w:rPr>
          <w:rFonts w:ascii="Arial" w:cs="Arial" w:eastAsia="Arial" w:hAnsi="Arial"/>
          <w:sz w:val="16"/>
          <w:szCs w:val="16"/>
          <w:color w:val="auto"/>
        </w:rPr>
      </w:pPr>
      <w:r>
        <w:rPr>
          <w:rFonts w:ascii="Arial" w:cs="Arial" w:eastAsia="Arial" w:hAnsi="Arial"/>
          <w:sz w:val="15"/>
          <w:szCs w:val="15"/>
          <w:color w:val="auto"/>
        </w:rPr>
        <w:t>4.4. Employee will bear the cost of any expense or damage to the Vehicle or to a third party (a) arising from any breach of the terms and conditions of this Agreement or from negligent use of the Vehicle, or (b) for which the insurance policy does not compensate BioLine. In addition, if a prohibited use notice (</w:t>
      </w:r>
      <w:r>
        <w:rPr>
          <w:rFonts w:ascii="Arial" w:cs="Arial" w:eastAsia="Arial" w:hAnsi="Arial"/>
          <w:sz w:val="15"/>
          <w:szCs w:val="15"/>
          <w:color w:val="auto"/>
        </w:rPr>
        <w:t>תילהנימ התבשה</w:t>
      </w:r>
      <w:r>
        <w:rPr>
          <w:rFonts w:ascii="Arial" w:cs="Arial" w:eastAsia="Arial" w:hAnsi="Arial"/>
          <w:sz w:val="15"/>
          <w:szCs w:val="15"/>
          <w:color w:val="auto"/>
        </w:rPr>
        <w:t>) is imposed on the Vehicle, Employee shall fully cooperate with BioLine in order to release the Vehicle from impound, and shall not be entitled to receive a temporary vehicle during such period. Employee shall indemnify and hold BioLine harmless from any third party claims relating to the prohibited use notice (</w:t>
      </w:r>
      <w:r>
        <w:rPr>
          <w:rFonts w:ascii="Arial" w:cs="Arial" w:eastAsia="Arial" w:hAnsi="Arial"/>
          <w:sz w:val="15"/>
          <w:szCs w:val="15"/>
          <w:color w:val="auto"/>
        </w:rPr>
        <w:t>התבשה</w:t>
      </w:r>
      <w:r>
        <w:rPr>
          <w:rFonts w:ascii="Arial" w:cs="Arial" w:eastAsia="Arial" w:hAnsi="Arial"/>
          <w:sz w:val="15"/>
          <w:szCs w:val="15"/>
          <w:color w:val="auto"/>
        </w:rPr>
        <w:t xml:space="preserve"> </w:t>
      </w:r>
      <w:r>
        <w:rPr>
          <w:rFonts w:ascii="Arial" w:cs="Arial" w:eastAsia="Arial" w:hAnsi="Arial"/>
          <w:sz w:val="15"/>
          <w:szCs w:val="15"/>
          <w:color w:val="auto"/>
        </w:rPr>
        <w:t>תילהנימ</w:t>
      </w:r>
      <w:r>
        <w:rPr>
          <w:rFonts w:ascii="Arial" w:cs="Arial" w:eastAsia="Arial" w:hAnsi="Arial"/>
          <w:sz w:val="15"/>
          <w:szCs w:val="15"/>
          <w:color w:val="auto"/>
        </w:rPr>
        <w:t>), and will indemnify BioLine for any damages to the Vehicle, or any other damages which BioLine shall incur in connection thereof.</w:t>
      </w:r>
    </w:p>
    <w:p>
      <w:pPr>
        <w:spacing w:after="0" w:line="130" w:lineRule="exact"/>
        <w:rPr>
          <w:rFonts w:ascii="Arial" w:cs="Arial" w:eastAsia="Arial" w:hAnsi="Arial"/>
          <w:sz w:val="16"/>
          <w:szCs w:val="16"/>
          <w:color w:val="auto"/>
        </w:rPr>
      </w:pPr>
    </w:p>
    <w:p>
      <w:pPr>
        <w:ind w:left="723" w:hanging="438"/>
        <w:spacing w:after="0" w:line="282" w:lineRule="auto"/>
        <w:rPr>
          <w:rFonts w:ascii="Arial" w:cs="Arial" w:eastAsia="Arial" w:hAnsi="Arial"/>
          <w:sz w:val="16"/>
          <w:szCs w:val="16"/>
          <w:color w:val="auto"/>
        </w:rPr>
      </w:pPr>
      <w:r>
        <w:rPr>
          <w:rFonts w:ascii="Arial" w:cs="Arial" w:eastAsia="Arial" w:hAnsi="Arial"/>
          <w:sz w:val="15"/>
          <w:szCs w:val="15"/>
          <w:color w:val="auto"/>
        </w:rPr>
        <w:t>4.5. The persons who are authorized to drive the Vehicle in addition to Employee are the members of Employee’s immediate family (spouse and Employee’s children) or Employee’s ‘significant other’, for reasonable family use only; provided that each such driver must hold a valid drivers’ license. Notwithstanding the foregoing, Employee must request BioLine’s explicit consent with respect to any driver who is over the age of 75 or under the age of 23, or any driver who has not held a valid driver’s license for at least two years. Without BioLine’s written consent, the drivers specified in the preceding sentence are not authorized to drive the Vehicle and will not be covered by the insurance policy. All the terms set forth in this Agreement are deemed to be accepted by all persons who drive the Vehicle.</w:t>
      </w:r>
    </w:p>
    <w:p>
      <w:pPr>
        <w:spacing w:after="0" w:line="15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882" w:right="219" w:bottom="1440" w:gutter="0" w:footer="0" w:header="0"/>
        </w:sectPr>
      </w:pPr>
    </w:p>
    <w:bookmarkStart w:id="301" w:name="page302"/>
    <w:bookmarkEnd w:id="301"/>
    <w:p>
      <w:pPr>
        <w:ind w:left="283" w:hanging="283"/>
        <w:spacing w:after="0"/>
        <w:tabs>
          <w:tab w:leader="none" w:pos="283"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Care and Treatment of the Vehicle</w:t>
      </w:r>
    </w:p>
    <w:p>
      <w:pPr>
        <w:spacing w:after="0" w:line="209"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5.1.   Employee shall treat the Vehicle as if it was his/her own and shall ensure that the Vehicle remains in good condition.</w:t>
      </w:r>
    </w:p>
    <w:p>
      <w:pPr>
        <w:spacing w:after="0" w:line="205"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5.2.   Employee will notify BioLine and the police if the Vehicle is stolen as soon as he/she becomes aware of the theft.</w:t>
      </w:r>
    </w:p>
    <w:p>
      <w:pPr>
        <w:spacing w:after="0" w:line="205" w:lineRule="exact"/>
        <w:rPr>
          <w:rFonts w:ascii="Arial" w:cs="Arial" w:eastAsia="Arial" w:hAnsi="Arial"/>
          <w:sz w:val="16"/>
          <w:szCs w:val="16"/>
          <w:color w:val="auto"/>
        </w:rPr>
      </w:pPr>
    </w:p>
    <w:p>
      <w:pPr>
        <w:ind w:left="723" w:hanging="438"/>
        <w:spacing w:after="0" w:line="263" w:lineRule="auto"/>
        <w:rPr>
          <w:rFonts w:ascii="Arial" w:cs="Arial" w:eastAsia="Arial" w:hAnsi="Arial"/>
          <w:sz w:val="16"/>
          <w:szCs w:val="16"/>
          <w:color w:val="auto"/>
        </w:rPr>
      </w:pPr>
      <w:r>
        <w:rPr>
          <w:rFonts w:ascii="Arial" w:cs="Arial" w:eastAsia="Arial" w:hAnsi="Arial"/>
          <w:sz w:val="16"/>
          <w:szCs w:val="16"/>
          <w:color w:val="auto"/>
        </w:rPr>
        <w:t>5.3. Employee will notify BioLine or the person nominated by it of any damage or malfunction of the Vehicle, as soon as he/she becomes aware of the damage or malfunction, and will ensure that any required repairs are made. Employee will also notify BioLine or the person nominated by it of the regularly scheduled maintenance dates of the vehicle. All care, maintenance and repairs to the Vehicle will be made only by the leasing company at its expense, unless Employee is specifically notified otherwise.</w:t>
      </w:r>
    </w:p>
    <w:p>
      <w:pPr>
        <w:spacing w:after="0" w:line="167" w:lineRule="exact"/>
        <w:rPr>
          <w:rFonts w:ascii="Arial" w:cs="Arial" w:eastAsia="Arial" w:hAnsi="Arial"/>
          <w:sz w:val="16"/>
          <w:szCs w:val="16"/>
          <w:color w:val="auto"/>
        </w:rPr>
      </w:pPr>
    </w:p>
    <w:p>
      <w:pPr>
        <w:ind w:left="723" w:hanging="438"/>
        <w:spacing w:after="0" w:line="282" w:lineRule="auto"/>
        <w:rPr>
          <w:rFonts w:ascii="Arial" w:cs="Arial" w:eastAsia="Arial" w:hAnsi="Arial"/>
          <w:sz w:val="16"/>
          <w:szCs w:val="16"/>
          <w:color w:val="auto"/>
        </w:rPr>
      </w:pPr>
      <w:r>
        <w:rPr>
          <w:rFonts w:ascii="Arial" w:cs="Arial" w:eastAsia="Arial" w:hAnsi="Arial"/>
          <w:sz w:val="15"/>
          <w:szCs w:val="15"/>
          <w:color w:val="auto"/>
        </w:rPr>
        <w:t>5.4. Employee acknowledges that he/she may not make any alterations to the Vehicle’s interior or exterior, nor install any accessories in the Vehicle, including, without limitation, a car stereo or cellular speakerphone (</w:t>
      </w:r>
      <w:r>
        <w:rPr>
          <w:rFonts w:ascii="Arial" w:cs="Arial" w:eastAsia="Arial" w:hAnsi="Arial"/>
          <w:sz w:val="15"/>
          <w:szCs w:val="15"/>
          <w:color w:val="auto"/>
        </w:rPr>
        <w:t>תירוביד</w:t>
      </w:r>
      <w:r>
        <w:rPr>
          <w:rFonts w:ascii="Arial" w:cs="Arial" w:eastAsia="Arial" w:hAnsi="Arial"/>
          <w:sz w:val="15"/>
          <w:szCs w:val="15"/>
          <w:color w:val="auto"/>
        </w:rPr>
        <w:t xml:space="preserve">) without the prior written consent of BioLine. The cost of installing a cellular speakerphone shall be borne by BioLine,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Employee is responsible for making the necessary arrangements for the installation of the cellular speakerphone. In addition, Employee acknowledges and undertakes not to add any sticker, sign or other visible notice on the Vehicle, whether including political statements or otherwise. Employee acknowledges that BioLine may, at its discretion require that the Vehicle bear BioLine’s logo.</w:t>
      </w:r>
    </w:p>
    <w:p>
      <w:pPr>
        <w:spacing w:after="0" w:line="125"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5.5.   If an electronic device for measurement of gas (</w:t>
      </w:r>
      <w:r>
        <w:rPr>
          <w:rFonts w:ascii="Arial" w:cs="Arial" w:eastAsia="Arial" w:hAnsi="Arial"/>
          <w:sz w:val="15"/>
          <w:szCs w:val="15"/>
          <w:color w:val="auto"/>
        </w:rPr>
        <w:t>טמוזפ</w:t>
      </w:r>
      <w:r>
        <w:rPr>
          <w:rFonts w:ascii="Arial" w:cs="Arial" w:eastAsia="Arial" w:hAnsi="Arial"/>
          <w:sz w:val="15"/>
          <w:szCs w:val="15"/>
          <w:color w:val="auto"/>
        </w:rPr>
        <w:t>) is installed, Employee shall, to the extent possible, refuel only in the gas stations supporting the device.</w:t>
      </w:r>
    </w:p>
    <w:p>
      <w:pPr>
        <w:spacing w:after="0" w:line="247" w:lineRule="exact"/>
        <w:rPr>
          <w:sz w:val="20"/>
          <w:szCs w:val="20"/>
          <w:color w:val="auto"/>
        </w:rPr>
      </w:pPr>
    </w:p>
    <w:p>
      <w:pPr>
        <w:ind w:left="283"/>
        <w:spacing w:after="0"/>
        <w:tabs>
          <w:tab w:leader="none" w:pos="702"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5"/>
          <w:szCs w:val="15"/>
          <w:color w:val="auto"/>
        </w:rPr>
        <w:t>In the event of an accident, Employee: (a) will immediately notify both BioLine and the leasing company and will forward to them details of the accident in writing;</w:t>
      </w:r>
    </w:p>
    <w:p>
      <w:pPr>
        <w:spacing w:after="0" w:line="23" w:lineRule="exact"/>
        <w:rPr>
          <w:sz w:val="20"/>
          <w:szCs w:val="20"/>
          <w:color w:val="auto"/>
        </w:rPr>
      </w:pPr>
    </w:p>
    <w:p>
      <w:pPr>
        <w:jc w:val="both"/>
        <w:ind w:left="723" w:right="20" w:firstLine="8"/>
        <w:spacing w:after="0" w:line="290" w:lineRule="auto"/>
        <w:tabs>
          <w:tab w:leader="none" w:pos="968" w:val="left"/>
        </w:tabs>
        <w:numPr>
          <w:ilvl w:val="0"/>
          <w:numId w:val="260"/>
        </w:numPr>
        <w:rPr>
          <w:rFonts w:ascii="Arial" w:cs="Arial" w:eastAsia="Arial" w:hAnsi="Arial"/>
          <w:sz w:val="14"/>
          <w:szCs w:val="14"/>
          <w:color w:val="auto"/>
        </w:rPr>
      </w:pPr>
      <w:r>
        <w:rPr>
          <w:rFonts w:ascii="Arial" w:cs="Arial" w:eastAsia="Arial" w:hAnsi="Arial"/>
          <w:sz w:val="14"/>
          <w:szCs w:val="14"/>
          <w:color w:val="auto"/>
        </w:rPr>
        <w:t>will immediately notify the police and other authorities, to the extent required by law; (c) will not admit or confess to any guilt or responsibility therefor or provide any information not required by law, nor will accept or propose any offers, payments, arrangements or any other obligations in connection with the accident;</w:t>
      </w:r>
    </w:p>
    <w:p>
      <w:pPr>
        <w:jc w:val="both"/>
        <w:ind w:left="723" w:firstLine="8"/>
        <w:spacing w:after="0" w:line="286" w:lineRule="auto"/>
        <w:tabs>
          <w:tab w:leader="none" w:pos="957" w:val="left"/>
        </w:tabs>
        <w:numPr>
          <w:ilvl w:val="0"/>
          <w:numId w:val="261"/>
        </w:numPr>
        <w:rPr>
          <w:rFonts w:ascii="Arial" w:cs="Arial" w:eastAsia="Arial" w:hAnsi="Arial"/>
          <w:sz w:val="15"/>
          <w:szCs w:val="15"/>
          <w:color w:val="auto"/>
        </w:rPr>
      </w:pPr>
      <w:r>
        <w:rPr>
          <w:rFonts w:ascii="Arial" w:cs="Arial" w:eastAsia="Arial" w:hAnsi="Arial"/>
          <w:sz w:val="15"/>
          <w:szCs w:val="15"/>
          <w:color w:val="auto"/>
        </w:rPr>
        <w:t>will file an accident report provided by BioLine and will include all details including the names, addresses, licenses and insurers of all the parties involved, and the license plate numbers of all of the vehicles involved, whether or not any damage was caused to the Vehicle, (e) will not leave the Vehicle at the scene without appropriate cautionary measures, and (f) will notify BioLine and the leasing company of any summons received to appear before a court.</w:t>
      </w:r>
    </w:p>
    <w:p>
      <w:pPr>
        <w:spacing w:after="0" w:line="151" w:lineRule="exact"/>
        <w:rPr>
          <w:sz w:val="20"/>
          <w:szCs w:val="20"/>
          <w:color w:val="auto"/>
        </w:rPr>
      </w:pPr>
    </w:p>
    <w:p>
      <w:pPr>
        <w:jc w:val="both"/>
        <w:ind w:left="723" w:right="20" w:hanging="437"/>
        <w:spacing w:after="0" w:line="263" w:lineRule="auto"/>
        <w:tabs>
          <w:tab w:leader="none" w:pos="702" w:val="left"/>
        </w:tabs>
        <w:rPr>
          <w:sz w:val="20"/>
          <w:szCs w:val="20"/>
          <w:color w:val="auto"/>
        </w:rPr>
      </w:pPr>
      <w:r>
        <w:rPr>
          <w:rFonts w:ascii="Arial" w:cs="Arial" w:eastAsia="Arial" w:hAnsi="Arial"/>
          <w:sz w:val="16"/>
          <w:szCs w:val="16"/>
          <w:color w:val="auto"/>
        </w:rPr>
        <w:t>5.7.</w:t>
        <w:tab/>
        <w:t>In the event of a flat tire, Employee (i) shall change the tire to the spare tire, and notify BioLine, in according with BioLine’s car policy; (ii) shall be responsible to repair the flat tire as soon as possible, and in no event after traveling more than eighty (80) Kilometers with the spare tire, due to safety restrictions, and if a new tire is required, Employee shall obtain the approval of the HR department prior to the purchase of a new tire. Employee will be reimbursed for the repair in accordance with BioLine’s procedures for reimbursement of expenses.</w:t>
      </w:r>
    </w:p>
    <w:p>
      <w:pPr>
        <w:spacing w:after="0" w:line="164" w:lineRule="exact"/>
        <w:rPr>
          <w:sz w:val="20"/>
          <w:szCs w:val="20"/>
          <w:color w:val="auto"/>
        </w:rPr>
      </w:pPr>
    </w:p>
    <w:p>
      <w:pPr>
        <w:ind w:left="283" w:hanging="283"/>
        <w:spacing w:after="0"/>
        <w:tabs>
          <w:tab w:leader="none" w:pos="283" w:val="left"/>
        </w:tabs>
        <w:numPr>
          <w:ilvl w:val="0"/>
          <w:numId w:val="262"/>
        </w:numPr>
        <w:rPr>
          <w:rFonts w:ascii="Arial" w:cs="Arial" w:eastAsia="Arial" w:hAnsi="Arial"/>
          <w:sz w:val="16"/>
          <w:szCs w:val="16"/>
          <w:color w:val="auto"/>
        </w:rPr>
      </w:pPr>
      <w:r>
        <w:rPr>
          <w:rFonts w:ascii="Arial" w:cs="Arial" w:eastAsia="Arial" w:hAnsi="Arial"/>
          <w:sz w:val="16"/>
          <w:szCs w:val="16"/>
          <w:b w:val="1"/>
          <w:bCs w:val="1"/>
          <w:color w:val="auto"/>
        </w:rPr>
        <w:t>Return of the Vehicle</w:t>
      </w:r>
    </w:p>
    <w:p>
      <w:pPr>
        <w:spacing w:after="0" w:line="210" w:lineRule="exact"/>
        <w:rPr>
          <w:sz w:val="20"/>
          <w:szCs w:val="20"/>
          <w:color w:val="auto"/>
        </w:rPr>
      </w:pPr>
    </w:p>
    <w:p>
      <w:pPr>
        <w:jc w:val="both"/>
        <w:ind w:left="723" w:right="20" w:hanging="437"/>
        <w:spacing w:after="0" w:line="324" w:lineRule="auto"/>
        <w:tabs>
          <w:tab w:leader="none" w:pos="70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color w:val="auto"/>
        </w:rPr>
        <w:t>Upon the termination of his/her employment with BioLine for any reason, Employee shall return the Vehicle to BioLine in working order and in good condition, subject only to wear and tear resulting from careful and reasonable use of the Vehicle. Employee shall return the Vehicle together with the car keys and any duplicates thereof provided to Employee, licenses and all other documents, and the Vehicle shall empty and without any object whatsoever belonging to Employee.</w:t>
      </w:r>
    </w:p>
    <w:p>
      <w:pPr>
        <w:spacing w:after="0" w:line="12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503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443"/>
          </w:cols>
          <w:pgMar w:left="237" w:top="878" w:right="219" w:bottom="1440" w:gutter="0" w:footer="0" w:header="0"/>
        </w:sectPr>
      </w:pPr>
    </w:p>
    <w:bookmarkStart w:id="302" w:name="page303"/>
    <w:bookmarkEnd w:id="302"/>
    <w:p>
      <w:pPr>
        <w:jc w:val="both"/>
        <w:ind w:left="723" w:right="20" w:hanging="437"/>
        <w:spacing w:after="0" w:line="283" w:lineRule="auto"/>
        <w:tabs>
          <w:tab w:leader="none" w:pos="702"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6.2.</w:t>
        <w:tab/>
        <w:t>It is hereby clarified, that in no event shall Employee place a lien on the Vehicle (in connection with any alleged debt or obligation of BioLine towards Employee, or for any other reason).</w:t>
      </w:r>
    </w:p>
    <w:p>
      <w:pPr>
        <w:spacing w:after="0" w:line="151" w:lineRule="exact"/>
        <w:rPr>
          <w:sz w:val="20"/>
          <w:szCs w:val="20"/>
          <w:color w:val="auto"/>
        </w:rPr>
      </w:pPr>
    </w:p>
    <w:p>
      <w:pPr>
        <w:jc w:val="both"/>
        <w:ind w:left="723" w:right="20" w:hanging="437"/>
        <w:spacing w:after="0" w:line="280" w:lineRule="auto"/>
        <w:tabs>
          <w:tab w:leader="none" w:pos="702"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5"/>
          <w:szCs w:val="15"/>
          <w:color w:val="auto"/>
        </w:rPr>
        <w:t xml:space="preserve">If, prior to the expiration of the Term, Employee voluntarily terminates his/her employment or BioLine terminates Employee’s employment for Cause (as such term is defined in the Employment Agreement), Employee shall reimburse BioLine for any charges or penalties BioLine may suffer due to the early termination of the lease for the Vehicle;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amount of such penalty shall not exceed (i) the Lease Payment multiplied by three (3) in the event of termination prior to the first anniversary of the Effective Date, (ii) the Lease Payment multiplied by two (2) in the event of termination following the first anniversary of the Effective Date, and prior to the second anniversary of the Effective Date, and (iii) one Lease Payment in the event of termination following the second anniversary of the Effective Date, and prior to the third anniversary of the Effective Date. Such funds will be withheld from Employee’s salary.</w:t>
      </w:r>
    </w:p>
    <w:p>
      <w:pPr>
        <w:spacing w:after="0" w:line="156" w:lineRule="exact"/>
        <w:rPr>
          <w:sz w:val="20"/>
          <w:szCs w:val="20"/>
          <w:color w:val="auto"/>
        </w:rPr>
      </w:pPr>
    </w:p>
    <w:p>
      <w:pPr>
        <w:ind w:left="283"/>
        <w:spacing w:after="0"/>
        <w:tabs>
          <w:tab w:leader="none" w:pos="702"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4"/>
          <w:szCs w:val="14"/>
          <w:color w:val="auto"/>
        </w:rPr>
        <w:t>Employee shall not be entitled to use a Company Car during unpaid leaves or absences, unless specifically approved by BioLine in writing.</w:t>
      </w:r>
    </w:p>
    <w:p>
      <w:pPr>
        <w:spacing w:after="0" w:line="202" w:lineRule="exact"/>
        <w:rPr>
          <w:sz w:val="20"/>
          <w:szCs w:val="20"/>
          <w:color w:val="auto"/>
        </w:rPr>
      </w:pPr>
    </w:p>
    <w:p>
      <w:pPr>
        <w:ind w:left="283" w:hanging="283"/>
        <w:spacing w:after="0"/>
        <w:tabs>
          <w:tab w:leader="none" w:pos="283" w:val="left"/>
        </w:tabs>
        <w:numPr>
          <w:ilvl w:val="0"/>
          <w:numId w:val="263"/>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209" w:lineRule="exact"/>
        <w:rPr>
          <w:rFonts w:ascii="Arial" w:cs="Arial" w:eastAsia="Arial" w:hAnsi="Arial"/>
          <w:sz w:val="16"/>
          <w:szCs w:val="16"/>
          <w:color w:val="auto"/>
        </w:rPr>
      </w:pPr>
    </w:p>
    <w:p>
      <w:pPr>
        <w:ind w:left="723" w:right="20" w:hanging="438"/>
        <w:spacing w:after="0" w:line="283" w:lineRule="auto"/>
        <w:rPr>
          <w:rFonts w:ascii="Arial" w:cs="Arial" w:eastAsia="Arial" w:hAnsi="Arial"/>
          <w:sz w:val="16"/>
          <w:szCs w:val="16"/>
          <w:color w:val="auto"/>
        </w:rPr>
      </w:pPr>
      <w:r>
        <w:rPr>
          <w:rFonts w:ascii="Arial" w:cs="Arial" w:eastAsia="Arial" w:hAnsi="Arial"/>
          <w:sz w:val="16"/>
          <w:szCs w:val="16"/>
          <w:color w:val="auto"/>
        </w:rPr>
        <w:t>7.1. Employee confirms that he/she understands that any breach of or deviation from the terms of this Agreement will cause insurance coverage to be denied, and that any damage caused by such breach or deviation will be borne by Employee personally.</w:t>
      </w:r>
    </w:p>
    <w:p>
      <w:pPr>
        <w:spacing w:after="0" w:line="150"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7.2.   Employee confirms and acknowledges that Employee’s obligations hereunder shall apply to any replacement vehicle provided to Employee.</w:t>
      </w:r>
    </w:p>
    <w:p>
      <w:pPr>
        <w:spacing w:after="0" w:line="205"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7.3.   Employee acknowledges and agrees that the procedures set forth herein may be changed from time to time by BioLine, in its sole discretion.</w:t>
      </w:r>
    </w:p>
    <w:p>
      <w:pPr>
        <w:spacing w:after="0" w:line="205" w:lineRule="exact"/>
        <w:rPr>
          <w:rFonts w:ascii="Arial" w:cs="Arial" w:eastAsia="Arial" w:hAnsi="Arial"/>
          <w:sz w:val="16"/>
          <w:szCs w:val="16"/>
          <w:color w:val="auto"/>
        </w:rPr>
      </w:pPr>
    </w:p>
    <w:p>
      <w:pPr>
        <w:ind w:left="723" w:right="20" w:hanging="438"/>
        <w:spacing w:after="0" w:line="283" w:lineRule="auto"/>
        <w:rPr>
          <w:rFonts w:ascii="Arial" w:cs="Arial" w:eastAsia="Arial" w:hAnsi="Arial"/>
          <w:sz w:val="16"/>
          <w:szCs w:val="16"/>
          <w:color w:val="auto"/>
        </w:rPr>
      </w:pPr>
      <w:r>
        <w:rPr>
          <w:rFonts w:ascii="Arial" w:cs="Arial" w:eastAsia="Arial" w:hAnsi="Arial"/>
          <w:sz w:val="16"/>
          <w:szCs w:val="16"/>
          <w:color w:val="auto"/>
        </w:rPr>
        <w:t>7.4. For the avoidance of doubt, nothing herein shall obligate BioLine to employ Employee or to continue Employee’s employment with BioLine, or derogate in any way from BioLine’s right to terminate Employee’s employment.</w:t>
      </w:r>
    </w:p>
    <w:p>
      <w:pPr>
        <w:spacing w:after="0" w:line="150" w:lineRule="exact"/>
        <w:rPr>
          <w:rFonts w:ascii="Arial" w:cs="Arial" w:eastAsia="Arial" w:hAnsi="Arial"/>
          <w:sz w:val="16"/>
          <w:szCs w:val="16"/>
          <w:color w:val="auto"/>
        </w:rPr>
      </w:pPr>
    </w:p>
    <w:p>
      <w:pPr>
        <w:ind w:left="723" w:hanging="438"/>
        <w:spacing w:after="0" w:line="283" w:lineRule="auto"/>
        <w:rPr>
          <w:rFonts w:ascii="Arial" w:cs="Arial" w:eastAsia="Arial" w:hAnsi="Arial"/>
          <w:sz w:val="16"/>
          <w:szCs w:val="16"/>
          <w:color w:val="auto"/>
        </w:rPr>
      </w:pPr>
      <w:r>
        <w:rPr>
          <w:rFonts w:ascii="Arial" w:cs="Arial" w:eastAsia="Arial" w:hAnsi="Arial"/>
          <w:sz w:val="16"/>
          <w:szCs w:val="16"/>
          <w:color w:val="auto"/>
        </w:rPr>
        <w:t>7.5. This Agreement constitutes the entire agreement and understanding between the parties with respect to the subject matter hereof, and supersedes all prior written or oral agreements with respect thereto. This Agreement may be assigned by BioLine; Employee may not assign this Agreement.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WITNESS WHEREOF, the parties have executed this Agreement as of the date first set forth above.</w:t>
      </w:r>
    </w:p>
    <w:p>
      <w:pPr>
        <w:spacing w:after="0" w:line="206" w:lineRule="exact"/>
        <w:rPr>
          <w:sz w:val="20"/>
          <w:szCs w:val="20"/>
          <w:color w:val="auto"/>
        </w:rPr>
      </w:pPr>
    </w:p>
    <w:tbl>
      <w:tblPr>
        <w:tblLayout w:type="fixed"/>
        <w:tblInd w:w="3" w:type="dxa"/>
        <w:tblCellMar>
          <w:top w:w="0" w:type="dxa"/>
          <w:left w:w="0" w:type="dxa"/>
          <w:bottom w:w="0" w:type="dxa"/>
          <w:right w:w="0" w:type="dxa"/>
        </w:tblCellMar>
      </w:tblPr>
      <w:tr>
        <w:trPr>
          <w:trHeight w:val="191"/>
        </w:trPr>
        <w:tc>
          <w:tcPr>
            <w:tcW w:w="4240" w:type="dxa"/>
            <w:vAlign w:val="bottom"/>
          </w:tcPr>
          <w:p>
            <w:pPr>
              <w:spacing w:after="0"/>
              <w:rPr>
                <w:sz w:val="20"/>
                <w:szCs w:val="20"/>
                <w:color w:val="auto"/>
              </w:rPr>
            </w:pPr>
            <w:r>
              <w:rPr>
                <w:rFonts w:ascii="Arial" w:cs="Arial" w:eastAsia="Arial" w:hAnsi="Arial"/>
                <w:sz w:val="16"/>
                <w:szCs w:val="16"/>
                <w:color w:val="auto"/>
              </w:rPr>
              <w:t>________________________</w:t>
            </w:r>
          </w:p>
        </w:tc>
        <w:tc>
          <w:tcPr>
            <w:tcW w:w="7200" w:type="dxa"/>
            <w:vAlign w:val="bottom"/>
          </w:tcPr>
          <w:p>
            <w:pPr>
              <w:ind w:left="1480"/>
              <w:spacing w:after="0"/>
              <w:rPr>
                <w:sz w:val="20"/>
                <w:szCs w:val="20"/>
                <w:color w:val="auto"/>
              </w:rPr>
            </w:pPr>
            <w:r>
              <w:rPr>
                <w:rFonts w:ascii="Arial" w:cs="Arial" w:eastAsia="Arial" w:hAnsi="Arial"/>
                <w:sz w:val="16"/>
                <w:szCs w:val="16"/>
                <w:color w:val="auto"/>
              </w:rPr>
              <w:t>________________________</w:t>
            </w:r>
          </w:p>
        </w:tc>
      </w:tr>
      <w:tr>
        <w:trPr>
          <w:trHeight w:val="199"/>
        </w:trPr>
        <w:tc>
          <w:tcPr>
            <w:tcW w:w="4240" w:type="dxa"/>
            <w:vAlign w:val="bottom"/>
          </w:tcPr>
          <w:p>
            <w:pPr>
              <w:spacing w:after="0"/>
              <w:rPr>
                <w:sz w:val="20"/>
                <w:szCs w:val="20"/>
                <w:color w:val="auto"/>
              </w:rPr>
            </w:pPr>
            <w:r>
              <w:rPr>
                <w:rFonts w:ascii="Arial" w:cs="Arial" w:eastAsia="Arial" w:hAnsi="Arial"/>
                <w:sz w:val="16"/>
                <w:szCs w:val="16"/>
                <w:b w:val="1"/>
                <w:bCs w:val="1"/>
                <w:color w:val="auto"/>
              </w:rPr>
              <w:t>BioLineRx Ltd.</w:t>
            </w:r>
          </w:p>
        </w:tc>
        <w:tc>
          <w:tcPr>
            <w:tcW w:w="7200" w:type="dxa"/>
            <w:vAlign w:val="bottom"/>
          </w:tcPr>
          <w:p>
            <w:pPr>
              <w:ind w:left="1480"/>
              <w:spacing w:after="0"/>
              <w:rPr>
                <w:sz w:val="20"/>
                <w:szCs w:val="20"/>
                <w:color w:val="auto"/>
              </w:rPr>
            </w:pPr>
            <w:r>
              <w:rPr>
                <w:rFonts w:ascii="Arial" w:cs="Arial" w:eastAsia="Arial" w:hAnsi="Arial"/>
                <w:sz w:val="16"/>
                <w:szCs w:val="16"/>
                <w:b w:val="1"/>
                <w:bCs w:val="1"/>
                <w:color w:val="auto"/>
              </w:rPr>
              <w:t>Employee</w:t>
            </w:r>
          </w:p>
        </w:tc>
      </w:tr>
      <w:tr>
        <w:trPr>
          <w:trHeight w:val="195"/>
        </w:trPr>
        <w:tc>
          <w:tcPr>
            <w:tcW w:w="4240" w:type="dxa"/>
            <w:vAlign w:val="bottom"/>
          </w:tcPr>
          <w:p>
            <w:pPr>
              <w:spacing w:after="0"/>
              <w:rPr>
                <w:sz w:val="20"/>
                <w:szCs w:val="20"/>
                <w:color w:val="auto"/>
              </w:rPr>
            </w:pPr>
            <w:r>
              <w:rPr>
                <w:rFonts w:ascii="Arial" w:cs="Arial" w:eastAsia="Arial" w:hAnsi="Arial"/>
                <w:sz w:val="16"/>
                <w:szCs w:val="16"/>
                <w:color w:val="auto"/>
              </w:rPr>
              <w:t>By: Philip Serlin</w:t>
            </w:r>
          </w:p>
        </w:tc>
        <w:tc>
          <w:tcPr>
            <w:tcW w:w="7200" w:type="dxa"/>
            <w:vAlign w:val="bottom"/>
          </w:tcPr>
          <w:p>
            <w:pPr>
              <w:ind w:left="1480"/>
              <w:spacing w:after="0"/>
              <w:rPr>
                <w:sz w:val="20"/>
                <w:szCs w:val="20"/>
                <w:color w:val="auto"/>
              </w:rPr>
            </w:pPr>
            <w:r>
              <w:rPr>
                <w:rFonts w:ascii="Arial" w:cs="Arial" w:eastAsia="Arial" w:hAnsi="Arial"/>
                <w:sz w:val="16"/>
                <w:szCs w:val="16"/>
                <w:color w:val="auto"/>
              </w:rPr>
              <w:t>Name:</w:t>
            </w:r>
          </w:p>
        </w:tc>
      </w:tr>
      <w:tr>
        <w:trPr>
          <w:trHeight w:val="207"/>
        </w:trPr>
        <w:tc>
          <w:tcPr>
            <w:tcW w:w="4240" w:type="dxa"/>
            <w:vAlign w:val="bottom"/>
          </w:tcPr>
          <w:p>
            <w:pPr>
              <w:spacing w:after="0"/>
              <w:rPr>
                <w:sz w:val="20"/>
                <w:szCs w:val="20"/>
                <w:color w:val="auto"/>
              </w:rPr>
            </w:pPr>
            <w:r>
              <w:rPr>
                <w:rFonts w:ascii="Arial" w:cs="Arial" w:eastAsia="Arial" w:hAnsi="Arial"/>
                <w:sz w:val="16"/>
                <w:szCs w:val="16"/>
                <w:color w:val="auto"/>
              </w:rPr>
              <w:t>Title: Chief Financial and Operating Officer</w:t>
            </w:r>
          </w:p>
        </w:tc>
        <w:tc>
          <w:tcPr>
            <w:tcW w:w="7200" w:type="dxa"/>
            <w:vAlign w:val="bottom"/>
          </w:tcPr>
          <w:p>
            <w:pPr>
              <w:ind w:left="1480"/>
              <w:spacing w:after="0"/>
              <w:rPr>
                <w:sz w:val="20"/>
                <w:szCs w:val="20"/>
                <w:color w:val="auto"/>
              </w:rPr>
            </w:pPr>
            <w:r>
              <w:rPr>
                <w:rFonts w:ascii="Arial" w:cs="Arial" w:eastAsia="Arial" w:hAnsi="Arial"/>
                <w:sz w:val="16"/>
                <w:szCs w:val="16"/>
                <w:color w:val="auto"/>
              </w:rPr>
              <w:t>Date:</w:t>
            </w:r>
          </w:p>
        </w:tc>
      </w:tr>
      <w:tr>
        <w:trPr>
          <w:trHeight w:val="390"/>
        </w:trPr>
        <w:tc>
          <w:tcPr>
            <w:tcW w:w="4240" w:type="dxa"/>
            <w:vAlign w:val="bottom"/>
          </w:tcPr>
          <w:p>
            <w:pPr>
              <w:spacing w:after="0"/>
              <w:rPr>
                <w:sz w:val="24"/>
                <w:szCs w:val="24"/>
                <w:color w:val="auto"/>
              </w:rPr>
            </w:pPr>
          </w:p>
        </w:tc>
        <w:tc>
          <w:tcPr>
            <w:tcW w:w="7200" w:type="dxa"/>
            <w:vAlign w:val="bottom"/>
          </w:tcPr>
          <w:p>
            <w:pPr>
              <w:ind w:left="1400"/>
              <w:spacing w:after="0"/>
              <w:rPr>
                <w:sz w:val="20"/>
                <w:szCs w:val="20"/>
                <w:color w:val="auto"/>
              </w:rPr>
            </w:pPr>
            <w:r>
              <w:rPr>
                <w:rFonts w:ascii="Arial" w:cs="Arial" w:eastAsia="Arial" w:hAnsi="Arial"/>
                <w:sz w:val="16"/>
                <w:szCs w:val="16"/>
                <w:color w:val="auto"/>
              </w:rPr>
              <w:t>49</w:t>
            </w:r>
          </w:p>
        </w:tc>
      </w:tr>
      <w:tr>
        <w:trPr>
          <w:trHeight w:val="106"/>
        </w:trPr>
        <w:tc>
          <w:tcPr>
            <w:tcW w:w="4240" w:type="dxa"/>
            <w:vAlign w:val="bottom"/>
            <w:tcBorders>
              <w:bottom w:val="single" w:sz="8" w:color="808080"/>
            </w:tcBorders>
          </w:tcPr>
          <w:p>
            <w:pPr>
              <w:spacing w:after="0"/>
              <w:rPr>
                <w:sz w:val="9"/>
                <w:szCs w:val="9"/>
                <w:color w:val="auto"/>
              </w:rPr>
            </w:pPr>
          </w:p>
        </w:tc>
        <w:tc>
          <w:tcPr>
            <w:tcW w:w="72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-27305</wp:posOffset>
            </wp:positionV>
            <wp:extent cx="12700"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wp:posOffset>
            </wp:positionV>
            <wp:extent cx="12700"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43"/>
          </w:cols>
          <w:pgMar w:left="237" w:top="882" w:right="219" w:bottom="1440" w:gutter="0" w:footer="0" w:header="0"/>
        </w:sectPr>
      </w:pPr>
    </w:p>
    <w:bookmarkStart w:id="303" w:name="page304"/>
    <w:bookmarkEnd w:id="303"/>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A</w:t>
      </w:r>
    </w:p>
    <w:p>
      <w:pPr>
        <w:spacing w:after="0" w:line="206" w:lineRule="exact"/>
        <w:rPr>
          <w:sz w:val="20"/>
          <w:szCs w:val="20"/>
          <w:color w:val="auto"/>
        </w:rPr>
      </w:pPr>
    </w:p>
    <w:p>
      <w:pPr>
        <w:jc w:val="right"/>
        <w:ind w:right="3759"/>
        <w:spacing w:after="0"/>
        <w:rPr>
          <w:sz w:val="20"/>
          <w:szCs w:val="20"/>
          <w:color w:val="auto"/>
        </w:rPr>
      </w:pPr>
      <w:r>
        <w:rPr>
          <w:rFonts w:ascii="Arial" w:cs="Arial" w:eastAsia="Arial" w:hAnsi="Arial"/>
          <w:sz w:val="16"/>
          <w:szCs w:val="16"/>
          <w:b w:val="1"/>
          <w:bCs w:val="1"/>
          <w:color w:val="auto"/>
        </w:rPr>
        <w:t>Vehicle Specifications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Employee</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 Number: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Details</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No</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Make</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Model</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Color</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Accessories</w:t>
      </w:r>
      <w:r>
        <w:rPr>
          <w:rFonts w:ascii="Arial" w:cs="Arial" w:eastAsia="Arial" w:hAnsi="Arial"/>
          <w:sz w:val="16"/>
          <w:szCs w:val="16"/>
          <w:color w:val="auto"/>
        </w:rPr>
        <w:t>: Radio Disk+ Pazomat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Limit (monthly)</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Mileage Limit (annual)</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Payment for extra mileage up to Click here to enter text. Kilometers: NIS 0.12 per km.</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Payment for extra mileage over Click here to enter text. Kilometers: NIS 0.4 per km.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Temporary Vehicle details</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Model</w:t>
      </w:r>
      <w:r>
        <w:rPr>
          <w:rFonts w:ascii="Arial" w:cs="Arial" w:eastAsia="Arial" w:hAnsi="Arial"/>
          <w:sz w:val="16"/>
          <w:szCs w:val="16"/>
          <w:color w:val="auto"/>
        </w:rPr>
        <w:t>: Similar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w:t>
      </w:r>
      <w:r>
        <w:rPr>
          <w:rFonts w:ascii="Arial" w:cs="Arial" w:eastAsia="Arial" w:hAnsi="Arial"/>
          <w:sz w:val="16"/>
          <w:szCs w:val="16"/>
          <w:color w:val="auto"/>
        </w:rPr>
        <w:t>: End of working day.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Deductible</w:t>
      </w:r>
      <w:r>
        <w:rPr>
          <w:rFonts w:ascii="Arial" w:cs="Arial" w:eastAsia="Arial" w:hAnsi="Arial"/>
          <w:sz w:val="16"/>
          <w:szCs w:val="16"/>
          <w:color w:val="auto"/>
        </w:rPr>
        <w:t>: 800 NIS</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0219"/>
          </w:cols>
          <w:pgMar w:left="240" w:top="878" w:right="1440" w:bottom="1440" w:gutter="0" w:footer="0" w:header="0"/>
        </w:sectPr>
      </w:pPr>
    </w:p>
    <w:bookmarkStart w:id="304" w:name="page305"/>
    <w:bookmarkEnd w:id="304"/>
    <w:p>
      <w:pPr>
        <w:jc w:val="center"/>
        <w:ind w:right="-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49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4965"/>
                    </a:xfrm>
                    <a:prstGeom prst="rect">
                      <a:avLst/>
                    </a:prstGeom>
                    <a:noFill/>
                  </pic:spPr>
                </pic:pic>
              </a:graphicData>
            </a:graphic>
          </wp:anchor>
        </w:drawing>
        <w:t>Exhibit B</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Vehicle Receipt Form</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Employee</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 Number</w:t>
      </w:r>
      <w:r>
        <w:rPr>
          <w:rFonts w:ascii="Arial" w:cs="Arial" w:eastAsia="Arial" w:hAnsi="Arial"/>
          <w:sz w:val="16"/>
          <w:szCs w:val="16"/>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Vehicle Model: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Registration No.:</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Mileage on date of receipt (in kilometers):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 hereby confirm the receipt of the said vehicle, together with the following accessories:</w:t>
      </w:r>
    </w:p>
    <w:p>
      <w:pPr>
        <w:spacing w:after="0" w:line="206" w:lineRule="exact"/>
        <w:rPr>
          <w:sz w:val="20"/>
          <w:szCs w:val="20"/>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Valid License;</w:t>
      </w:r>
    </w:p>
    <w:p>
      <w:pPr>
        <w:spacing w:after="0" w:line="22"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Valid Insurance Certificate;</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Vehicle Manual;</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Maintenance Manual;</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Car Jack;</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Tire Wrench;</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Spare Tire;</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Car Key + other Security Measures;</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Triangle Warning Sign;</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Dustbin; and</w:t>
      </w:r>
    </w:p>
    <w:p>
      <w:pPr>
        <w:spacing w:after="0" w:line="10" w:lineRule="exact"/>
        <w:rPr>
          <w:rFonts w:ascii="Arial" w:cs="Arial" w:eastAsia="Arial" w:hAnsi="Arial"/>
          <w:sz w:val="16"/>
          <w:szCs w:val="16"/>
          <w:color w:val="auto"/>
        </w:rPr>
      </w:pPr>
    </w:p>
    <w:p>
      <w:pPr>
        <w:ind w:left="580" w:hanging="290"/>
        <w:spacing w:after="0"/>
        <w:tabs>
          <w:tab w:leader="none" w:pos="5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Sound System (Radio and Disk).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Additional Accessories: Click here to enter text.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Routine vehicle maintenance shall be carried out every 15,000 kilometers.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Comments: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____________________________________________________________________________________________________________________________________________</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Employee Signature: _____________________________</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6503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Confirmation and Assignment Deed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[deleted]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66675</wp:posOffset>
            </wp:positionV>
            <wp:extent cx="726503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5035" cy="2794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306" w:name="page307"/>
    <w:bookmarkEnd w:id="306"/>
    <w:p>
      <w:pPr>
        <w:jc w:val="center"/>
        <w:ind w:righ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D</w:t>
      </w: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Undertaking to Secure the Vehicle and its Coded Immobilizer</w:t>
      </w:r>
    </w:p>
    <w:p>
      <w:pPr>
        <w:spacing w:after="0" w:line="210" w:lineRule="exact"/>
        <w:rPr>
          <w:sz w:val="20"/>
          <w:szCs w:val="20"/>
          <w:color w:val="auto"/>
        </w:rPr>
      </w:pPr>
    </w:p>
    <w:p>
      <w:pPr>
        <w:ind w:left="283" w:hanging="283"/>
        <w:spacing w:after="0" w:line="283" w:lineRule="auto"/>
        <w:tabs>
          <w:tab w:leader="none" w:pos="28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 the undersigned, Click here to enter text., I.D. no. Click here to enter text., hereby confirm and undertake to BioLine that I and/or any other driver on my behalf authorized to drive the vehicle, model type Click here to enter text., vehicle number Click here to enter text., shall follow all of the instructions below:</w:t>
      </w:r>
    </w:p>
    <w:p>
      <w:pPr>
        <w:spacing w:after="0" w:line="150" w:lineRule="exact"/>
        <w:rPr>
          <w:rFonts w:ascii="Arial" w:cs="Arial" w:eastAsia="Arial" w:hAnsi="Arial"/>
          <w:sz w:val="16"/>
          <w:szCs w:val="16"/>
          <w:color w:val="auto"/>
        </w:rPr>
      </w:pPr>
    </w:p>
    <w:p>
      <w:pPr>
        <w:ind w:left="643" w:hanging="302"/>
        <w:spacing w:after="0"/>
        <w:tabs>
          <w:tab w:leader="none" w:pos="64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will not leave the vehicle without activating the installed security measures;</w:t>
      </w:r>
    </w:p>
    <w:p>
      <w:pPr>
        <w:spacing w:after="0" w:line="205" w:lineRule="exact"/>
        <w:rPr>
          <w:rFonts w:ascii="Arial" w:cs="Arial" w:eastAsia="Arial" w:hAnsi="Arial"/>
          <w:sz w:val="16"/>
          <w:szCs w:val="16"/>
          <w:color w:val="auto"/>
        </w:rPr>
      </w:pPr>
    </w:p>
    <w:p>
      <w:pPr>
        <w:ind w:left="643" w:hanging="302"/>
        <w:spacing w:after="0"/>
        <w:tabs>
          <w:tab w:leader="none" w:pos="64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will not leave the vehicle with the keys inside the vehicle;</w:t>
      </w:r>
    </w:p>
    <w:p>
      <w:pPr>
        <w:spacing w:after="0" w:line="205" w:lineRule="exact"/>
        <w:rPr>
          <w:rFonts w:ascii="Arial" w:cs="Arial" w:eastAsia="Arial" w:hAnsi="Arial"/>
          <w:sz w:val="16"/>
          <w:szCs w:val="16"/>
          <w:color w:val="auto"/>
        </w:rPr>
      </w:pPr>
    </w:p>
    <w:p>
      <w:pPr>
        <w:ind w:left="643" w:hanging="302"/>
        <w:spacing w:after="0"/>
        <w:tabs>
          <w:tab w:leader="none" w:pos="64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will not abandon the car keys;</w:t>
      </w:r>
    </w:p>
    <w:p>
      <w:pPr>
        <w:spacing w:after="0" w:line="205" w:lineRule="exact"/>
        <w:rPr>
          <w:rFonts w:ascii="Arial" w:cs="Arial" w:eastAsia="Arial" w:hAnsi="Arial"/>
          <w:sz w:val="16"/>
          <w:szCs w:val="16"/>
          <w:color w:val="auto"/>
        </w:rPr>
      </w:pPr>
    </w:p>
    <w:p>
      <w:pPr>
        <w:ind w:left="643" w:hanging="302"/>
        <w:spacing w:after="0"/>
        <w:tabs>
          <w:tab w:leader="none" w:pos="64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will not keep the vehicle’s coded immobilizer number and/or any other security measures, if such are installed, in proximity to the keys;</w:t>
      </w:r>
    </w:p>
    <w:p>
      <w:pPr>
        <w:spacing w:after="0" w:line="205" w:lineRule="exact"/>
        <w:rPr>
          <w:rFonts w:ascii="Arial" w:cs="Arial" w:eastAsia="Arial" w:hAnsi="Arial"/>
          <w:sz w:val="16"/>
          <w:szCs w:val="16"/>
          <w:color w:val="auto"/>
        </w:rPr>
      </w:pPr>
    </w:p>
    <w:p>
      <w:pPr>
        <w:ind w:left="643" w:hanging="302"/>
        <w:spacing w:after="0"/>
        <w:tabs>
          <w:tab w:leader="none" w:pos="64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will not leave the security code, if such is installed, inside the vehicle or in its proximity;</w:t>
      </w:r>
    </w:p>
    <w:p>
      <w:pPr>
        <w:spacing w:after="0" w:line="205" w:lineRule="exact"/>
        <w:rPr>
          <w:rFonts w:ascii="Arial" w:cs="Arial" w:eastAsia="Arial" w:hAnsi="Arial"/>
          <w:sz w:val="16"/>
          <w:szCs w:val="16"/>
          <w:color w:val="auto"/>
        </w:rPr>
      </w:pPr>
    </w:p>
    <w:p>
      <w:pPr>
        <w:ind w:left="643" w:hanging="302"/>
        <w:spacing w:after="0"/>
        <w:tabs>
          <w:tab w:leader="none" w:pos="64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will not leave a written copy of the security code, if such is installed, in an exposed place in the vehicle; and</w:t>
      </w:r>
    </w:p>
    <w:p>
      <w:pPr>
        <w:spacing w:after="0" w:line="205" w:lineRule="exact"/>
        <w:rPr>
          <w:rFonts w:ascii="Arial" w:cs="Arial" w:eastAsia="Arial" w:hAnsi="Arial"/>
          <w:sz w:val="16"/>
          <w:szCs w:val="16"/>
          <w:color w:val="auto"/>
        </w:rPr>
      </w:pPr>
    </w:p>
    <w:p>
      <w:pPr>
        <w:ind w:left="643" w:hanging="302"/>
        <w:spacing w:after="0"/>
        <w:tabs>
          <w:tab w:leader="none" w:pos="64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 will watch over the vehicle while taking all reasonable precautions to avoid loss and/or theft of the vehicle.</w:t>
      </w:r>
    </w:p>
    <w:p>
      <w:pPr>
        <w:spacing w:after="0" w:line="205" w:lineRule="exact"/>
        <w:rPr>
          <w:rFonts w:ascii="Arial" w:cs="Arial" w:eastAsia="Arial" w:hAnsi="Arial"/>
          <w:sz w:val="16"/>
          <w:szCs w:val="16"/>
          <w:color w:val="auto"/>
        </w:rPr>
      </w:pPr>
    </w:p>
    <w:p>
      <w:pPr>
        <w:jc w:val="both"/>
        <w:ind w:left="283" w:right="20" w:hanging="283"/>
        <w:spacing w:after="0" w:line="268" w:lineRule="auto"/>
        <w:tabs>
          <w:tab w:leader="none" w:pos="28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I hereby confirm that should I act contrary to the foregoing instructions or should I breach any of my obligations to safeguard the vehicle as a reasonable and cautious owner safeguards his own property, I will bear all damage expenses and/or loss caused to BioLine as a result of any action and/or failure to act by me/us, without any condition or restriction.</w:t>
      </w:r>
    </w:p>
    <w:p>
      <w:pPr>
        <w:spacing w:after="0" w:line="162" w:lineRule="exact"/>
        <w:rPr>
          <w:rFonts w:ascii="Arial" w:cs="Arial" w:eastAsia="Arial" w:hAnsi="Arial"/>
          <w:sz w:val="16"/>
          <w:szCs w:val="16"/>
          <w:color w:val="auto"/>
        </w:rPr>
      </w:pPr>
    </w:p>
    <w:p>
      <w:pPr>
        <w:ind w:left="283" w:right="20" w:hanging="283"/>
        <w:spacing w:after="0" w:line="283" w:lineRule="auto"/>
        <w:tabs>
          <w:tab w:leader="none" w:pos="28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For the avoidance of doubt it is hereby clarified that my signature below, confirming my obligation in accordance with this document, will take precedence over any agreement and/or representation and/or understanding, if there were such, prior to this date.</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WITNESS WHEREOF:</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Employee Signature: ______________________________</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w:t>
      </w: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259955"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878" w:right="219" w:bottom="1440" w:gutter="0" w:footer="0" w:header="0"/>
        </w:sectPr>
      </w:pPr>
    </w:p>
    <w:bookmarkStart w:id="307" w:name="page308"/>
    <w:bookmarkEnd w:id="307"/>
    <w:p>
      <w:pPr>
        <w:ind w:left="5440"/>
        <w:spacing w:after="0"/>
        <w:rPr>
          <w:sz w:val="20"/>
          <w:szCs w:val="20"/>
          <w:color w:val="auto"/>
        </w:rPr>
      </w:pPr>
      <w:r>
        <w:rPr>
          <w:rFonts w:ascii="Arial" w:cs="Arial" w:eastAsia="Arial" w:hAnsi="Arial"/>
          <w:sz w:val="16"/>
          <w:szCs w:val="16"/>
          <w:color w:val="auto"/>
        </w:rPr>
        <w:t>Modi’in Technology Park</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2 HaMa’ayan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-30480</wp:posOffset>
            </wp:positionV>
            <wp:extent cx="2992120" cy="3244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992120" cy="324485"/>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6"/>
          <w:szCs w:val="16"/>
          <w:color w:val="auto"/>
        </w:rPr>
        <w:t>Modi’in 7177871, Israel</w:t>
      </w:r>
    </w:p>
    <w:p>
      <w:pPr>
        <w:spacing w:after="0" w:line="190" w:lineRule="exact"/>
        <w:rPr>
          <w:sz w:val="20"/>
          <w:szCs w:val="20"/>
          <w:color w:val="auto"/>
        </w:rPr>
      </w:pPr>
    </w:p>
    <w:p>
      <w:pPr>
        <w:ind w:left="5440"/>
        <w:spacing w:after="0"/>
        <w:tabs>
          <w:tab w:leader="none" w:pos="6060" w:val="left"/>
        </w:tabs>
        <w:rPr>
          <w:sz w:val="20"/>
          <w:szCs w:val="20"/>
          <w:color w:val="auto"/>
        </w:rPr>
      </w:pPr>
      <w:r>
        <w:rPr>
          <w:rFonts w:ascii="Arial" w:cs="Arial" w:eastAsia="Arial" w:hAnsi="Arial"/>
          <w:sz w:val="16"/>
          <w:szCs w:val="16"/>
          <w:b w:val="1"/>
          <w:bCs w:val="1"/>
          <w:color w:val="auto"/>
        </w:rPr>
        <w:t>Phone:</w:t>
      </w:r>
      <w:r>
        <w:rPr>
          <w:sz w:val="20"/>
          <w:szCs w:val="20"/>
          <w:color w:val="auto"/>
        </w:rPr>
        <w:tab/>
      </w:r>
      <w:r>
        <w:rPr>
          <w:rFonts w:ascii="Arial" w:cs="Arial" w:eastAsia="Arial" w:hAnsi="Arial"/>
          <w:sz w:val="14"/>
          <w:szCs w:val="14"/>
          <w:color w:val="auto"/>
        </w:rPr>
        <w:t>972-8-642-9100</w:t>
      </w:r>
    </w:p>
    <w:p>
      <w:pPr>
        <w:spacing w:after="0" w:line="27" w:lineRule="exact"/>
        <w:rPr>
          <w:sz w:val="20"/>
          <w:szCs w:val="20"/>
          <w:color w:val="auto"/>
        </w:rPr>
      </w:pPr>
    </w:p>
    <w:p>
      <w:pPr>
        <w:ind w:left="5440"/>
        <w:spacing w:after="0"/>
        <w:tabs>
          <w:tab w:leader="none" w:pos="6100" w:val="left"/>
        </w:tabs>
        <w:rPr>
          <w:sz w:val="20"/>
          <w:szCs w:val="20"/>
          <w:color w:val="auto"/>
        </w:rPr>
      </w:pPr>
      <w:r>
        <w:rPr>
          <w:rFonts w:ascii="Arial" w:cs="Arial" w:eastAsia="Arial" w:hAnsi="Arial"/>
          <w:sz w:val="16"/>
          <w:szCs w:val="16"/>
          <w:b w:val="1"/>
          <w:bCs w:val="1"/>
          <w:color w:val="auto"/>
        </w:rPr>
        <w:t>Fax:</w:t>
      </w:r>
      <w:r>
        <w:rPr>
          <w:sz w:val="20"/>
          <w:szCs w:val="20"/>
          <w:color w:val="auto"/>
        </w:rPr>
        <w:tab/>
      </w:r>
      <w:r>
        <w:rPr>
          <w:rFonts w:ascii="Arial" w:cs="Arial" w:eastAsia="Arial" w:hAnsi="Arial"/>
          <w:sz w:val="16"/>
          <w:szCs w:val="16"/>
          <w:color w:val="auto"/>
        </w:rPr>
        <w:t>972-8-642-9101</w:t>
      </w:r>
    </w:p>
    <w:p>
      <w:pPr>
        <w:spacing w:after="0" w:line="11" w:lineRule="exact"/>
        <w:rPr>
          <w:sz w:val="20"/>
          <w:szCs w:val="20"/>
          <w:color w:val="auto"/>
        </w:rPr>
      </w:pPr>
    </w:p>
    <w:p>
      <w:pPr>
        <w:ind w:left="5440"/>
        <w:spacing w:after="0"/>
        <w:tabs>
          <w:tab w:leader="none" w:pos="6120" w:val="left"/>
        </w:tabs>
        <w:rPr>
          <w:sz w:val="20"/>
          <w:szCs w:val="20"/>
          <w:color w:val="auto"/>
        </w:rPr>
      </w:pPr>
      <w:r>
        <w:rPr>
          <w:rFonts w:ascii="Arial" w:cs="Arial" w:eastAsia="Arial" w:hAnsi="Arial"/>
          <w:sz w:val="16"/>
          <w:szCs w:val="16"/>
          <w:b w:val="1"/>
          <w:bCs w:val="1"/>
          <w:color w:val="auto"/>
        </w:rPr>
        <w:t>web:</w:t>
      </w:r>
      <w:r>
        <w:rPr>
          <w:sz w:val="20"/>
          <w:szCs w:val="20"/>
          <w:color w:val="auto"/>
        </w:rPr>
        <w:tab/>
      </w:r>
      <w:r>
        <w:rPr>
          <w:rFonts w:ascii="Arial" w:cs="Arial" w:eastAsia="Arial" w:hAnsi="Arial"/>
          <w:sz w:val="16"/>
          <w:szCs w:val="16"/>
          <w:color w:val="auto"/>
        </w:rPr>
        <w:t>www.BioLineRx.com</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October 10, 2016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 Abi Vainstein-Haras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Dear Abi,</w:t>
      </w:r>
    </w:p>
    <w:p>
      <w:pPr>
        <w:spacing w:after="0" w:line="254" w:lineRule="exact"/>
        <w:rPr>
          <w:sz w:val="20"/>
          <w:szCs w:val="20"/>
          <w:color w:val="auto"/>
        </w:rPr>
      </w:pPr>
    </w:p>
    <w:p>
      <w:pPr>
        <w:jc w:val="both"/>
        <w:ind w:right="480"/>
        <w:spacing w:after="0" w:line="318" w:lineRule="auto"/>
        <w:rPr>
          <w:sz w:val="20"/>
          <w:szCs w:val="20"/>
          <w:color w:val="auto"/>
        </w:rPr>
      </w:pPr>
      <w:r>
        <w:rPr>
          <w:rFonts w:ascii="Arial" w:cs="Arial" w:eastAsia="Arial" w:hAnsi="Arial"/>
          <w:sz w:val="15"/>
          <w:szCs w:val="15"/>
          <w:color w:val="auto"/>
        </w:rPr>
        <w:t>This is to confirm that it is my intention to appoint you as VP of Clinical Affairs within the next few months. I plan to submit your appointment for approval by BioLine’s Compensation Committee and Board of Directors together with the appointment of a new VP of Development (whom were currently searching for).</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vice president you will become part of the executive management team and in general your responsibilities will include, among other things, managing the medical directors and the clinical operations team. The terms of your employment will be changed as follows:</w:t>
      </w:r>
    </w:p>
    <w:p>
      <w:pPr>
        <w:spacing w:after="0" w:line="199" w:lineRule="exact"/>
        <w:rPr>
          <w:sz w:val="20"/>
          <w:szCs w:val="20"/>
          <w:color w:val="auto"/>
        </w:rPr>
      </w:pPr>
    </w:p>
    <w:p>
      <w:pPr>
        <w:ind w:left="440" w:hanging="430"/>
        <w:spacing w:after="0"/>
        <w:tabs>
          <w:tab w:leader="none" w:pos="4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Your gross monthly salary will be increased to NIS 45,000.</w:t>
      </w:r>
    </w:p>
    <w:p>
      <w:pPr>
        <w:spacing w:after="0" w:line="254" w:lineRule="exact"/>
        <w:rPr>
          <w:rFonts w:ascii="Arial" w:cs="Arial" w:eastAsia="Arial" w:hAnsi="Arial"/>
          <w:sz w:val="16"/>
          <w:szCs w:val="16"/>
          <w:color w:val="auto"/>
        </w:rPr>
      </w:pPr>
    </w:p>
    <w:p>
      <w:pPr>
        <w:ind w:left="440" w:hanging="430"/>
        <w:spacing w:after="0"/>
        <w:tabs>
          <w:tab w:leader="none" w:pos="4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You will be entitled to receive a Class 4 Company car, subject to Company policy.</w:t>
      </w:r>
    </w:p>
    <w:p>
      <w:pPr>
        <w:spacing w:after="0" w:line="254" w:lineRule="exact"/>
        <w:rPr>
          <w:rFonts w:ascii="Arial" w:cs="Arial" w:eastAsia="Arial" w:hAnsi="Arial"/>
          <w:sz w:val="16"/>
          <w:szCs w:val="16"/>
          <w:color w:val="auto"/>
        </w:rPr>
      </w:pPr>
    </w:p>
    <w:p>
      <w:pPr>
        <w:ind w:left="440" w:hanging="430"/>
        <w:spacing w:after="0"/>
        <w:tabs>
          <w:tab w:leader="none" w:pos="4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Your vacation days and notice period will be aligned with those of other management members.</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As I indicated to you, all of the foregoing changes in responsibility and compensation are subject to the approval of the Compensation Committee and Board.</w:t>
      </w:r>
    </w:p>
    <w:p>
      <w:pPr>
        <w:spacing w:after="0" w:line="26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the interim period until your appointment is approved, I would ask that you begin to carry out the responsibilities outlined above without a formal change of title but with the indicated changes in compensation beginning October 1.</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Please confirm by signing below that this proposal is acceptable.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Philip Serlin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Philip Serlin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Agreed and accepted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Abi Vainstein-Haras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Abi Vainstein-Haras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185420</wp:posOffset>
            </wp:positionV>
            <wp:extent cx="725995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270510</wp:posOffset>
            </wp:positionV>
            <wp:extent cx="7259955" cy="311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0860"/>
          </w:cols>
          <w:pgMar w:left="520" w:top="322" w:right="519" w:bottom="1440" w:gutter="0" w:footer="0" w:header="0"/>
        </w:sectPr>
      </w:pPr>
    </w:p>
    <w:bookmarkStart w:id="308" w:name="page309"/>
    <w:bookmarkEnd w:id="308"/>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04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9955" cy="3048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196850</wp:posOffset>
            </wp:positionV>
            <wp:extent cx="725995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2303780</wp:posOffset>
            </wp:positionH>
            <wp:positionV relativeFrom="paragraph">
              <wp:posOffset>172085</wp:posOffset>
            </wp:positionV>
            <wp:extent cx="2660015" cy="4483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60015" cy="44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7"/>
        <w:spacing w:after="0"/>
        <w:rPr>
          <w:sz w:val="20"/>
          <w:szCs w:val="20"/>
          <w:color w:val="auto"/>
        </w:rPr>
      </w:pPr>
      <w:r>
        <w:rPr>
          <w:rFonts w:ascii="Arial" w:cs="Arial" w:eastAsia="Arial" w:hAnsi="Arial"/>
          <w:sz w:val="16"/>
          <w:szCs w:val="16"/>
          <w:b w:val="1"/>
          <w:bCs w:val="1"/>
          <w:u w:val="single" w:color="auto"/>
          <w:color w:val="auto"/>
        </w:rPr>
        <w:t>Employment Agreement</w:t>
      </w:r>
    </w:p>
    <w:p>
      <w:pPr>
        <w:spacing w:after="0" w:line="248" w:lineRule="exact"/>
        <w:rPr>
          <w:sz w:val="20"/>
          <w:szCs w:val="20"/>
          <w:color w:val="auto"/>
        </w:rPr>
      </w:pPr>
    </w:p>
    <w:p>
      <w:pPr>
        <w:jc w:val="both"/>
        <w:ind w:left="3" w:right="40"/>
        <w:spacing w:after="0" w:line="214" w:lineRule="auto"/>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on this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of January, 2017 by and between </w:t>
      </w:r>
      <w:r>
        <w:rPr>
          <w:rFonts w:ascii="Arial" w:cs="Arial" w:eastAsia="Arial" w:hAnsi="Arial"/>
          <w:sz w:val="16"/>
          <w:szCs w:val="16"/>
          <w:b w:val="1"/>
          <w:bCs w:val="1"/>
          <w:color w:val="auto"/>
        </w:rPr>
        <w:t>BioLineRx Ltd.</w:t>
      </w:r>
      <w:r>
        <w:rPr>
          <w:rFonts w:ascii="Arial" w:cs="Arial" w:eastAsia="Arial" w:hAnsi="Arial"/>
          <w:sz w:val="16"/>
          <w:szCs w:val="16"/>
          <w:color w:val="auto"/>
        </w:rPr>
        <w:t>, a company organized under the laws of the State of Israel, with its offices at Modi’in Technology Park, 2 HaMa’ayan Street, Modi’in 7177871 (“</w:t>
      </w:r>
      <w:r>
        <w:rPr>
          <w:rFonts w:ascii="Arial" w:cs="Arial" w:eastAsia="Arial" w:hAnsi="Arial"/>
          <w:sz w:val="16"/>
          <w:szCs w:val="16"/>
          <w:b w:val="1"/>
          <w:bCs w:val="1"/>
          <w:color w:val="auto"/>
        </w:rPr>
        <w:t>BioLine</w:t>
      </w:r>
      <w:r>
        <w:rPr>
          <w:rFonts w:ascii="Arial" w:cs="Arial" w:eastAsia="Arial" w:hAnsi="Arial"/>
          <w:sz w:val="16"/>
          <w:szCs w:val="16"/>
          <w:color w:val="auto"/>
        </w:rPr>
        <w:t xml:space="preserve">”), and </w:t>
      </w:r>
      <w:r>
        <w:rPr>
          <w:rFonts w:ascii="Arial" w:cs="Arial" w:eastAsia="Arial" w:hAnsi="Arial"/>
          <w:sz w:val="16"/>
          <w:szCs w:val="16"/>
          <w:b w:val="1"/>
          <w:bCs w:val="1"/>
          <w:color w:val="auto"/>
        </w:rPr>
        <w:t>Ella Sorani</w:t>
      </w:r>
      <w:r>
        <w:rPr>
          <w:rFonts w:ascii="Arial" w:cs="Arial" w:eastAsia="Arial" w:hAnsi="Arial"/>
          <w:sz w:val="16"/>
          <w:szCs w:val="16"/>
          <w:color w:val="auto"/>
        </w:rPr>
        <w:t>, whose address is 2 HaKinor Street, Kadima (“</w:t>
      </w:r>
      <w:r>
        <w:rPr>
          <w:rFonts w:ascii="Arial" w:cs="Arial" w:eastAsia="Arial" w:hAnsi="Arial"/>
          <w:sz w:val="16"/>
          <w:szCs w:val="16"/>
          <w:b w:val="1"/>
          <w:bCs w:val="1"/>
          <w:color w:val="auto"/>
        </w:rPr>
        <w:t>Executive</w:t>
      </w:r>
      <w:r>
        <w:rPr>
          <w:rFonts w:ascii="Arial" w:cs="Arial" w:eastAsia="Arial" w:hAnsi="Arial"/>
          <w:sz w:val="16"/>
          <w:szCs w:val="16"/>
          <w:color w:val="auto"/>
        </w:rPr>
        <w:t>”).</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WHEREAS, BioLine desires to employ Executive and Executive desires to enter into such employment, on the terms and conditions hereinafter set forth.</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color w:val="auto"/>
        </w:rPr>
        <w:t>NOW THEREFORE, in consideration of the mutual covenants and conditions hereinafter set forth, the parties agree as follows:</w:t>
      </w:r>
    </w:p>
    <w:p>
      <w:pPr>
        <w:spacing w:after="0" w:line="250" w:lineRule="exact"/>
        <w:rPr>
          <w:sz w:val="20"/>
          <w:szCs w:val="20"/>
          <w:color w:val="auto"/>
        </w:rPr>
      </w:pPr>
    </w:p>
    <w:p>
      <w:pPr>
        <w:ind w:left="283" w:hanging="283"/>
        <w:spacing w:after="0"/>
        <w:tabs>
          <w:tab w:leader="none" w:pos="283" w:val="left"/>
        </w:tabs>
        <w:numPr>
          <w:ilvl w:val="0"/>
          <w:numId w:val="267"/>
        </w:numPr>
        <w:rPr>
          <w:rFonts w:ascii="Arial" w:cs="Arial" w:eastAsia="Arial" w:hAnsi="Arial"/>
          <w:sz w:val="16"/>
          <w:szCs w:val="16"/>
          <w:color w:val="auto"/>
        </w:rPr>
      </w:pPr>
      <w:r>
        <w:rPr>
          <w:rFonts w:ascii="Arial" w:cs="Arial" w:eastAsia="Arial" w:hAnsi="Arial"/>
          <w:sz w:val="16"/>
          <w:szCs w:val="16"/>
          <w:b w:val="1"/>
          <w:bCs w:val="1"/>
          <w:color w:val="auto"/>
        </w:rPr>
        <w:t>Employment</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683" w:right="20" w:hanging="390"/>
        <w:spacing w:after="0" w:line="288" w:lineRule="auto"/>
        <w:rPr>
          <w:rFonts w:ascii="Arial" w:cs="Arial" w:eastAsia="Arial" w:hAnsi="Arial"/>
          <w:sz w:val="16"/>
          <w:szCs w:val="16"/>
          <w:color w:val="auto"/>
        </w:rPr>
      </w:pPr>
      <w:r>
        <w:rPr>
          <w:rFonts w:ascii="Arial" w:cs="Arial" w:eastAsia="Arial" w:hAnsi="Arial"/>
          <w:sz w:val="15"/>
          <w:szCs w:val="15"/>
          <w:color w:val="auto"/>
        </w:rPr>
        <w:t xml:space="preserve">1.1. Executive shall serve in the position described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commencing on the date indicated in that exhibit (the “</w:t>
      </w:r>
      <w:r>
        <w:rPr>
          <w:rFonts w:ascii="Arial" w:cs="Arial" w:eastAsia="Arial" w:hAnsi="Arial"/>
          <w:sz w:val="15"/>
          <w:szCs w:val="15"/>
          <w:b w:val="1"/>
          <w:bCs w:val="1"/>
          <w:color w:val="auto"/>
        </w:rPr>
        <w:t>Commencement Date</w:t>
      </w:r>
      <w:r>
        <w:rPr>
          <w:rFonts w:ascii="Arial" w:cs="Arial" w:eastAsia="Arial" w:hAnsi="Arial"/>
          <w:sz w:val="15"/>
          <w:szCs w:val="15"/>
          <w:color w:val="auto"/>
        </w:rPr>
        <w:t>”). Executive shall be under the direct supervision of the Chief Executive Officer of BioLine or any individual designated by BioLine at its sole discretion (the “</w:t>
      </w:r>
      <w:r>
        <w:rPr>
          <w:rFonts w:ascii="Arial" w:cs="Arial" w:eastAsia="Arial" w:hAnsi="Arial"/>
          <w:sz w:val="15"/>
          <w:szCs w:val="15"/>
          <w:b w:val="1"/>
          <w:bCs w:val="1"/>
          <w:color w:val="auto"/>
        </w:rPr>
        <w:t>Supervisor</w:t>
      </w:r>
      <w:r>
        <w:rPr>
          <w:rFonts w:ascii="Arial" w:cs="Arial" w:eastAsia="Arial" w:hAnsi="Arial"/>
          <w:sz w:val="15"/>
          <w:szCs w:val="15"/>
          <w:color w:val="auto"/>
        </w:rPr>
        <w:t>”). Executive shall perform the duties, undertake the responsibilities and exercise the authority as determined from time to time by the Supervisor diligently, conscientiously and in furtherance of BioLine’s best interests. Executive’s duties and responsibilities hereunder may also include other services performed for affiliates of BioLine.</w:t>
      </w:r>
    </w:p>
    <w:p>
      <w:pPr>
        <w:spacing w:after="0" w:line="198" w:lineRule="exact"/>
        <w:rPr>
          <w:rFonts w:ascii="Arial" w:cs="Arial" w:eastAsia="Arial" w:hAnsi="Arial"/>
          <w:sz w:val="16"/>
          <w:szCs w:val="16"/>
          <w:color w:val="auto"/>
        </w:rPr>
      </w:pPr>
    </w:p>
    <w:p>
      <w:pPr>
        <w:ind w:left="663" w:right="20" w:hanging="390"/>
        <w:spacing w:after="0" w:line="268" w:lineRule="auto"/>
        <w:rPr>
          <w:rFonts w:ascii="Arial" w:cs="Arial" w:eastAsia="Arial" w:hAnsi="Arial"/>
          <w:sz w:val="16"/>
          <w:szCs w:val="16"/>
          <w:color w:val="auto"/>
        </w:rPr>
      </w:pPr>
      <w:r>
        <w:rPr>
          <w:rFonts w:ascii="Arial" w:cs="Arial" w:eastAsia="Arial" w:hAnsi="Arial"/>
          <w:sz w:val="16"/>
          <w:szCs w:val="16"/>
          <w:color w:val="auto"/>
        </w:rPr>
        <w:t>1.2. During the Employment Period (as defined in Section 5), Executive shall honestly, diligently, skillfully and faithfully serve BioLine, and undertakes to devote all of Executive’s efforts and the best of her qualifications and skills to promoting the business and affairs of BioLine, and shall at all times act in a manner suitable of her position and status in BioLine.</w:t>
      </w:r>
    </w:p>
    <w:p>
      <w:pPr>
        <w:spacing w:after="0" w:line="211" w:lineRule="exact"/>
        <w:rPr>
          <w:rFonts w:ascii="Arial" w:cs="Arial" w:eastAsia="Arial" w:hAnsi="Arial"/>
          <w:sz w:val="16"/>
          <w:szCs w:val="16"/>
          <w:color w:val="auto"/>
        </w:rPr>
      </w:pPr>
    </w:p>
    <w:p>
      <w:pPr>
        <w:ind w:left="663" w:hanging="390"/>
        <w:spacing w:after="0" w:line="268" w:lineRule="auto"/>
        <w:rPr>
          <w:rFonts w:ascii="Arial" w:cs="Arial" w:eastAsia="Arial" w:hAnsi="Arial"/>
          <w:sz w:val="16"/>
          <w:szCs w:val="16"/>
          <w:color w:val="auto"/>
        </w:rPr>
      </w:pPr>
      <w:r>
        <w:rPr>
          <w:rFonts w:ascii="Arial" w:cs="Arial" w:eastAsia="Arial" w:hAnsi="Arial"/>
          <w:sz w:val="16"/>
          <w:szCs w:val="16"/>
          <w:color w:val="auto"/>
        </w:rPr>
        <w:t>1.3. Executive agrees and undertakes to inform BioLine, immediately after becoming aware of any matter that may in any way raise a conflict of interest between Executive and BioLine. Executive shall not receive any payment, compensation or benefit from any third party in connection, directly or indirectly, with the execution of Executive’s position in BioLine.</w:t>
      </w:r>
    </w:p>
    <w:p>
      <w:pPr>
        <w:spacing w:after="0" w:line="211" w:lineRule="exact"/>
        <w:rPr>
          <w:rFonts w:ascii="Arial" w:cs="Arial" w:eastAsia="Arial" w:hAnsi="Arial"/>
          <w:sz w:val="16"/>
          <w:szCs w:val="16"/>
          <w:color w:val="auto"/>
        </w:rPr>
      </w:pPr>
    </w:p>
    <w:p>
      <w:pPr>
        <w:ind w:left="663" w:right="20" w:hanging="390"/>
        <w:spacing w:after="0" w:line="283" w:lineRule="auto"/>
        <w:rPr>
          <w:rFonts w:ascii="Arial" w:cs="Arial" w:eastAsia="Arial" w:hAnsi="Arial"/>
          <w:sz w:val="16"/>
          <w:szCs w:val="16"/>
          <w:color w:val="auto"/>
        </w:rPr>
      </w:pPr>
      <w:r>
        <w:rPr>
          <w:rFonts w:ascii="Arial" w:cs="Arial" w:eastAsia="Arial" w:hAnsi="Arial"/>
          <w:sz w:val="16"/>
          <w:szCs w:val="16"/>
          <w:color w:val="auto"/>
        </w:rPr>
        <w:t>1.4. Executive will be employed on a full time basis. Executive shall not undertake or accept any other paid or unpaid employment or occupation or engage in any other business activity except with the prior written consent of BioLine, which shall not be unreasonably withheld.</w:t>
      </w:r>
    </w:p>
    <w:p>
      <w:pPr>
        <w:spacing w:after="0" w:line="199" w:lineRule="exact"/>
        <w:rPr>
          <w:rFonts w:ascii="Arial" w:cs="Arial" w:eastAsia="Arial" w:hAnsi="Arial"/>
          <w:sz w:val="16"/>
          <w:szCs w:val="16"/>
          <w:color w:val="auto"/>
        </w:rPr>
      </w:pPr>
    </w:p>
    <w:p>
      <w:pPr>
        <w:ind w:left="663" w:hanging="390"/>
        <w:spacing w:after="0" w:line="268" w:lineRule="auto"/>
        <w:rPr>
          <w:rFonts w:ascii="Arial" w:cs="Arial" w:eastAsia="Arial" w:hAnsi="Arial"/>
          <w:sz w:val="16"/>
          <w:szCs w:val="16"/>
          <w:color w:val="auto"/>
        </w:rPr>
      </w:pPr>
      <w:r>
        <w:rPr>
          <w:rFonts w:ascii="Arial" w:cs="Arial" w:eastAsia="Arial" w:hAnsi="Arial"/>
          <w:sz w:val="16"/>
          <w:szCs w:val="16"/>
          <w:color w:val="auto"/>
        </w:rPr>
        <w:t>1.5. Executive hereby confirms and declares that her position is one that requires a special measure of personal trust and loyalty. Accordingly, the provisions of the Hours of Work and Rest Law, 1951 shall not apply to Executive, and Executive shall not be entitled to any compensation for working more than the maximum number of hours per week set forth in said law or any other applicable law.</w:t>
      </w:r>
    </w:p>
    <w:p>
      <w:pPr>
        <w:spacing w:after="0" w:line="211"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1.6.  Executive may also work outside of regular working hours and outside of regular working days, as may be required by BioLine from time to time.</w:t>
      </w:r>
    </w:p>
    <w:p>
      <w:pPr>
        <w:spacing w:after="0" w:line="254" w:lineRule="exact"/>
        <w:rPr>
          <w:rFonts w:ascii="Arial" w:cs="Arial" w:eastAsia="Arial" w:hAnsi="Arial"/>
          <w:sz w:val="16"/>
          <w:szCs w:val="16"/>
          <w:color w:val="auto"/>
        </w:rPr>
      </w:pPr>
    </w:p>
    <w:p>
      <w:pPr>
        <w:ind w:left="663" w:right="20" w:hanging="390"/>
        <w:spacing w:after="0" w:line="283" w:lineRule="auto"/>
        <w:rPr>
          <w:rFonts w:ascii="Arial" w:cs="Arial" w:eastAsia="Arial" w:hAnsi="Arial"/>
          <w:sz w:val="16"/>
          <w:szCs w:val="16"/>
          <w:color w:val="auto"/>
        </w:rPr>
      </w:pPr>
      <w:r>
        <w:rPr>
          <w:rFonts w:ascii="Arial" w:cs="Arial" w:eastAsia="Arial" w:hAnsi="Arial"/>
          <w:sz w:val="16"/>
          <w:szCs w:val="16"/>
          <w:color w:val="auto"/>
        </w:rPr>
        <w:t>1.7. The parties hereby confirm that this is an agreement for personal services and that the relationship between the parties shall not be subject to any general or special collective employment agreement or any custom or practice of BioLine with respect to any of its other employees or contractors.</w:t>
      </w:r>
    </w:p>
    <w:p>
      <w:pPr>
        <w:spacing w:after="0" w:line="199" w:lineRule="exact"/>
        <w:rPr>
          <w:rFonts w:ascii="Arial" w:cs="Arial" w:eastAsia="Arial" w:hAnsi="Arial"/>
          <w:sz w:val="16"/>
          <w:szCs w:val="16"/>
          <w:color w:val="auto"/>
        </w:rPr>
      </w:pPr>
    </w:p>
    <w:p>
      <w:pPr>
        <w:ind w:left="663" w:right="20" w:hanging="390"/>
        <w:spacing w:after="0" w:line="268" w:lineRule="auto"/>
        <w:rPr>
          <w:rFonts w:ascii="Arial" w:cs="Arial" w:eastAsia="Arial" w:hAnsi="Arial"/>
          <w:sz w:val="16"/>
          <w:szCs w:val="16"/>
          <w:color w:val="auto"/>
        </w:rPr>
      </w:pPr>
      <w:r>
        <w:rPr>
          <w:rFonts w:ascii="Arial" w:cs="Arial" w:eastAsia="Arial" w:hAnsi="Arial"/>
          <w:sz w:val="16"/>
          <w:szCs w:val="16"/>
          <w:color w:val="auto"/>
        </w:rPr>
        <w:t>1.8. Executive acknowledges that the validity of this Agreement is conditioned on its approval by the Compensation Committee and Board of Directors of BioLine and that in the absence of such approvals, this Agreement is null and void. BioLine will inform Executive promptly after the decision of the Board of Directors has been made.</w:t>
      </w:r>
    </w:p>
    <w:p>
      <w:pPr>
        <w:spacing w:after="0" w:line="207" w:lineRule="exact"/>
        <w:rPr>
          <w:rFonts w:ascii="Arial" w:cs="Arial" w:eastAsia="Arial" w:hAnsi="Arial"/>
          <w:sz w:val="16"/>
          <w:szCs w:val="16"/>
          <w:color w:val="auto"/>
        </w:rPr>
      </w:pPr>
    </w:p>
    <w:p>
      <w:pPr>
        <w:ind w:left="283" w:right="20" w:hanging="283"/>
        <w:spacing w:after="0" w:line="324" w:lineRule="auto"/>
        <w:tabs>
          <w:tab w:leader="none" w:pos="283" w:val="left"/>
        </w:tabs>
        <w:numPr>
          <w:ilvl w:val="0"/>
          <w:numId w:val="267"/>
        </w:numPr>
        <w:rPr>
          <w:rFonts w:ascii="Arial" w:cs="Arial" w:eastAsia="Arial" w:hAnsi="Arial"/>
          <w:sz w:val="15"/>
          <w:szCs w:val="15"/>
          <w:color w:val="auto"/>
        </w:rPr>
      </w:pPr>
      <w:r>
        <w:rPr>
          <w:rFonts w:ascii="Arial" w:cs="Arial" w:eastAsia="Arial" w:hAnsi="Arial"/>
          <w:sz w:val="15"/>
          <w:szCs w:val="15"/>
          <w:b w:val="1"/>
          <w:bCs w:val="1"/>
          <w:color w:val="auto"/>
        </w:rPr>
        <w:t>Place of Performance</w:t>
      </w:r>
      <w:r>
        <w:rPr>
          <w:rFonts w:ascii="Arial" w:cs="Arial" w:eastAsia="Arial" w:hAnsi="Arial"/>
          <w:sz w:val="15"/>
          <w:szCs w:val="15"/>
          <w:color w:val="auto"/>
        </w:rPr>
        <w:t>. Executive shall be based at BioLine’s facilities in Modi’in. In addition, Executive may be required to perform work at such other places as are</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to the functions being performed by BioLine. Executive acknowledges and agrees that her position may involve significant domestic and international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59955"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622" w:right="219" w:bottom="1440" w:gutter="0" w:footer="0" w:header="0"/>
        </w:sectPr>
      </w:pPr>
    </w:p>
    <w:bookmarkStart w:id="309" w:name="page310"/>
    <w:bookmarkEnd w:id="309"/>
    <w:p>
      <w:pPr>
        <w:jc w:val="both"/>
        <w:ind w:left="283" w:right="20" w:hanging="283"/>
        <w:spacing w:after="0" w:line="300" w:lineRule="auto"/>
        <w:tabs>
          <w:tab w:leader="none" w:pos="283" w:val="left"/>
        </w:tabs>
        <w:numPr>
          <w:ilvl w:val="0"/>
          <w:numId w:val="268"/>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Executive’s Representations and Warranties</w:t>
      </w:r>
      <w:r>
        <w:rPr>
          <w:rFonts w:ascii="Arial" w:cs="Arial" w:eastAsia="Arial" w:hAnsi="Arial"/>
          <w:sz w:val="14"/>
          <w:szCs w:val="14"/>
          <w:color w:val="auto"/>
        </w:rPr>
        <w:t>. Executive represents and warrants that the execution and delivery of this Agreement and the fulfillment of all its terms: (i)</w:t>
      </w:r>
      <w:r>
        <w:rPr>
          <w:rFonts w:ascii="Arial" w:cs="Arial" w:eastAsia="Arial" w:hAnsi="Arial"/>
          <w:sz w:val="14"/>
          <w:szCs w:val="14"/>
          <w:b w:val="1"/>
          <w:bCs w:val="1"/>
          <w:color w:val="auto"/>
        </w:rPr>
        <w:t xml:space="preserve"> </w:t>
      </w:r>
      <w:r>
        <w:rPr>
          <w:rFonts w:ascii="Arial" w:cs="Arial" w:eastAsia="Arial" w:hAnsi="Arial"/>
          <w:sz w:val="14"/>
          <w:szCs w:val="14"/>
          <w:color w:val="auto"/>
        </w:rPr>
        <w:t>will not constitute a default under or conflict with any agreement or other instrument to which Executive is a party or by which Executive is bound; and (ii) do not require the consent of any person or entity. Further, with respect to any past engagement Executive may have had with third parties and with respect to any allowed engagement Executive may have with any third party during the term of her engagement with BioLine (for purposes hereof, such third parties shall be referred to as “</w:t>
      </w:r>
      <w:r>
        <w:rPr>
          <w:rFonts w:ascii="Arial" w:cs="Arial" w:eastAsia="Arial" w:hAnsi="Arial"/>
          <w:sz w:val="14"/>
          <w:szCs w:val="14"/>
          <w:b w:val="1"/>
          <w:bCs w:val="1"/>
          <w:color w:val="auto"/>
        </w:rPr>
        <w:t>Other</w:t>
      </w:r>
      <w:r>
        <w:rPr>
          <w:rFonts w:ascii="Arial" w:cs="Arial" w:eastAsia="Arial" w:hAnsi="Arial"/>
          <w:sz w:val="14"/>
          <w:szCs w:val="14"/>
          <w:color w:val="auto"/>
        </w:rPr>
        <w:t xml:space="preserve"> </w:t>
      </w:r>
      <w:r>
        <w:rPr>
          <w:rFonts w:ascii="Arial" w:cs="Arial" w:eastAsia="Arial" w:hAnsi="Arial"/>
          <w:sz w:val="14"/>
          <w:szCs w:val="14"/>
          <w:b w:val="1"/>
          <w:bCs w:val="1"/>
          <w:color w:val="auto"/>
        </w:rPr>
        <w:t>Employers</w:t>
      </w:r>
      <w:r>
        <w:rPr>
          <w:rFonts w:ascii="Arial" w:cs="Arial" w:eastAsia="Arial" w:hAnsi="Arial"/>
          <w:sz w:val="14"/>
          <w:szCs w:val="14"/>
          <w:color w:val="auto"/>
        </w:rPr>
        <w:t>”), Executive represents, warrants and undertakes that: (a) Executive’s engagement with BioLine is and will not be in breach of Executive’s undertakings</w:t>
      </w:r>
      <w:r>
        <w:rPr>
          <w:rFonts w:ascii="Arial" w:cs="Arial" w:eastAsia="Arial" w:hAnsi="Arial"/>
          <w:sz w:val="14"/>
          <w:szCs w:val="14"/>
          <w:b w:val="1"/>
          <w:bCs w:val="1"/>
          <w:color w:val="auto"/>
        </w:rPr>
        <w:t xml:space="preserve"> </w:t>
      </w:r>
      <w:r>
        <w:rPr>
          <w:rFonts w:ascii="Arial" w:cs="Arial" w:eastAsia="Arial" w:hAnsi="Arial"/>
          <w:sz w:val="14"/>
          <w:szCs w:val="14"/>
          <w:color w:val="auto"/>
        </w:rPr>
        <w:t>towards Other Employers, and (b) Executive will not disclose to BioLine, or use, in provision of any services to BioLine, any proprietary or confidential information belonging to any Other Employers. Executive further represents and warrants that: (y) she does not suffer from any medical condition that may prevent from complying with duties and obligations under this Agreement; and (z) to Executive’s best knowledge, the employment by BioLine will not cause any hazard to Executive’s health.</w:t>
      </w:r>
    </w:p>
    <w:p>
      <w:pPr>
        <w:spacing w:after="0" w:line="192" w:lineRule="exact"/>
        <w:rPr>
          <w:rFonts w:ascii="Arial" w:cs="Arial" w:eastAsia="Arial" w:hAnsi="Arial"/>
          <w:sz w:val="14"/>
          <w:szCs w:val="14"/>
          <w:color w:val="auto"/>
        </w:rPr>
      </w:pPr>
    </w:p>
    <w:p>
      <w:pPr>
        <w:jc w:val="both"/>
        <w:ind w:left="283" w:right="20" w:hanging="283"/>
        <w:spacing w:after="0" w:line="265" w:lineRule="auto"/>
        <w:tabs>
          <w:tab w:leader="none" w:pos="283" w:val="left"/>
        </w:tabs>
        <w:numPr>
          <w:ilvl w:val="0"/>
          <w:numId w:val="268"/>
        </w:numPr>
        <w:rPr>
          <w:rFonts w:ascii="Arial" w:cs="Arial" w:eastAsia="Arial" w:hAnsi="Arial"/>
          <w:sz w:val="16"/>
          <w:szCs w:val="16"/>
          <w:color w:val="auto"/>
        </w:rPr>
      </w:pPr>
      <w:r>
        <w:rPr>
          <w:rFonts w:ascii="Arial" w:cs="Arial" w:eastAsia="Arial" w:hAnsi="Arial"/>
          <w:sz w:val="16"/>
          <w:szCs w:val="16"/>
          <w:b w:val="1"/>
          <w:bCs w:val="1"/>
          <w:color w:val="auto"/>
        </w:rPr>
        <w:t>Proprietary Information; Confidentiality and Non-Competition</w:t>
      </w:r>
      <w:r>
        <w:rPr>
          <w:rFonts w:ascii="Arial" w:cs="Arial" w:eastAsia="Arial" w:hAnsi="Arial"/>
          <w:sz w:val="16"/>
          <w:szCs w:val="16"/>
          <w:color w:val="auto"/>
        </w:rPr>
        <w:t>. By executing this Agreement, Executive agrees to the provisions of BioLine’s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Confidentiality and Non-Competition Agreement attached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The terms of Executive’s employment are personal and confidential, and Executive undertakes to refrain from disclosing such terms to any third party, other than her consultants, immediate family or as otherwise required by Israeli, United States and California law or injunction.</w:t>
      </w:r>
    </w:p>
    <w:p>
      <w:pPr>
        <w:spacing w:after="0" w:line="210" w:lineRule="exact"/>
        <w:rPr>
          <w:rFonts w:ascii="Arial" w:cs="Arial" w:eastAsia="Arial" w:hAnsi="Arial"/>
          <w:sz w:val="16"/>
          <w:szCs w:val="16"/>
          <w:color w:val="auto"/>
        </w:rPr>
      </w:pPr>
    </w:p>
    <w:p>
      <w:pPr>
        <w:ind w:left="283" w:right="20" w:hanging="283"/>
        <w:spacing w:after="0" w:line="324" w:lineRule="auto"/>
        <w:tabs>
          <w:tab w:leader="none" w:pos="283" w:val="left"/>
        </w:tabs>
        <w:numPr>
          <w:ilvl w:val="0"/>
          <w:numId w:val="268"/>
        </w:numPr>
        <w:rPr>
          <w:rFonts w:ascii="Arial" w:cs="Arial" w:eastAsia="Arial" w:hAnsi="Arial"/>
          <w:sz w:val="15"/>
          <w:szCs w:val="15"/>
          <w:color w:val="auto"/>
        </w:rPr>
      </w:pPr>
      <w:r>
        <w:rPr>
          <w:rFonts w:ascii="Arial" w:cs="Arial" w:eastAsia="Arial" w:hAnsi="Arial"/>
          <w:sz w:val="15"/>
          <w:szCs w:val="15"/>
          <w:b w:val="1"/>
          <w:bCs w:val="1"/>
          <w:color w:val="auto"/>
        </w:rPr>
        <w:t>Period of Employment</w:t>
      </w:r>
      <w:r>
        <w:rPr>
          <w:rFonts w:ascii="Arial" w:cs="Arial" w:eastAsia="Arial" w:hAnsi="Arial"/>
          <w:sz w:val="15"/>
          <w:szCs w:val="15"/>
          <w:color w:val="auto"/>
        </w:rPr>
        <w:t>. Executive’s employment by BioLine commences on the Commencement Date and shall then continue, unless terminated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The time during which Executive shall be employed by BioLine shall be referred to as the “</w:t>
      </w:r>
      <w:r>
        <w:rPr>
          <w:rFonts w:ascii="Arial" w:cs="Arial" w:eastAsia="Arial" w:hAnsi="Arial"/>
          <w:sz w:val="15"/>
          <w:szCs w:val="15"/>
          <w:b w:val="1"/>
          <w:bCs w:val="1"/>
          <w:color w:val="auto"/>
        </w:rPr>
        <w:t>Employment Period</w:t>
      </w:r>
      <w:r>
        <w:rPr>
          <w:rFonts w:ascii="Arial" w:cs="Arial" w:eastAsia="Arial" w:hAnsi="Arial"/>
          <w:sz w:val="15"/>
          <w:szCs w:val="15"/>
          <w:color w:val="auto"/>
        </w:rPr>
        <w:t>”.</w:t>
      </w:r>
    </w:p>
    <w:p>
      <w:pPr>
        <w:spacing w:after="0" w:line="171" w:lineRule="exact"/>
        <w:rPr>
          <w:sz w:val="20"/>
          <w:szCs w:val="20"/>
          <w:color w:val="auto"/>
        </w:rPr>
      </w:pPr>
    </w:p>
    <w:p>
      <w:pPr>
        <w:jc w:val="both"/>
        <w:ind w:left="663" w:right="20" w:hanging="340"/>
        <w:spacing w:after="0" w:line="26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Executive’s employment will terminate upon the death of the Executive, and BioLine may terminate Executive’s employment after having established Executive’s disability. For purposes of this Agreement, “disability” means a physical or mental infirmity which impairs Executive’s ability to substantially perform Executive’s duties under this Agreement which continues for a period of at least ninety (90) consecutive days. Upon termination for disability, Executive shall be entitled to severance pay required by law, in accordance with the terms of this Agreement.</w:t>
      </w:r>
    </w:p>
    <w:p>
      <w:pPr>
        <w:spacing w:after="0" w:line="216" w:lineRule="exact"/>
        <w:rPr>
          <w:sz w:val="20"/>
          <w:szCs w:val="20"/>
          <w:color w:val="auto"/>
        </w:rPr>
      </w:pPr>
    </w:p>
    <w:p>
      <w:pPr>
        <w:jc w:val="both"/>
        <w:ind w:left="663" w:right="20" w:hanging="340"/>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Termination at Will</w:t>
      </w:r>
      <w:r>
        <w:rPr>
          <w:rFonts w:ascii="Arial" w:cs="Arial" w:eastAsia="Arial" w:hAnsi="Arial"/>
          <w:sz w:val="16"/>
          <w:szCs w:val="16"/>
          <w:color w:val="auto"/>
        </w:rPr>
        <w:t>. Either party may terminate the employment relationship hereunder at any time by giving the other party prior written notice, as set forth in Exhibit A (the “</w:t>
      </w:r>
      <w:r>
        <w:rPr>
          <w:rFonts w:ascii="Arial" w:cs="Arial" w:eastAsia="Arial" w:hAnsi="Arial"/>
          <w:sz w:val="16"/>
          <w:szCs w:val="16"/>
          <w:b w:val="1"/>
          <w:bCs w:val="1"/>
          <w:color w:val="auto"/>
        </w:rPr>
        <w:t>Notice Period</w:t>
      </w:r>
      <w:r>
        <w:rPr>
          <w:rFonts w:ascii="Arial" w:cs="Arial" w:eastAsia="Arial" w:hAnsi="Arial"/>
          <w:sz w:val="16"/>
          <w:szCs w:val="16"/>
          <w:color w:val="auto"/>
        </w:rPr>
        <w:t>”).</w:t>
      </w:r>
    </w:p>
    <w:p>
      <w:pPr>
        <w:spacing w:after="0" w:line="199" w:lineRule="exact"/>
        <w:rPr>
          <w:sz w:val="20"/>
          <w:szCs w:val="20"/>
          <w:color w:val="auto"/>
        </w:rPr>
      </w:pPr>
    </w:p>
    <w:p>
      <w:pPr>
        <w:jc w:val="both"/>
        <w:ind w:left="663" w:right="20" w:hanging="340"/>
        <w:spacing w:after="0" w:line="25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In the event of a termination for Cause (as defined below), BioLine may immediately terminate the employment relationship effective as of the time of notice of the same, and without payment in lieu of prior notice. “</w:t>
      </w:r>
      <w:r>
        <w:rPr>
          <w:rFonts w:ascii="Arial" w:cs="Arial" w:eastAsia="Arial" w:hAnsi="Arial"/>
          <w:sz w:val="16"/>
          <w:szCs w:val="16"/>
          <w:b w:val="1"/>
          <w:bCs w:val="1"/>
          <w:color w:val="auto"/>
        </w:rPr>
        <w:t>Cause</w:t>
      </w:r>
      <w:r>
        <w:rPr>
          <w:rFonts w:ascii="Arial" w:cs="Arial" w:eastAsia="Arial" w:hAnsi="Arial"/>
          <w:sz w:val="16"/>
          <w:szCs w:val="16"/>
          <w:color w:val="auto"/>
        </w:rPr>
        <w:t>” means (i) a material breach of trust including but not limited to theft, embezzlement, self-dealing, prohibited disclosure to unauthorized persons or entities of confidential or proprietary information of or relating to BioLine or its affiliates, unless required by law or injunction, and the engaging by Executive in any prohibited business competitive to the business of BioLine; (ii) any willful failure to perform or failure to perform competently any of Executive’s fundamental functions or duties hereunder, which was not cured within thirty (30) days after receipt by Executive of written notice thereof; (iii) any breach of this Agreement by Executive; and (iv) any other cause justifying termination or dismissal without severance payment under applicable law.</w:t>
      </w:r>
    </w:p>
    <w:p>
      <w:pPr>
        <w:spacing w:after="0" w:line="217" w:lineRule="exact"/>
        <w:rPr>
          <w:sz w:val="20"/>
          <w:szCs w:val="20"/>
          <w:color w:val="auto"/>
        </w:rPr>
      </w:pPr>
    </w:p>
    <w:p>
      <w:pPr>
        <w:jc w:val="both"/>
        <w:ind w:left="663" w:hanging="340"/>
        <w:spacing w:after="0" w:line="277"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Notice Period; End of Relations</w:t>
      </w:r>
      <w:r>
        <w:rPr>
          <w:rFonts w:ascii="Arial" w:cs="Arial" w:eastAsia="Arial" w:hAnsi="Arial"/>
          <w:sz w:val="15"/>
          <w:szCs w:val="15"/>
          <w:color w:val="auto"/>
        </w:rPr>
        <w:t>. During the Notice Period, the employment relationship hereunder shall remain in full force and effect and there shall be no change in Executive’s position with BioLine, the Salary, social benefits or in any other obligations of either party hereunder. At the option of BioLine, Executive shall during such period either continue with Executive’s duties or remain absent from BioLine’s premises. However, BioLine, at its own discretion, may terminate this Agreement and the employment relationship at any time immediately upon a written notice and pay Executive an amount equal to the Salary referred to in Section 6 below including any and all social benefits that would have been paid to Executive during the Notice Period in lieu of the prior notice. In any event of the termination of this Agreement, Executive shall (a) immediately return all company property, equipment, materials and documents and (b) cooperate with BioLine and use Executive’s best efforts to assist with the integration into BioLine’s organization of the person or persons who will assume the Executive’s responsibilities. Under no circumstances will Executive have a lien over any property provided by or belonging to BioLine.</w:t>
      </w:r>
    </w:p>
    <w:p>
      <w:pPr>
        <w:spacing w:after="0" w:line="3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73" w:right="219" w:bottom="1440" w:gutter="0" w:footer="0" w:header="0"/>
        </w:sectPr>
      </w:pPr>
    </w:p>
    <w:bookmarkStart w:id="310" w:name="page311"/>
    <w:bookmarkEnd w:id="310"/>
    <w:p>
      <w:pPr>
        <w:ind w:left="663" w:right="20" w:hanging="3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5.5. Without derogating from all of BioLine’s rights according to the provisions of this Agreement and the law, upon the termination of this Agreement, BioLine shall have the right to deduct from any payment to be paid to Executive any sum owed by Executive to BioLine by a written document.</w:t>
      </w:r>
    </w:p>
    <w:p>
      <w:pPr>
        <w:spacing w:after="0" w:line="195" w:lineRule="exact"/>
        <w:rPr>
          <w:sz w:val="20"/>
          <w:szCs w:val="20"/>
          <w:color w:val="auto"/>
        </w:rPr>
      </w:pPr>
    </w:p>
    <w:p>
      <w:pPr>
        <w:ind w:left="283" w:hanging="283"/>
        <w:spacing w:after="0"/>
        <w:tabs>
          <w:tab w:leader="none" w:pos="283" w:val="left"/>
        </w:tabs>
        <w:numPr>
          <w:ilvl w:val="0"/>
          <w:numId w:val="269"/>
        </w:numPr>
        <w:rPr>
          <w:rFonts w:ascii="Arial" w:cs="Arial" w:eastAsia="Arial" w:hAnsi="Arial"/>
          <w:sz w:val="16"/>
          <w:szCs w:val="16"/>
          <w:color w:val="auto"/>
        </w:rPr>
      </w:pPr>
      <w:r>
        <w:rPr>
          <w:rFonts w:ascii="Arial" w:cs="Arial" w:eastAsia="Arial" w:hAnsi="Arial"/>
          <w:sz w:val="16"/>
          <w:szCs w:val="16"/>
          <w:b w:val="1"/>
          <w:bCs w:val="1"/>
          <w:color w:val="auto"/>
        </w:rPr>
        <w:t>Salary</w:t>
      </w:r>
      <w:r>
        <w:rPr>
          <w:rFonts w:ascii="Arial" w:cs="Arial" w:eastAsia="Arial" w:hAnsi="Arial"/>
          <w:sz w:val="16"/>
          <w:szCs w:val="16"/>
          <w:color w:val="auto"/>
        </w:rPr>
        <w:t>.</w:t>
      </w:r>
    </w:p>
    <w:p>
      <w:pPr>
        <w:spacing w:after="0" w:line="258" w:lineRule="exact"/>
        <w:rPr>
          <w:sz w:val="20"/>
          <w:szCs w:val="20"/>
          <w:color w:val="auto"/>
        </w:rPr>
      </w:pPr>
    </w:p>
    <w:p>
      <w:pPr>
        <w:jc w:val="both"/>
        <w:ind w:left="663" w:right="20" w:hanging="340"/>
        <w:spacing w:after="0" w:line="283" w:lineRule="auto"/>
        <w:rPr>
          <w:sz w:val="20"/>
          <w:szCs w:val="20"/>
          <w:color w:val="auto"/>
        </w:rPr>
      </w:pPr>
      <w:r>
        <w:rPr>
          <w:rFonts w:ascii="Arial" w:cs="Arial" w:eastAsia="Arial" w:hAnsi="Arial"/>
          <w:sz w:val="16"/>
          <w:szCs w:val="16"/>
          <w:color w:val="auto"/>
        </w:rPr>
        <w:t>6.1. BioLine shall pay or cause to be paid to Executive during the term of this Agreement a gross monthly salary in the amount set forth in Exhibit A per month (the “</w:t>
      </w:r>
      <w:r>
        <w:rPr>
          <w:rFonts w:ascii="Arial" w:cs="Arial" w:eastAsia="Arial" w:hAnsi="Arial"/>
          <w:sz w:val="16"/>
          <w:szCs w:val="16"/>
          <w:b w:val="1"/>
          <w:bCs w:val="1"/>
          <w:color w:val="auto"/>
        </w:rPr>
        <w:t>Base Salary</w:t>
      </w:r>
      <w:r>
        <w:rPr>
          <w:rFonts w:ascii="Arial" w:cs="Arial" w:eastAsia="Arial" w:hAnsi="Arial"/>
          <w:sz w:val="16"/>
          <w:szCs w:val="16"/>
          <w:color w:val="auto"/>
        </w:rPr>
        <w:t>”).</w:t>
      </w:r>
    </w:p>
    <w:p>
      <w:pPr>
        <w:spacing w:after="0" w:line="199" w:lineRule="exact"/>
        <w:rPr>
          <w:sz w:val="20"/>
          <w:szCs w:val="20"/>
          <w:color w:val="auto"/>
        </w:rPr>
      </w:pPr>
    </w:p>
    <w:p>
      <w:pPr>
        <w:jc w:val="both"/>
        <w:ind w:left="663" w:right="20" w:hanging="340"/>
        <w:spacing w:after="0" w:line="268" w:lineRule="auto"/>
        <w:rPr>
          <w:sz w:val="20"/>
          <w:szCs w:val="20"/>
          <w:color w:val="auto"/>
        </w:rPr>
      </w:pPr>
      <w:r>
        <w:rPr>
          <w:rFonts w:ascii="Arial" w:cs="Arial" w:eastAsia="Arial" w:hAnsi="Arial"/>
          <w:sz w:val="16"/>
          <w:szCs w:val="16"/>
          <w:color w:val="auto"/>
        </w:rPr>
        <w:t>6.2. The Salary will be paid no later than the ninth day of each calendar month after the month for which the Salary is paid, after deduction of any and all taxes and charges applicable to Executive, as may be in effect or which may hereafter be enacted or required by law. Executive shall notify BioLine of any change which may affect Executive’s tax liability.</w:t>
      </w:r>
    </w:p>
    <w:p>
      <w:pPr>
        <w:spacing w:after="0" w:line="208" w:lineRule="exact"/>
        <w:rPr>
          <w:sz w:val="20"/>
          <w:szCs w:val="20"/>
          <w:color w:val="auto"/>
        </w:rPr>
      </w:pPr>
    </w:p>
    <w:p>
      <w:pPr>
        <w:ind w:left="283" w:hanging="283"/>
        <w:spacing w:after="0"/>
        <w:tabs>
          <w:tab w:leader="none" w:pos="283"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Insurance and Social Benefits</w:t>
      </w:r>
      <w:r>
        <w:rPr>
          <w:rFonts w:ascii="Arial" w:cs="Arial" w:eastAsia="Arial" w:hAnsi="Arial"/>
          <w:sz w:val="16"/>
          <w:szCs w:val="16"/>
          <w:color w:val="auto"/>
        </w:rPr>
        <w:t>.</w:t>
      </w:r>
    </w:p>
    <w:p>
      <w:pPr>
        <w:spacing w:after="0" w:line="258"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Executive shall be entitled to the following benefits:</w:t>
      </w:r>
    </w:p>
    <w:p>
      <w:pPr>
        <w:spacing w:after="0" w:line="254" w:lineRule="exact"/>
        <w:rPr>
          <w:rFonts w:ascii="Arial" w:cs="Arial" w:eastAsia="Arial" w:hAnsi="Arial"/>
          <w:sz w:val="16"/>
          <w:szCs w:val="16"/>
          <w:color w:val="auto"/>
        </w:rPr>
      </w:pPr>
    </w:p>
    <w:p>
      <w:pPr>
        <w:ind w:left="663" w:hanging="390"/>
        <w:spacing w:after="0" w:line="277" w:lineRule="auto"/>
        <w:rPr>
          <w:rFonts w:ascii="Arial" w:cs="Arial" w:eastAsia="Arial" w:hAnsi="Arial"/>
          <w:sz w:val="16"/>
          <w:szCs w:val="16"/>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Manager’s Insurance/Pension Fund</w:t>
      </w:r>
      <w:r>
        <w:rPr>
          <w:rFonts w:ascii="Arial" w:cs="Arial" w:eastAsia="Arial" w:hAnsi="Arial"/>
          <w:sz w:val="15"/>
          <w:szCs w:val="15"/>
          <w:color w:val="auto"/>
        </w:rPr>
        <w:t>. During the Employment Period, BioLine will insure Executive under a “Manager’s Insurance Scheme” or pension fund as agreed to by the parties (collectively the “</w:t>
      </w:r>
      <w:r>
        <w:rPr>
          <w:rFonts w:ascii="Arial" w:cs="Arial" w:eastAsia="Arial" w:hAnsi="Arial"/>
          <w:sz w:val="15"/>
          <w:szCs w:val="15"/>
          <w:b w:val="1"/>
          <w:bCs w:val="1"/>
          <w:color w:val="auto"/>
        </w:rPr>
        <w:t>Policy</w:t>
      </w:r>
      <w:r>
        <w:rPr>
          <w:rFonts w:ascii="Arial" w:cs="Arial" w:eastAsia="Arial" w:hAnsi="Arial"/>
          <w:sz w:val="15"/>
          <w:szCs w:val="15"/>
          <w:color w:val="auto"/>
        </w:rPr>
        <w:t>”). In the case of a Manager’s Insurance Scheme, BioLine will transfer to the Policy an amount equal to 6.5% for pension payments and disability insurance and 8.33% for severance compensation. If the cost of disability insurance is more than 1.5% of the Salary, the abovementioned 6.5% payment will be increased to a maximum of 7.5% of the Salary. In addition, BioLine shall deduct from the Salary an amount equal to 6% of the Salary and transfer the same to the Policy. In the case of a pension fund, BioLine will transfer an amount equal to 14.833% of the Salary to such Policy, of which 6.5% shall be for pension fund payments and 8.33% shall be for severance compensation, and in addition, BioLine shall deduct from the Salary an amount equal to 6% of the Salary and transfer the same to the Policy. Any tax payable in respect of such contributions to the Policy shall be borne and paid by Executive. The percentages listed above will be subject to adjustment in accordance with changes in applicable law from time to time.</w:t>
      </w:r>
    </w:p>
    <w:p>
      <w:pPr>
        <w:spacing w:after="0" w:line="209" w:lineRule="exact"/>
        <w:rPr>
          <w:rFonts w:ascii="Arial" w:cs="Arial" w:eastAsia="Arial" w:hAnsi="Arial"/>
          <w:sz w:val="16"/>
          <w:szCs w:val="16"/>
          <w:color w:val="auto"/>
        </w:rPr>
      </w:pPr>
    </w:p>
    <w:p>
      <w:pPr>
        <w:ind w:left="663" w:right="20" w:hanging="390"/>
        <w:spacing w:after="0" w:line="258" w:lineRule="auto"/>
        <w:rPr>
          <w:rFonts w:ascii="Arial" w:cs="Arial" w:eastAsia="Arial" w:hAnsi="Arial"/>
          <w:sz w:val="16"/>
          <w:szCs w:val="16"/>
          <w:color w:val="auto"/>
        </w:rPr>
      </w:pPr>
      <w:r>
        <w:rPr>
          <w:rFonts w:ascii="Arial" w:cs="Arial" w:eastAsia="Arial" w:hAnsi="Arial"/>
          <w:sz w:val="16"/>
          <w:szCs w:val="16"/>
          <w:color w:val="auto"/>
        </w:rPr>
        <w:t>7.2. Executive hereby agrees and acknowledges that all of the payments that BioLine shall make to the abovementioned Policy shall be instead of any severance pay to which Executive or Executive’s successors shall be entitled to receive from BioLine with respect to the salary from which these payments were made and the period during which they were made, in accordance with Section 14 of the Severance Pay Law 5723-1963 (the “</w:t>
      </w:r>
      <w:r>
        <w:rPr>
          <w:rFonts w:ascii="Arial" w:cs="Arial" w:eastAsia="Arial" w:hAnsi="Arial"/>
          <w:sz w:val="16"/>
          <w:szCs w:val="16"/>
          <w:b w:val="1"/>
          <w:bCs w:val="1"/>
          <w:color w:val="auto"/>
        </w:rPr>
        <w:t>Law</w:t>
      </w:r>
      <w:r>
        <w:rPr>
          <w:rFonts w:ascii="Arial" w:cs="Arial" w:eastAsia="Arial" w:hAnsi="Arial"/>
          <w:sz w:val="16"/>
          <w:szCs w:val="16"/>
          <w:color w:val="auto"/>
        </w:rPr>
        <w:t xml:space="preserve">”). The parties hereby adopt the General Approval of the Minister of Labor and Welfare, published in the Official Publications Gazette No. 4659 on June 30, 1998,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BioLine hereby waives in advance any claim it has or may have to be refunded any of the payments made to the manager’s insurance policy, unless (i) Executive’s right to severance pay is invalidated by a court ruling on the basis of Sections 16 or 17 of the Law (and in such case only to the extent it is invalidated), or (ii) Executive withdrew funds from the manager’s insurance policy for reasons other than an “Entitling Event”. An “Entitling Event” means death, disability or retirement at the age of sixty (60) or more.</w:t>
      </w:r>
    </w:p>
    <w:p>
      <w:pPr>
        <w:spacing w:after="0" w:line="37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77" w:right="219" w:bottom="1440" w:gutter="0" w:footer="0" w:header="0"/>
        </w:sectPr>
      </w:pPr>
    </w:p>
    <w:bookmarkStart w:id="311" w:name="page312"/>
    <w:bookmarkEnd w:id="311"/>
    <w:p>
      <w:pPr>
        <w:jc w:val="both"/>
        <w:ind w:left="663" w:hanging="389"/>
        <w:spacing w:after="0" w:line="263" w:lineRule="auto"/>
        <w:tabs>
          <w:tab w:leader="none" w:pos="642"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7.3.</w:t>
      </w:r>
      <w:r>
        <w:rPr>
          <w:sz w:val="20"/>
          <w:szCs w:val="20"/>
          <w:color w:val="auto"/>
        </w:rPr>
        <w:tab/>
      </w:r>
      <w:r>
        <w:rPr>
          <w:rFonts w:ascii="Arial" w:cs="Arial" w:eastAsia="Arial" w:hAnsi="Arial"/>
          <w:sz w:val="16"/>
          <w:szCs w:val="16"/>
          <w:u w:val="single" w:color="auto"/>
          <w:color w:val="auto"/>
        </w:rPr>
        <w:t>Advanced Study Fund</w:t>
      </w:r>
      <w:r>
        <w:rPr>
          <w:rFonts w:ascii="Arial" w:cs="Arial" w:eastAsia="Arial" w:hAnsi="Arial"/>
          <w:sz w:val="16"/>
          <w:szCs w:val="16"/>
          <w:color w:val="auto"/>
        </w:rPr>
        <w:t>. During the Employment Period, BioLine will maintain for the Executive an advanced study fund (</w:t>
      </w:r>
      <w:r>
        <w:rPr>
          <w:rFonts w:ascii="Arial" w:cs="Arial" w:eastAsia="Arial" w:hAnsi="Arial"/>
          <w:sz w:val="16"/>
          <w:szCs w:val="16"/>
          <w:i w:val="1"/>
          <w:iCs w:val="1"/>
          <w:color w:val="auto"/>
        </w:rPr>
        <w:t>Keren Hishtalmut</w:t>
      </w:r>
      <w:r>
        <w:rPr>
          <w:rFonts w:ascii="Arial" w:cs="Arial" w:eastAsia="Arial" w:hAnsi="Arial"/>
          <w:sz w:val="16"/>
          <w:szCs w:val="16"/>
          <w:color w:val="auto"/>
        </w:rPr>
        <w:t>) recognized by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Israeli Income Tax Authorities, such that BioLine and Executive shall contribute to such fund an amount equal to 7.5% of the Salary and 2.5% of the Salary, respectively. Any tax payable in respect of such contributions to such fund shall be borne and paid by Executive. All payments and contributions of BioLine with respect to these benefits shall be limited to the Salary and up to the highest amount recognized by the tax authorities.</w:t>
      </w:r>
    </w:p>
    <w:p>
      <w:pPr>
        <w:spacing w:after="0" w:line="216" w:lineRule="exact"/>
        <w:rPr>
          <w:sz w:val="20"/>
          <w:szCs w:val="20"/>
          <w:color w:val="auto"/>
        </w:rPr>
      </w:pPr>
    </w:p>
    <w:p>
      <w:pPr>
        <w:ind w:left="283"/>
        <w:spacing w:after="0"/>
        <w:tabs>
          <w:tab w:leader="none" w:pos="642"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u w:val="single" w:color="auto"/>
          <w:color w:val="auto"/>
        </w:rPr>
        <w:t>Convalescence</w:t>
      </w:r>
      <w:r>
        <w:rPr>
          <w:rFonts w:ascii="Arial" w:cs="Arial" w:eastAsia="Arial" w:hAnsi="Arial"/>
          <w:sz w:val="14"/>
          <w:szCs w:val="14"/>
          <w:color w:val="auto"/>
        </w:rPr>
        <w:t>. During the Employment Period, Executive shall be entitled to receive convalescence allowance (</w:t>
      </w:r>
      <w:r>
        <w:rPr>
          <w:rFonts w:ascii="Arial" w:cs="Arial" w:eastAsia="Arial" w:hAnsi="Arial"/>
          <w:sz w:val="14"/>
          <w:szCs w:val="14"/>
          <w:i w:val="1"/>
          <w:iCs w:val="1"/>
          <w:color w:val="auto"/>
        </w:rPr>
        <w:t>Dmei Havra’a</w:t>
      </w:r>
      <w:r>
        <w:rPr>
          <w:rFonts w:ascii="Arial" w:cs="Arial" w:eastAsia="Arial" w:hAnsi="Arial"/>
          <w:sz w:val="14"/>
          <w:szCs w:val="14"/>
          <w:color w:val="auto"/>
        </w:rPr>
        <w:t>) pursuant to applicable law.</w:t>
      </w:r>
    </w:p>
    <w:p>
      <w:pPr>
        <w:spacing w:after="0" w:line="254" w:lineRule="exact"/>
        <w:rPr>
          <w:sz w:val="20"/>
          <w:szCs w:val="20"/>
          <w:color w:val="auto"/>
        </w:rPr>
      </w:pPr>
    </w:p>
    <w:p>
      <w:pPr>
        <w:jc w:val="both"/>
        <w:ind w:left="663" w:right="20" w:hanging="389"/>
        <w:spacing w:after="0" w:line="268" w:lineRule="auto"/>
        <w:tabs>
          <w:tab w:leader="none" w:pos="642"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6"/>
          <w:szCs w:val="16"/>
          <w:u w:val="single" w:color="auto"/>
          <w:color w:val="auto"/>
        </w:rPr>
        <w:t>Sick Leave</w:t>
      </w:r>
      <w:r>
        <w:rPr>
          <w:rFonts w:ascii="Arial" w:cs="Arial" w:eastAsia="Arial" w:hAnsi="Arial"/>
          <w:sz w:val="16"/>
          <w:szCs w:val="16"/>
          <w:color w:val="auto"/>
        </w:rPr>
        <w:t>. Executive shall be entitled to be absent from work each year due to illness for the number of days allowed pursuant to the Sick Pay Law 5736 - 1976,</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shall be entitled to fully paid sick leave upon presentation of appropriate medical documentation regarding said illness. Any amounts paid to Executive on account of the disability insurance indicated in subsection 8.3 will be on account of sick leave payment.</w:t>
      </w:r>
    </w:p>
    <w:p>
      <w:pPr>
        <w:spacing w:after="0" w:line="212" w:lineRule="exact"/>
        <w:rPr>
          <w:sz w:val="20"/>
          <w:szCs w:val="20"/>
          <w:color w:val="auto"/>
        </w:rPr>
      </w:pPr>
    </w:p>
    <w:p>
      <w:pPr>
        <w:jc w:val="both"/>
        <w:ind w:left="663" w:hanging="389"/>
        <w:spacing w:after="0" w:line="263" w:lineRule="auto"/>
        <w:tabs>
          <w:tab w:leader="none" w:pos="642"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u w:val="single" w:color="auto"/>
          <w:color w:val="auto"/>
        </w:rPr>
        <w:t>Vacation</w:t>
      </w:r>
      <w:r>
        <w:rPr>
          <w:rFonts w:ascii="Arial" w:cs="Arial" w:eastAsia="Arial" w:hAnsi="Arial"/>
          <w:sz w:val="16"/>
          <w:szCs w:val="16"/>
          <w:color w:val="auto"/>
        </w:rPr>
        <w:t>. During the Employment Period, Executive shall be entitled to vacation in the number of working days per year as set forth in Exhibit A, as adjusted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applicable law. A “working day” shall mean Sunday to Thursday inclusive, and the use of said vacation days will be coordinated with BioLine. Executive shall be entitled to accumulation and redemption of vacation days in accordance with BioLine’s policies, which may be amended from time to time in BioLine’s sole discretion.</w:t>
      </w:r>
    </w:p>
    <w:p>
      <w:pPr>
        <w:spacing w:after="0" w:line="216" w:lineRule="exact"/>
        <w:rPr>
          <w:sz w:val="20"/>
          <w:szCs w:val="20"/>
          <w:color w:val="auto"/>
        </w:rPr>
      </w:pPr>
    </w:p>
    <w:p>
      <w:pPr>
        <w:jc w:val="both"/>
        <w:ind w:left="683" w:right="20" w:hanging="389"/>
        <w:spacing w:after="0" w:line="263" w:lineRule="auto"/>
        <w:tabs>
          <w:tab w:leader="none" w:pos="662"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6"/>
          <w:szCs w:val="16"/>
          <w:u w:val="single" w:color="auto"/>
          <w:color w:val="auto"/>
        </w:rPr>
        <w:t>Mobile Phone; Computer</w:t>
      </w:r>
      <w:r>
        <w:rPr>
          <w:rFonts w:ascii="Arial" w:cs="Arial" w:eastAsia="Arial" w:hAnsi="Arial"/>
          <w:sz w:val="16"/>
          <w:szCs w:val="16"/>
          <w:color w:val="auto"/>
        </w:rPr>
        <w:t>. During the Employment Period, Executive shall be entitled to receive a mobile phone and a laptop computer. Executive shall use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mobile phone and computer (together hereinafter: the “</w:t>
      </w:r>
      <w:r>
        <w:rPr>
          <w:rFonts w:ascii="Arial" w:cs="Arial" w:eastAsia="Arial" w:hAnsi="Arial"/>
          <w:sz w:val="16"/>
          <w:szCs w:val="16"/>
          <w:b w:val="1"/>
          <w:bCs w:val="1"/>
          <w:color w:val="auto"/>
        </w:rPr>
        <w:t>Equipment</w:t>
      </w:r>
      <w:r>
        <w:rPr>
          <w:rFonts w:ascii="Arial" w:cs="Arial" w:eastAsia="Arial" w:hAnsi="Arial"/>
          <w:sz w:val="16"/>
          <w:szCs w:val="16"/>
          <w:color w:val="auto"/>
        </w:rPr>
        <w:t>”) in a standard and reasonable manner, and in accordance with BioLine’s policies. The Executive hereby agrees that any amount due by Executive to BioLine in connection with the Equipment (including, e.g., compensation for loss or damage of the Equipment) shall be deducted from Executive’s Salary.</w:t>
      </w:r>
    </w:p>
    <w:p>
      <w:pPr>
        <w:spacing w:after="0" w:line="216" w:lineRule="exact"/>
        <w:rPr>
          <w:sz w:val="20"/>
          <w:szCs w:val="20"/>
          <w:color w:val="auto"/>
        </w:rPr>
      </w:pPr>
    </w:p>
    <w:p>
      <w:pPr>
        <w:jc w:val="both"/>
        <w:ind w:left="663" w:hanging="389"/>
        <w:spacing w:after="0" w:line="260" w:lineRule="auto"/>
        <w:tabs>
          <w:tab w:leader="none" w:pos="642"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u w:val="single" w:color="auto"/>
          <w:color w:val="auto"/>
        </w:rPr>
        <w:t xml:space="preserve">Automobile. </w:t>
      </w:r>
      <w:r>
        <w:rPr>
          <w:rFonts w:ascii="Arial" w:cs="Arial" w:eastAsia="Arial" w:hAnsi="Arial"/>
          <w:sz w:val="16"/>
          <w:szCs w:val="16"/>
          <w:color w:val="auto"/>
        </w:rPr>
        <w:t>During the Employment Period, for purposes of performance of Executive’s duties and tasks, BioLine shall make available to Executive a company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vehicle of a type to be chosen by BioLine in accordance with its policy which may be amended from time to time (the “</w:t>
      </w:r>
      <w:r>
        <w:rPr>
          <w:rFonts w:ascii="Arial" w:cs="Arial" w:eastAsia="Arial" w:hAnsi="Arial"/>
          <w:sz w:val="16"/>
          <w:szCs w:val="16"/>
          <w:b w:val="1"/>
          <w:bCs w:val="1"/>
          <w:color w:val="auto"/>
        </w:rPr>
        <w:t>Company Car</w:t>
      </w:r>
      <w:r>
        <w:rPr>
          <w:rFonts w:ascii="Arial" w:cs="Arial" w:eastAsia="Arial" w:hAnsi="Arial"/>
          <w:sz w:val="16"/>
          <w:szCs w:val="16"/>
          <w:color w:val="auto"/>
        </w:rPr>
        <w:t xml:space="preserve">”). Before delivery of the Company Car, Executive shall sign BioLine’s Vehicle Agreement, the form of which is attached hereto as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Executive shall use the Company Car in accordance with the Vehicle Agreement as well as with BioLine’s car policy then in effect. For the avoidance of doubt, Executive agrees that the cost of the leasing and the cost of the use of the Company Car shall not constitute a component of Executive’s Salary, including with regard to social benefits or any other right to which Executive is entitled by virtue of this Agreement or under law.</w:t>
      </w:r>
    </w:p>
    <w:p>
      <w:pPr>
        <w:spacing w:after="0" w:line="213" w:lineRule="exact"/>
        <w:rPr>
          <w:sz w:val="20"/>
          <w:szCs w:val="20"/>
          <w:color w:val="auto"/>
        </w:rPr>
      </w:pPr>
    </w:p>
    <w:p>
      <w:pPr>
        <w:jc w:val="both"/>
        <w:ind w:left="283" w:right="20" w:hanging="283"/>
        <w:spacing w:after="0" w:line="277" w:lineRule="auto"/>
        <w:tabs>
          <w:tab w:leader="none" w:pos="283" w:val="left"/>
        </w:tabs>
        <w:numPr>
          <w:ilvl w:val="0"/>
          <w:numId w:val="271"/>
        </w:numPr>
        <w:rPr>
          <w:rFonts w:ascii="Arial" w:cs="Arial" w:eastAsia="Arial" w:hAnsi="Arial"/>
          <w:sz w:val="15"/>
          <w:szCs w:val="15"/>
          <w:color w:val="auto"/>
        </w:rPr>
      </w:pPr>
      <w:r>
        <w:rPr>
          <w:rFonts w:ascii="Arial" w:cs="Arial" w:eastAsia="Arial" w:hAnsi="Arial"/>
          <w:sz w:val="15"/>
          <w:szCs w:val="15"/>
          <w:b w:val="1"/>
          <w:bCs w:val="1"/>
          <w:color w:val="auto"/>
        </w:rPr>
        <w:t>BioLine Property</w:t>
      </w:r>
      <w:r>
        <w:rPr>
          <w:rFonts w:ascii="Arial" w:cs="Arial" w:eastAsia="Arial" w:hAnsi="Arial"/>
          <w:sz w:val="15"/>
          <w:szCs w:val="15"/>
          <w:color w:val="auto"/>
        </w:rPr>
        <w:t>. Executive acknowledges and agrees that the Equipment, email account and any other device or system providing for transmittal and storage of</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which are placed at Executive’s disposal by BioLine during the Employment Period are and shall remain the property of BioLine. Executive confirms her understanding that BioLine may review email correspondence and other information transmitted and stored by using the equipment stated above, and BioLine reserves the right to copy, store, present to others, and use such information. Executive acknowledges and agrees that any messages and data sent from, received by, or stored in or upon BioLine’s computers and communications systems are the sole property of BioLine, regardless of the form or content of these messages and data. Executive should not consider messages and data sent from, received by, or stored in or upon BioLine’s computer and communications systems to be private and should not send, receive, or store sensitive personal or private information using these systems. Executive is deemed to have consented, subject to any applicable law, to any reasonable use, transfer and disclosure of all messages and data contained or sent via the BioLine’s computer and communications systems, including electronic mail. Executive shall fully comply with BioLine’s policies regarding its computers and network, as may be in effect from time to time.</w:t>
      </w:r>
    </w:p>
    <w:p>
      <w:pPr>
        <w:spacing w:after="0" w:line="36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76" w:right="219" w:bottom="1440" w:gutter="0" w:footer="0" w:header="0"/>
        </w:sectPr>
      </w:pPr>
    </w:p>
    <w:bookmarkStart w:id="312" w:name="page313"/>
    <w:bookmarkEnd w:id="312"/>
    <w:p>
      <w:pPr>
        <w:jc w:val="both"/>
        <w:ind w:left="283" w:hanging="283"/>
        <w:spacing w:after="0" w:line="297" w:lineRule="auto"/>
        <w:tabs>
          <w:tab w:leader="none" w:pos="283" w:val="left"/>
        </w:tabs>
        <w:numPr>
          <w:ilvl w:val="0"/>
          <w:numId w:val="272"/>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Expenses</w:t>
      </w:r>
      <w:r>
        <w:rPr>
          <w:rFonts w:ascii="Arial" w:cs="Arial" w:eastAsia="Arial" w:hAnsi="Arial"/>
          <w:sz w:val="15"/>
          <w:szCs w:val="15"/>
          <w:color w:val="auto"/>
        </w:rPr>
        <w:t>. Executive shall be reimbursed for all direct business expenses borne by Executive, in accordance with BioLine’s policies as determined by BioLine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to time, provided that such expenses were approved by Executive’s Supervisor in advance. As a condition to reimbursement, Executive shall be required to provide BioLine with all invoices, receipts and other evidence of expenditures as may be reasonably required by BioLine from time to time.</w:t>
      </w:r>
    </w:p>
    <w:p>
      <w:pPr>
        <w:spacing w:after="0" w:line="187" w:lineRule="exact"/>
        <w:rPr>
          <w:rFonts w:ascii="Arial" w:cs="Arial" w:eastAsia="Arial" w:hAnsi="Arial"/>
          <w:sz w:val="15"/>
          <w:szCs w:val="15"/>
          <w:color w:val="auto"/>
        </w:rPr>
      </w:pPr>
    </w:p>
    <w:p>
      <w:pPr>
        <w:jc w:val="both"/>
        <w:ind w:left="283" w:right="20" w:hanging="283"/>
        <w:spacing w:after="0" w:line="297" w:lineRule="auto"/>
        <w:tabs>
          <w:tab w:leader="none" w:pos="283" w:val="left"/>
        </w:tabs>
        <w:numPr>
          <w:ilvl w:val="0"/>
          <w:numId w:val="272"/>
        </w:numPr>
        <w:rPr>
          <w:rFonts w:ascii="Arial" w:cs="Arial" w:eastAsia="Arial" w:hAnsi="Arial"/>
          <w:sz w:val="15"/>
          <w:szCs w:val="15"/>
          <w:color w:val="auto"/>
        </w:rPr>
      </w:pPr>
      <w:r>
        <w:rPr>
          <w:rFonts w:ascii="Arial" w:cs="Arial" w:eastAsia="Arial" w:hAnsi="Arial"/>
          <w:sz w:val="15"/>
          <w:szCs w:val="15"/>
          <w:b w:val="1"/>
          <w:bCs w:val="1"/>
          <w:color w:val="auto"/>
        </w:rPr>
        <w:t>Equity Compensation</w:t>
      </w:r>
      <w:r>
        <w:rPr>
          <w:rFonts w:ascii="Arial" w:cs="Arial" w:eastAsia="Arial" w:hAnsi="Arial"/>
          <w:sz w:val="15"/>
          <w:szCs w:val="15"/>
          <w:color w:val="auto"/>
        </w:rPr>
        <w:t>. Subject to the approval of the Board of Directors of BioLine and the execution of the requisite agreements, Executive shall be granted (a)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to purchase Ordinary Shares par value NIS 0.10 each of BioLine, in the amount set forth in Exhibit A, and (b) performance stock units in the amount set forth in Exhibit A, all to be granted pursuant to, and in accordance with, the terms and conditions of the share incentive plan adopted by BioLine.</w:t>
      </w:r>
    </w:p>
    <w:p>
      <w:pPr>
        <w:spacing w:after="0" w:line="187" w:lineRule="exact"/>
        <w:rPr>
          <w:rFonts w:ascii="Arial" w:cs="Arial" w:eastAsia="Arial" w:hAnsi="Arial"/>
          <w:sz w:val="15"/>
          <w:szCs w:val="15"/>
          <w:color w:val="auto"/>
        </w:rPr>
      </w:pPr>
    </w:p>
    <w:p>
      <w:pPr>
        <w:jc w:val="both"/>
        <w:ind w:left="283" w:right="20" w:hanging="283"/>
        <w:spacing w:after="0" w:line="284" w:lineRule="auto"/>
        <w:tabs>
          <w:tab w:leader="none" w:pos="283" w:val="left"/>
        </w:tabs>
        <w:numPr>
          <w:ilvl w:val="0"/>
          <w:numId w:val="272"/>
        </w:numPr>
        <w:rPr>
          <w:rFonts w:ascii="Arial" w:cs="Arial" w:eastAsia="Arial" w:hAnsi="Arial"/>
          <w:sz w:val="15"/>
          <w:szCs w:val="15"/>
          <w:color w:val="auto"/>
        </w:rPr>
      </w:pPr>
      <w:r>
        <w:rPr>
          <w:rFonts w:ascii="Arial" w:cs="Arial" w:eastAsia="Arial" w:hAnsi="Arial"/>
          <w:sz w:val="15"/>
          <w:szCs w:val="15"/>
          <w:b w:val="1"/>
          <w:bCs w:val="1"/>
          <w:color w:val="auto"/>
        </w:rPr>
        <w:t xml:space="preserve">Code of Business Conduct and Ethics; Internal Policies. </w:t>
      </w:r>
      <w:r>
        <w:rPr>
          <w:rFonts w:ascii="Arial" w:cs="Arial" w:eastAsia="Arial" w:hAnsi="Arial"/>
          <w:sz w:val="15"/>
          <w:szCs w:val="15"/>
          <w:color w:val="auto"/>
        </w:rPr>
        <w:t>Executive shall at all times comply with the Code of Business Conduct and Ethics attached hereto as</w:t>
      </w:r>
      <w:r>
        <w:rPr>
          <w:rFonts w:ascii="Arial" w:cs="Arial" w:eastAsia="Arial" w:hAnsi="Arial"/>
          <w:sz w:val="15"/>
          <w:szCs w:val="15"/>
          <w:b w:val="1"/>
          <w:bCs w:val="1"/>
          <w:color w:val="auto"/>
        </w:rPr>
        <w:t xml:space="preserve"> Exhibit D</w:t>
      </w:r>
      <w:r>
        <w:rPr>
          <w:rFonts w:ascii="Arial" w:cs="Arial" w:eastAsia="Arial" w:hAnsi="Arial"/>
          <w:sz w:val="15"/>
          <w:szCs w:val="15"/>
          <w:color w:val="auto"/>
        </w:rPr>
        <w:t>, the Policy regarding Securities Trades by Company Personnel attached hereto as</w:t>
      </w:r>
      <w:r>
        <w:rPr>
          <w:rFonts w:ascii="Arial" w:cs="Arial" w:eastAsia="Arial" w:hAnsi="Arial"/>
          <w:sz w:val="15"/>
          <w:szCs w:val="15"/>
          <w:b w:val="1"/>
          <w:bCs w:val="1"/>
          <w:color w:val="auto"/>
        </w:rPr>
        <w:t xml:space="preserve"> Exhibit E</w:t>
      </w:r>
      <w:r>
        <w:rPr>
          <w:rFonts w:ascii="Arial" w:cs="Arial" w:eastAsia="Arial" w:hAnsi="Arial"/>
          <w:sz w:val="15"/>
          <w:szCs w:val="15"/>
          <w:color w:val="auto"/>
        </w:rPr>
        <w:t>, the Company’s Internal Enforcement Policy attached hereto as</w:t>
      </w:r>
      <w:r>
        <w:rPr>
          <w:rFonts w:ascii="Arial" w:cs="Arial" w:eastAsia="Arial" w:hAnsi="Arial"/>
          <w:sz w:val="15"/>
          <w:szCs w:val="15"/>
          <w:b w:val="1"/>
          <w:bCs w:val="1"/>
          <w:color w:val="auto"/>
        </w:rPr>
        <w:t xml:space="preserve"> Exhibit F</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all other internal policies and procedures of BioLine, as shall be updated from time to time. Updates to Exhibits D, E and F, and copies of BioLine’s internal policies and procedures, can be obtained at BioLine’s human resources office. Executive represents that she has read Exhibits D, E and F, will acquaint herself with BioLine’s other internal policies and procedures and agrees to comply with their terms, including any amendments and updates thereto.</w:t>
      </w:r>
    </w:p>
    <w:p>
      <w:pPr>
        <w:spacing w:after="0" w:line="197" w:lineRule="exact"/>
        <w:rPr>
          <w:rFonts w:ascii="Arial" w:cs="Arial" w:eastAsia="Arial" w:hAnsi="Arial"/>
          <w:sz w:val="15"/>
          <w:szCs w:val="15"/>
          <w:color w:val="auto"/>
        </w:rPr>
      </w:pPr>
    </w:p>
    <w:p>
      <w:pPr>
        <w:ind w:left="283" w:hanging="283"/>
        <w:spacing w:after="0"/>
        <w:tabs>
          <w:tab w:leader="none" w:pos="283"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w:t>
      </w:r>
    </w:p>
    <w:p>
      <w:pPr>
        <w:spacing w:after="0" w:line="258" w:lineRule="exact"/>
        <w:rPr>
          <w:sz w:val="20"/>
          <w:szCs w:val="20"/>
          <w:color w:val="auto"/>
        </w:rPr>
      </w:pPr>
    </w:p>
    <w:p>
      <w:pPr>
        <w:jc w:val="both"/>
        <w:ind w:left="663" w:right="20" w:hanging="449"/>
        <w:spacing w:after="0" w:line="294" w:lineRule="auto"/>
        <w:rPr>
          <w:sz w:val="20"/>
          <w:szCs w:val="20"/>
          <w:color w:val="auto"/>
        </w:rPr>
      </w:pPr>
      <w:r>
        <w:rPr>
          <w:rFonts w:ascii="Arial" w:cs="Arial" w:eastAsia="Arial" w:hAnsi="Arial"/>
          <w:sz w:val="15"/>
          <w:szCs w:val="15"/>
          <w:color w:val="auto"/>
        </w:rPr>
        <w:t>12.1. The laws of the State of Israel shall apply to this Agreement and the sole and exclusive place of jurisdiction in any matter arising out of or in connection with this Agreement shall be the Tel Aviv Regional Labor Court. The provisions of this Agreement are in lieu of the provisions of any collective bargaining agreement, and therefore, no collective bargaining agreement shall apply with respect to the relationship between the parties hereto (subject to the applicable provisions of law).</w:t>
      </w:r>
    </w:p>
    <w:p>
      <w:pPr>
        <w:spacing w:after="0" w:line="194" w:lineRule="exact"/>
        <w:rPr>
          <w:sz w:val="20"/>
          <w:szCs w:val="20"/>
          <w:color w:val="auto"/>
        </w:rPr>
      </w:pPr>
    </w:p>
    <w:p>
      <w:pPr>
        <w:jc w:val="both"/>
        <w:ind w:left="663" w:hanging="449"/>
        <w:spacing w:after="0" w:line="260" w:lineRule="auto"/>
        <w:rPr>
          <w:sz w:val="20"/>
          <w:szCs w:val="20"/>
          <w:color w:val="auto"/>
        </w:rPr>
      </w:pPr>
      <w:r>
        <w:rPr>
          <w:rFonts w:ascii="Arial" w:cs="Arial" w:eastAsia="Arial" w:hAnsi="Arial"/>
          <w:sz w:val="16"/>
          <w:szCs w:val="16"/>
          <w:color w:val="auto"/>
        </w:rPr>
        <w:t>12.2. This Agreement constitutes the entire agreement and understanding between the parties with respect to the subject matter hereof, and supersedes all prior written or oral agreements with respect to the subject matter hereof. This Agreement may not be modified except by written instrument signed by a duly authorized representative of each party.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If it shall be determined under any applicable law that a certain provision set forth in this Agreement is invalid or unenforceable, such determination shall not affect the remaining provisions of this Agreement.</w:t>
      </w:r>
    </w:p>
    <w:p>
      <w:pPr>
        <w:spacing w:after="0" w:line="217" w:lineRule="exact"/>
        <w:rPr>
          <w:sz w:val="20"/>
          <w:szCs w:val="20"/>
          <w:color w:val="auto"/>
        </w:rPr>
      </w:pPr>
    </w:p>
    <w:p>
      <w:pPr>
        <w:jc w:val="both"/>
        <w:ind w:left="663" w:right="20" w:hanging="449"/>
        <w:spacing w:after="0" w:line="268" w:lineRule="auto"/>
        <w:rPr>
          <w:sz w:val="20"/>
          <w:szCs w:val="20"/>
          <w:color w:val="auto"/>
        </w:rPr>
      </w:pPr>
      <w:r>
        <w:rPr>
          <w:rFonts w:ascii="Arial" w:cs="Arial" w:eastAsia="Arial" w:hAnsi="Arial"/>
          <w:sz w:val="16"/>
          <w:szCs w:val="16"/>
          <w:color w:val="auto"/>
        </w:rPr>
        <w:t>12.3. This Agreement may be assigned by BioLine. Executive may not assign or delegate her duties under this Agreement without the prior written consent of BioLine. This agreement shall be binding upon the heirs, successors and permitted assignees of Executive. The provisions of this Agreement shall survive the termination of the Employment Period and the assignment of this Agreement by BioLine to any successor or other assignee.</w:t>
      </w:r>
    </w:p>
    <w:p>
      <w:pPr>
        <w:spacing w:after="0" w:line="212" w:lineRule="exact"/>
        <w:rPr>
          <w:sz w:val="20"/>
          <w:szCs w:val="20"/>
          <w:color w:val="auto"/>
        </w:rPr>
      </w:pPr>
    </w:p>
    <w:p>
      <w:pPr>
        <w:ind w:left="223"/>
        <w:spacing w:after="0"/>
        <w:rPr>
          <w:sz w:val="20"/>
          <w:szCs w:val="20"/>
          <w:color w:val="auto"/>
        </w:rPr>
      </w:pPr>
      <w:r>
        <w:rPr>
          <w:rFonts w:ascii="Arial" w:cs="Arial" w:eastAsia="Arial" w:hAnsi="Arial"/>
          <w:sz w:val="15"/>
          <w:szCs w:val="15"/>
          <w:color w:val="auto"/>
        </w:rPr>
        <w:t>12.4.  The parties agree that this Agreement constitutes, among other things, notification in accordance with the Notice to Executives (Employment Terms) Law, 2002.</w:t>
      </w:r>
    </w:p>
    <w:p>
      <w:pPr>
        <w:spacing w:after="0" w:line="200" w:lineRule="exact"/>
        <w:rPr>
          <w:sz w:val="20"/>
          <w:szCs w:val="20"/>
          <w:color w:val="auto"/>
        </w:rPr>
      </w:pPr>
    </w:p>
    <w:p>
      <w:pPr>
        <w:spacing w:after="0" w:line="218"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59955"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72" w:right="219"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color w:val="auto"/>
        </w:rPr>
        <w:t>IN WITNESS WHEREOF, the parties have executed this Agreement as of the date first set forth above.</w:t>
      </w:r>
    </w:p>
    <w:p>
      <w:pPr>
        <w:spacing w:after="0" w:line="273" w:lineRule="exact"/>
        <w:rPr>
          <w:sz w:val="20"/>
          <w:szCs w:val="20"/>
          <w:color w:val="auto"/>
        </w:rPr>
      </w:pPr>
    </w:p>
    <w:p>
      <w:pPr>
        <w:spacing w:after="0"/>
        <w:tabs>
          <w:tab w:leader="none" w:pos="5520" w:val="left"/>
        </w:tabs>
        <w:rPr>
          <w:sz w:val="20"/>
          <w:szCs w:val="20"/>
          <w:color w:val="auto"/>
        </w:rPr>
      </w:pPr>
      <w:r>
        <w:rPr>
          <w:rFonts w:ascii="Arial" w:cs="Arial" w:eastAsia="Arial" w:hAnsi="Arial"/>
          <w:sz w:val="16"/>
          <w:szCs w:val="16"/>
          <w:b w:val="1"/>
          <w:bCs w:val="1"/>
          <w:color w:val="auto"/>
        </w:rPr>
        <w:t>BioLineRx Ltd.</w:t>
      </w:r>
      <w:r>
        <w:rPr>
          <w:sz w:val="20"/>
          <w:szCs w:val="20"/>
          <w:color w:val="auto"/>
        </w:rPr>
        <w:tab/>
      </w:r>
      <w:r>
        <w:rPr>
          <w:rFonts w:ascii="Arial" w:cs="Arial" w:eastAsia="Arial" w:hAnsi="Arial"/>
          <w:sz w:val="15"/>
          <w:szCs w:val="15"/>
          <w:b w:val="1"/>
          <w:bCs w:val="1"/>
          <w:color w:val="auto"/>
        </w:rPr>
        <w:t>Ella Sorani</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-7620</wp:posOffset>
            </wp:positionV>
            <wp:extent cx="103060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30605" cy="762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-7620</wp:posOffset>
            </wp:positionV>
            <wp:extent cx="100457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04570"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-7620</wp:posOffset>
            </wp:positionV>
            <wp:extent cx="87566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75665"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-7620</wp:posOffset>
            </wp:positionV>
            <wp:extent cx="97917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79170" cy="7620"/>
                    </a:xfrm>
                    <a:prstGeom prst="rect">
                      <a:avLst/>
                    </a:prstGeom>
                    <a:noFill/>
                  </pic:spPr>
                </pic:pic>
              </a:graphicData>
            </a:graphic>
          </wp:anchor>
        </w:drawing>
      </w:r>
    </w:p>
    <w:p>
      <w:pPr>
        <w:spacing w:after="0" w:line="393"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314" w:name="page315"/>
    <w:bookmarkEnd w:id="314"/>
    <w:tbl>
      <w:tblPr>
        <w:tblLayout w:type="fixed"/>
        <w:tblInd w:w="1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center"/>
              <w:ind w:right="219"/>
              <w:spacing w:after="0"/>
              <w:rPr>
                <w:sz w:val="20"/>
                <w:szCs w:val="20"/>
                <w:color w:val="auto"/>
              </w:rPr>
            </w:pPr>
            <w:r>
              <w:rPr>
                <w:rFonts w:ascii="Arial" w:cs="Arial" w:eastAsia="Arial" w:hAnsi="Arial"/>
                <w:sz w:val="16"/>
                <w:szCs w:val="16"/>
                <w:b w:val="1"/>
                <w:bCs w:val="1"/>
                <w:color w:val="auto"/>
                <w:w w:val="97"/>
              </w:rPr>
              <w:t>Exhibit A</w:t>
            </w: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660" w:type="dxa"/>
            <w:vAlign w:val="bottom"/>
            <w:gridSpan w:val="4"/>
          </w:tcPr>
          <w:p>
            <w:pPr>
              <w:jc w:val="center"/>
              <w:ind w:right="4719"/>
              <w:spacing w:after="0"/>
              <w:rPr>
                <w:sz w:val="20"/>
                <w:szCs w:val="20"/>
                <w:color w:val="auto"/>
              </w:rPr>
            </w:pPr>
            <w:r>
              <w:rPr>
                <w:rFonts w:ascii="Arial" w:cs="Arial" w:eastAsia="Arial" w:hAnsi="Arial"/>
                <w:sz w:val="16"/>
                <w:szCs w:val="16"/>
                <w:b w:val="1"/>
                <w:bCs w:val="1"/>
                <w:color w:val="auto"/>
                <w:w w:val="91"/>
              </w:rPr>
              <w:t>Particulars of Employment</w:t>
            </w:r>
          </w:p>
        </w:tc>
        <w:tc>
          <w:tcPr>
            <w:tcW w:w="0" w:type="dxa"/>
            <w:vAlign w:val="bottom"/>
          </w:tcPr>
          <w:p>
            <w:pPr>
              <w:spacing w:after="0"/>
              <w:rPr>
                <w:sz w:val="1"/>
                <w:szCs w:val="1"/>
                <w:color w:val="auto"/>
              </w:rPr>
            </w:pPr>
          </w:p>
        </w:tc>
      </w:tr>
      <w:tr>
        <w:trPr>
          <w:trHeight w:val="249"/>
        </w:trPr>
        <w:tc>
          <w:tcPr>
            <w:tcW w:w="1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Name of Executive:</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Ella Sorani</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2.</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ID No. of Executive</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313679219</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3.</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Address of Executive:</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w w:val="93"/>
              </w:rPr>
              <w:t>2 HaKinor Street, Kadima</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4.</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Position in BioLine:</w:t>
            </w:r>
          </w:p>
        </w:tc>
        <w:tc>
          <w:tcPr>
            <w:tcW w:w="66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rPr>
              <w:t>Vice President, Development</w:t>
            </w: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5.</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Commencement Date:</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February 12, 2017</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6.</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Notice Period:</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30 days</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7.</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Base Salary:</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NIS 50,000</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26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6"/>
                <w:szCs w:val="16"/>
                <w:color w:val="auto"/>
              </w:rPr>
              <w:t>8.</w:t>
            </w:r>
          </w:p>
        </w:tc>
        <w:tc>
          <w:tcPr>
            <w:tcW w:w="35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Equity Compensation</w:t>
            </w:r>
          </w:p>
        </w:tc>
        <w:tc>
          <w:tcPr>
            <w:tcW w:w="6660" w:type="dxa"/>
            <w:vAlign w:val="bottom"/>
            <w:tcBorders>
              <w:right w:val="single" w:sz="8" w:color="auto"/>
            </w:tcBorders>
            <w:gridSpan w:val="4"/>
          </w:tcPr>
          <w:p>
            <w:pPr>
              <w:ind w:left="20"/>
              <w:spacing w:after="0"/>
              <w:rPr>
                <w:sz w:val="20"/>
                <w:szCs w:val="20"/>
                <w:color w:val="auto"/>
              </w:rPr>
            </w:pPr>
            <w:r>
              <w:rPr>
                <w:rFonts w:ascii="Arial" w:cs="Arial" w:eastAsia="Arial" w:hAnsi="Arial"/>
                <w:sz w:val="16"/>
                <w:szCs w:val="16"/>
                <w:color w:val="auto"/>
              </w:rPr>
              <w:t>100,000 stock options, subject to Board approval</w:t>
            </w:r>
          </w:p>
        </w:tc>
        <w:tc>
          <w:tcPr>
            <w:tcW w:w="0" w:type="dxa"/>
            <w:vAlign w:val="bottom"/>
          </w:tcPr>
          <w:p>
            <w:pPr>
              <w:spacing w:after="0"/>
              <w:rPr>
                <w:sz w:val="1"/>
                <w:szCs w:val="1"/>
                <w:color w:val="auto"/>
              </w:rPr>
            </w:pPr>
          </w:p>
        </w:tc>
      </w:tr>
      <w:tr>
        <w:trPr>
          <w:trHeight w:val="109"/>
        </w:trPr>
        <w:tc>
          <w:tcPr>
            <w:tcW w:w="1260" w:type="dxa"/>
            <w:vAlign w:val="bottom"/>
            <w:tcBorders>
              <w:left w:val="single" w:sz="8" w:color="auto"/>
              <w:right w:val="single" w:sz="8" w:color="auto"/>
            </w:tcBorders>
            <w:vMerge w:val="continue"/>
          </w:tcPr>
          <w:p>
            <w:pPr>
              <w:spacing w:after="0"/>
              <w:rPr>
                <w:sz w:val="9"/>
                <w:szCs w:val="9"/>
                <w:color w:val="auto"/>
              </w:rPr>
            </w:pPr>
          </w:p>
        </w:tc>
        <w:tc>
          <w:tcPr>
            <w:tcW w:w="3520" w:type="dxa"/>
            <w:vAlign w:val="bottom"/>
            <w:tcBorders>
              <w:right w:val="single" w:sz="8" w:color="auto"/>
            </w:tcBorders>
            <w:vMerge w:val="continue"/>
          </w:tcPr>
          <w:p>
            <w:pPr>
              <w:spacing w:after="0"/>
              <w:rPr>
                <w:sz w:val="9"/>
                <w:szCs w:val="9"/>
                <w:color w:val="auto"/>
              </w:rPr>
            </w:pPr>
          </w:p>
        </w:tc>
        <w:tc>
          <w:tcPr>
            <w:tcW w:w="666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6"/>
                <w:szCs w:val="16"/>
                <w:color w:val="auto"/>
              </w:rPr>
              <w:t>50,000 performance stock units (PSUs), subject to Board approval</w:t>
            </w:r>
          </w:p>
        </w:tc>
        <w:tc>
          <w:tcPr>
            <w:tcW w:w="0" w:type="dxa"/>
            <w:vAlign w:val="bottom"/>
          </w:tcPr>
          <w:p>
            <w:pPr>
              <w:spacing w:after="0"/>
              <w:rPr>
                <w:sz w:val="1"/>
                <w:szCs w:val="1"/>
                <w:color w:val="auto"/>
              </w:rPr>
            </w:pPr>
          </w:p>
        </w:tc>
      </w:tr>
      <w:tr>
        <w:trPr>
          <w:trHeight w:val="97"/>
        </w:trPr>
        <w:tc>
          <w:tcPr>
            <w:tcW w:w="1260" w:type="dxa"/>
            <w:vAlign w:val="bottom"/>
            <w:tcBorders>
              <w:left w:val="single" w:sz="8" w:color="auto"/>
              <w:right w:val="single" w:sz="8" w:color="auto"/>
            </w:tcBorders>
          </w:tcPr>
          <w:p>
            <w:pPr>
              <w:spacing w:after="0"/>
              <w:rPr>
                <w:sz w:val="8"/>
                <w:szCs w:val="8"/>
                <w:color w:val="auto"/>
              </w:rPr>
            </w:pPr>
          </w:p>
        </w:tc>
        <w:tc>
          <w:tcPr>
            <w:tcW w:w="3520" w:type="dxa"/>
            <w:vAlign w:val="bottom"/>
            <w:tcBorders>
              <w:right w:val="single" w:sz="8" w:color="auto"/>
            </w:tcBorders>
          </w:tcPr>
          <w:p>
            <w:pPr>
              <w:spacing w:after="0"/>
              <w:rPr>
                <w:sz w:val="8"/>
                <w:szCs w:val="8"/>
                <w:color w:val="auto"/>
              </w:rPr>
            </w:pPr>
          </w:p>
        </w:tc>
        <w:tc>
          <w:tcPr>
            <w:tcW w:w="666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60" w:type="dxa"/>
            <w:vAlign w:val="bottom"/>
            <w:tcBorders>
              <w:left w:val="single" w:sz="8" w:color="auto"/>
              <w:right w:val="single" w:sz="8" w:color="auto"/>
            </w:tcBorders>
          </w:tcPr>
          <w:p>
            <w:pPr>
              <w:ind w:left="340"/>
              <w:spacing w:after="0" w:line="183" w:lineRule="exact"/>
              <w:rPr>
                <w:sz w:val="20"/>
                <w:szCs w:val="20"/>
                <w:color w:val="auto"/>
              </w:rPr>
            </w:pPr>
            <w:r>
              <w:rPr>
                <w:rFonts w:ascii="Arial" w:cs="Arial" w:eastAsia="Arial" w:hAnsi="Arial"/>
                <w:sz w:val="16"/>
                <w:szCs w:val="16"/>
                <w:color w:val="auto"/>
              </w:rPr>
              <w:t>9.</w:t>
            </w:r>
          </w:p>
        </w:tc>
        <w:tc>
          <w:tcPr>
            <w:tcW w:w="352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16"/>
                <w:szCs w:val="16"/>
                <w:color w:val="auto"/>
              </w:rPr>
              <w:t>Bonus Plan</w:t>
            </w:r>
          </w:p>
        </w:tc>
        <w:tc>
          <w:tcPr>
            <w:tcW w:w="6660" w:type="dxa"/>
            <w:vAlign w:val="bottom"/>
            <w:tcBorders>
              <w:right w:val="single" w:sz="8" w:color="auto"/>
            </w:tcBorders>
            <w:gridSpan w:val="4"/>
          </w:tcPr>
          <w:p>
            <w:pPr>
              <w:ind w:left="20"/>
              <w:spacing w:after="0" w:line="183" w:lineRule="exact"/>
              <w:rPr>
                <w:sz w:val="20"/>
                <w:szCs w:val="20"/>
                <w:color w:val="auto"/>
              </w:rPr>
            </w:pPr>
            <w:r>
              <w:rPr>
                <w:rFonts w:ascii="Arial" w:cs="Arial" w:eastAsia="Arial" w:hAnsi="Arial"/>
                <w:sz w:val="16"/>
                <w:szCs w:val="16"/>
                <w:color w:val="auto"/>
              </w:rPr>
              <w:t>Up to six salaries annually, based on agreed performance criteria</w:t>
            </w:r>
          </w:p>
        </w:tc>
        <w:tc>
          <w:tcPr>
            <w:tcW w:w="0" w:type="dxa"/>
            <w:vAlign w:val="bottom"/>
          </w:tcPr>
          <w:p>
            <w:pPr>
              <w:spacing w:after="0"/>
              <w:rPr>
                <w:sz w:val="1"/>
                <w:szCs w:val="1"/>
                <w:color w:val="auto"/>
              </w:rPr>
            </w:pPr>
          </w:p>
        </w:tc>
      </w:tr>
      <w:tr>
        <w:trPr>
          <w:trHeight w:val="45"/>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35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10.</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Vacation Days Per Year:</w:t>
            </w: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21</w:t>
            </w:r>
          </w:p>
        </w:tc>
        <w:tc>
          <w:tcPr>
            <w:tcW w:w="134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11.</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Manager’s Insurance/Pension Fund</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12.</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Disability Insurance</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13.</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Advanced Study Fund</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14.</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Mobile Phone</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15.</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Computer</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Yes</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16.</w:t>
            </w:r>
          </w:p>
        </w:tc>
        <w:tc>
          <w:tcPr>
            <w:tcW w:w="35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w:t>
            </w:r>
          </w:p>
        </w:tc>
        <w:tc>
          <w:tcPr>
            <w:tcW w:w="1740" w:type="dxa"/>
            <w:vAlign w:val="bottom"/>
            <w:gridSpan w:val="3"/>
          </w:tcPr>
          <w:p>
            <w:pPr>
              <w:ind w:left="20"/>
              <w:spacing w:after="0"/>
              <w:rPr>
                <w:sz w:val="20"/>
                <w:szCs w:val="20"/>
                <w:color w:val="auto"/>
              </w:rPr>
            </w:pPr>
            <w:r>
              <w:rPr>
                <w:rFonts w:ascii="Arial" w:cs="Arial" w:eastAsia="Arial" w:hAnsi="Arial"/>
                <w:sz w:val="16"/>
                <w:szCs w:val="16"/>
                <w:color w:val="auto"/>
                <w:w w:val="91"/>
              </w:rPr>
              <w:t>Yes, senior manager level</w:t>
            </w:r>
          </w:p>
        </w:tc>
        <w:tc>
          <w:tcPr>
            <w:tcW w:w="4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260" w:type="dxa"/>
            <w:vAlign w:val="bottom"/>
          </w:tcPr>
          <w:p>
            <w:pPr>
              <w:spacing w:after="0"/>
              <w:rPr>
                <w:sz w:val="24"/>
                <w:szCs w:val="24"/>
                <w:color w:val="auto"/>
              </w:rPr>
            </w:pPr>
          </w:p>
        </w:tc>
        <w:tc>
          <w:tcPr>
            <w:tcW w:w="3920" w:type="dxa"/>
            <w:vAlign w:val="bottom"/>
            <w:gridSpan w:val="3"/>
          </w:tcPr>
          <w:p>
            <w:pPr>
              <w:ind w:left="1840"/>
              <w:spacing w:after="0"/>
              <w:rPr>
                <w:sz w:val="20"/>
                <w:szCs w:val="20"/>
                <w:color w:val="auto"/>
              </w:rPr>
            </w:pPr>
            <w:r>
              <w:rPr>
                <w:rFonts w:ascii="Arial" w:cs="Arial" w:eastAsia="Arial" w:hAnsi="Arial"/>
                <w:sz w:val="16"/>
                <w:szCs w:val="16"/>
                <w:color w:val="auto"/>
              </w:rPr>
              <w:t>______________________</w:t>
            </w:r>
          </w:p>
        </w:tc>
        <w:tc>
          <w:tcPr>
            <w:tcW w:w="1340" w:type="dxa"/>
            <w:vAlign w:val="bottom"/>
          </w:tcPr>
          <w:p>
            <w:pPr>
              <w:spacing w:after="0"/>
              <w:rPr>
                <w:sz w:val="24"/>
                <w:szCs w:val="24"/>
                <w:color w:val="auto"/>
              </w:rPr>
            </w:pPr>
          </w:p>
        </w:tc>
        <w:tc>
          <w:tcPr>
            <w:tcW w:w="4920" w:type="dxa"/>
            <w:vAlign w:val="bottom"/>
          </w:tcPr>
          <w:p>
            <w:pPr>
              <w:jc w:val="right"/>
              <w:ind w:right="3039"/>
              <w:spacing w:after="0"/>
              <w:rPr>
                <w:sz w:val="20"/>
                <w:szCs w:val="20"/>
                <w:color w:val="auto"/>
              </w:rPr>
            </w:pPr>
            <w:r>
              <w:rPr>
                <w:rFonts w:ascii="Arial" w:cs="Arial" w:eastAsia="Arial" w:hAnsi="Arial"/>
                <w:sz w:val="16"/>
                <w:szCs w:val="16"/>
                <w:color w:val="auto"/>
                <w:w w:val="90"/>
              </w:rPr>
              <w:t>______________________</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7"/>
                <w:szCs w:val="17"/>
                <w:color w:val="auto"/>
              </w:rPr>
            </w:pPr>
          </w:p>
        </w:tc>
        <w:tc>
          <w:tcPr>
            <w:tcW w:w="3520" w:type="dxa"/>
            <w:vAlign w:val="bottom"/>
          </w:tcPr>
          <w:p>
            <w:pPr>
              <w:ind w:left="2460"/>
              <w:spacing w:after="0"/>
              <w:rPr>
                <w:sz w:val="20"/>
                <w:szCs w:val="20"/>
                <w:color w:val="auto"/>
              </w:rPr>
            </w:pPr>
            <w:r>
              <w:rPr>
                <w:rFonts w:ascii="Arial" w:cs="Arial" w:eastAsia="Arial" w:hAnsi="Arial"/>
                <w:sz w:val="16"/>
                <w:szCs w:val="16"/>
                <w:color w:val="auto"/>
              </w:rPr>
              <w:t>BioLine</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920" w:type="dxa"/>
            <w:vAlign w:val="bottom"/>
          </w:tcPr>
          <w:p>
            <w:pPr>
              <w:jc w:val="center"/>
              <w:ind w:right="3019"/>
              <w:spacing w:after="0"/>
              <w:rPr>
                <w:sz w:val="20"/>
                <w:szCs w:val="20"/>
                <w:color w:val="auto"/>
              </w:rPr>
            </w:pPr>
            <w:r>
              <w:rPr>
                <w:rFonts w:ascii="Arial" w:cs="Arial" w:eastAsia="Arial" w:hAnsi="Arial"/>
                <w:sz w:val="16"/>
                <w:szCs w:val="16"/>
                <w:color w:val="auto"/>
                <w:w w:val="95"/>
              </w:rPr>
              <w:t>Executive</w:t>
            </w:r>
          </w:p>
        </w:tc>
        <w:tc>
          <w:tcPr>
            <w:tcW w:w="0" w:type="dxa"/>
            <w:vAlign w:val="bottom"/>
          </w:tcPr>
          <w:p>
            <w:pPr>
              <w:spacing w:after="0"/>
              <w:rPr>
                <w:sz w:val="1"/>
                <w:szCs w:val="1"/>
                <w:color w:val="auto"/>
              </w:rPr>
            </w:pPr>
          </w:p>
        </w:tc>
      </w:tr>
      <w:tr>
        <w:trPr>
          <w:trHeight w:val="597"/>
        </w:trPr>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4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7</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1316" w:right="219" w:bottom="1440" w:gutter="0" w:footer="0" w:header="0"/>
        </w:sectPr>
      </w:pPr>
      <w:r>
        <w:rPr>
          <w:sz w:val="20"/>
          <w:szCs w:val="20"/>
          <w:color w:val="auto"/>
        </w:rPr>
        <w:drawing>
          <wp:anchor simplePos="0" relativeHeight="251657728" behindDoc="1" locked="0" layoutInCell="0" allowOverlap="1">
            <wp:simplePos x="0" y="0"/>
            <wp:positionH relativeFrom="page">
              <wp:posOffset>2454910</wp:posOffset>
            </wp:positionH>
            <wp:positionV relativeFrom="page">
              <wp:posOffset>243205</wp:posOffset>
            </wp:positionV>
            <wp:extent cx="2660015" cy="4483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r>
    </w:p>
    <w:bookmarkStart w:id="315" w:name="page316"/>
    <w:bookmarkEnd w:id="315"/>
    <w:p>
      <w:pPr>
        <w:jc w:val="center"/>
        <w:ind w:right="3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Exhibit B</w:t>
      </w:r>
    </w:p>
    <w:p>
      <w:pPr>
        <w:spacing w:after="0" w:line="254" w:lineRule="exact"/>
        <w:rPr>
          <w:sz w:val="20"/>
          <w:szCs w:val="20"/>
          <w:color w:val="auto"/>
        </w:rPr>
      </w:pPr>
    </w:p>
    <w:p>
      <w:pPr>
        <w:jc w:val="center"/>
        <w:ind w:right="37"/>
        <w:spacing w:after="0"/>
        <w:rPr>
          <w:sz w:val="20"/>
          <w:szCs w:val="20"/>
          <w:color w:val="auto"/>
        </w:rPr>
      </w:pPr>
      <w:r>
        <w:rPr>
          <w:rFonts w:ascii="Arial" w:cs="Arial" w:eastAsia="Arial" w:hAnsi="Arial"/>
          <w:sz w:val="16"/>
          <w:szCs w:val="16"/>
          <w:b w:val="1"/>
          <w:bCs w:val="1"/>
          <w:color w:val="auto"/>
        </w:rPr>
        <w:t>Proprietary Information, Confidentiality and Non-Competition Agreement</w:t>
      </w:r>
    </w:p>
    <w:p>
      <w:pPr>
        <w:spacing w:after="0" w:line="254" w:lineRule="exact"/>
        <w:rPr>
          <w:sz w:val="20"/>
          <w:szCs w:val="20"/>
          <w:color w:val="auto"/>
        </w:rPr>
      </w:pPr>
    </w:p>
    <w:p>
      <w:pPr>
        <w:ind w:left="283" w:hanging="283"/>
        <w:spacing w:after="0"/>
        <w:tabs>
          <w:tab w:leader="none" w:pos="283" w:val="left"/>
        </w:tabs>
        <w:numPr>
          <w:ilvl w:val="0"/>
          <w:numId w:val="273"/>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643" w:right="20" w:hanging="341"/>
        <w:spacing w:after="0" w:line="324" w:lineRule="auto"/>
        <w:rPr>
          <w:rFonts w:ascii="Arial" w:cs="Arial" w:eastAsia="Arial" w:hAnsi="Arial"/>
          <w:sz w:val="16"/>
          <w:szCs w:val="16"/>
          <w:color w:val="auto"/>
        </w:rPr>
      </w:pPr>
      <w:r>
        <w:rPr>
          <w:rFonts w:ascii="Arial" w:cs="Arial" w:eastAsia="Arial" w:hAnsi="Arial"/>
          <w:sz w:val="15"/>
          <w:szCs w:val="15"/>
          <w:color w:val="auto"/>
        </w:rPr>
        <w:t>1.1. All capitalized terms herein shall have the meanings ascribed to them in the Employment Agreement to which this Exhibit B is attached (the “</w:t>
      </w:r>
      <w:r>
        <w:rPr>
          <w:rFonts w:ascii="Arial" w:cs="Arial" w:eastAsia="Arial" w:hAnsi="Arial"/>
          <w:sz w:val="15"/>
          <w:szCs w:val="15"/>
          <w:b w:val="1"/>
          <w:bCs w:val="1"/>
          <w:color w:val="auto"/>
        </w:rPr>
        <w:t>Employment</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For purposes of any undertaking of Executive toward BioLine, the term BioLine shall include all subsidiaries and affiliates of BioLine.</w:t>
      </w:r>
    </w:p>
    <w:p>
      <w:pPr>
        <w:spacing w:after="0" w:line="167" w:lineRule="exact"/>
        <w:rPr>
          <w:rFonts w:ascii="Arial" w:cs="Arial" w:eastAsia="Arial" w:hAnsi="Arial"/>
          <w:sz w:val="16"/>
          <w:szCs w:val="16"/>
          <w:color w:val="auto"/>
        </w:rPr>
      </w:pPr>
    </w:p>
    <w:p>
      <w:pPr>
        <w:ind w:left="643" w:hanging="341"/>
        <w:spacing w:after="0" w:line="271" w:lineRule="auto"/>
        <w:rPr>
          <w:rFonts w:ascii="Arial" w:cs="Arial" w:eastAsia="Arial" w:hAnsi="Arial"/>
          <w:sz w:val="16"/>
          <w:szCs w:val="16"/>
          <w:color w:val="auto"/>
        </w:rPr>
      </w:pPr>
      <w:r>
        <w:rPr>
          <w:rFonts w:ascii="Arial" w:cs="Arial" w:eastAsia="Arial" w:hAnsi="Arial"/>
          <w:sz w:val="16"/>
          <w:szCs w:val="16"/>
          <w:color w:val="auto"/>
        </w:rPr>
        <w:t>1.2. Executive’s obligations and representations and BioLine’s rights under this Exhibit B (this “</w:t>
      </w:r>
      <w:r>
        <w:rPr>
          <w:rFonts w:ascii="Arial" w:cs="Arial" w:eastAsia="Arial" w:hAnsi="Arial"/>
          <w:sz w:val="16"/>
          <w:szCs w:val="16"/>
          <w:b w:val="1"/>
          <w:bCs w:val="1"/>
          <w:color w:val="auto"/>
        </w:rPr>
        <w:t>Agreement</w:t>
      </w:r>
      <w:r>
        <w:rPr>
          <w:rFonts w:ascii="Arial" w:cs="Arial" w:eastAsia="Arial" w:hAnsi="Arial"/>
          <w:sz w:val="16"/>
          <w:szCs w:val="16"/>
          <w:color w:val="auto"/>
        </w:rPr>
        <w:t>”) shall apply as of the Commencement Date of the employment relationship between BioLine and Executive, and as of the first time in which Executive became engaged with BioLine, regardless of the date of execution of the Employment Agreement.</w:t>
      </w:r>
    </w:p>
    <w:p>
      <w:pPr>
        <w:spacing w:after="0" w:line="208"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5"/>
          <w:szCs w:val="15"/>
          <w:color w:val="auto"/>
        </w:rPr>
        <w:t>1.3. Executive’s undertakings hereunder shall remain in full force and effect after termination of this Agreement or the Employment Agreement, or any renewal thereof.</w:t>
      </w:r>
    </w:p>
    <w:p>
      <w:pPr>
        <w:spacing w:after="0" w:line="265" w:lineRule="exact"/>
        <w:rPr>
          <w:rFonts w:ascii="Arial" w:cs="Arial" w:eastAsia="Arial" w:hAnsi="Arial"/>
          <w:sz w:val="16"/>
          <w:szCs w:val="16"/>
          <w:color w:val="auto"/>
        </w:rPr>
      </w:pPr>
    </w:p>
    <w:p>
      <w:pPr>
        <w:jc w:val="both"/>
        <w:ind w:left="283" w:hanging="283"/>
        <w:spacing w:after="0" w:line="275" w:lineRule="auto"/>
        <w:tabs>
          <w:tab w:leader="none" w:pos="283" w:val="left"/>
        </w:tabs>
        <w:numPr>
          <w:ilvl w:val="0"/>
          <w:numId w:val="273"/>
        </w:numPr>
        <w:rPr>
          <w:rFonts w:ascii="Arial" w:cs="Arial" w:eastAsia="Arial" w:hAnsi="Arial"/>
          <w:sz w:val="15"/>
          <w:szCs w:val="15"/>
          <w:color w:val="auto"/>
        </w:rPr>
      </w:pPr>
      <w:r>
        <w:rPr>
          <w:rFonts w:ascii="Arial" w:cs="Arial" w:eastAsia="Arial" w:hAnsi="Arial"/>
          <w:sz w:val="15"/>
          <w:szCs w:val="15"/>
          <w:color w:val="auto"/>
        </w:rPr>
        <w:t>Executive acknowledges that he/she has received or may receive information of a confidential and proprietary nature regarding the activities and business of BioLine, its subsidiaries or affiliates, all whether in oral, written, graphic, or machine-readable form, or in any other form, including, but not limited to, (i) patents and patent applications and related information, (ii) trade secrets and industrial secrets, and (iii) drugs, compounds, molecules, building blocks, chemical libraries, reaction protocols for chemical libraries, chemical structures, chemical design and model relationship data, chemical databases, assays, samples, media and other biological materials, procedures and formulations for producing any such materials, products, processes, ideas, know-how, trade secrets, drawings, inventions, improvements, formulas, equations, methods, developmental or experimental work, research or clinical data, discoveries, developments, designs, techniques, instruments, devices, computer software and hardware related to the current, future or proposed products and services, and including, without limitation, information regarding research, development, new service offerings or products, marketing and selling, business plans, forecasts, business methods, budgets, finances, licensing, collaboration and development arrangements, prices and costs, buying habits and practices, contact and mailing lists and databases, vendors, customers and clients, and potential business opportunities, and personnel (collectively,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Confidential Information may also include information furnished to BioLine by third parties, which, for purposes of this Agreement, shall all be deemed Confidential Information of BioLine. Notwithstanding the aforesaid, information that is in the public domain, through no act or omission of Executive shall not be deemed Confidential Information. The Confidential Information and all right, title and interest therein will remain at all times the exclusive property of BioLine (or any third party entrusting its own Confidential Information to BioLine).</w:t>
      </w:r>
    </w:p>
    <w:p>
      <w:pPr>
        <w:spacing w:after="0" w:line="206" w:lineRule="exact"/>
        <w:rPr>
          <w:rFonts w:ascii="Arial" w:cs="Arial" w:eastAsia="Arial" w:hAnsi="Arial"/>
          <w:sz w:val="15"/>
          <w:szCs w:val="15"/>
          <w:color w:val="auto"/>
        </w:rPr>
      </w:pPr>
    </w:p>
    <w:p>
      <w:pPr>
        <w:jc w:val="both"/>
        <w:ind w:left="283" w:right="20" w:hanging="283"/>
        <w:spacing w:after="0" w:line="268" w:lineRule="auto"/>
        <w:tabs>
          <w:tab w:leader="none" w:pos="28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At all times during the Employment Period and thereafter, Executive will hold all Confidential Information in strictest confidence and will not disclose, use, or make any copies thereof, unless required to by law or injunction. Executive hereby assigns to BioLine any rights that Executive may have or acquire in such Confidential Information and recognize that all Confidential Information shall be the sole property of BioLine and its assigns or licensors, as applicable.</w:t>
      </w:r>
    </w:p>
    <w:p>
      <w:pPr>
        <w:spacing w:after="0" w:line="211" w:lineRule="exact"/>
        <w:rPr>
          <w:rFonts w:ascii="Arial" w:cs="Arial" w:eastAsia="Arial" w:hAnsi="Arial"/>
          <w:sz w:val="16"/>
          <w:szCs w:val="16"/>
          <w:color w:val="auto"/>
        </w:rPr>
      </w:pPr>
    </w:p>
    <w:p>
      <w:pPr>
        <w:jc w:val="both"/>
        <w:ind w:left="283" w:right="20" w:hanging="283"/>
        <w:spacing w:after="0" w:line="275" w:lineRule="auto"/>
        <w:tabs>
          <w:tab w:leader="none" w:pos="283" w:val="left"/>
        </w:tabs>
        <w:numPr>
          <w:ilvl w:val="0"/>
          <w:numId w:val="273"/>
        </w:numPr>
        <w:rPr>
          <w:rFonts w:ascii="Arial" w:cs="Arial" w:eastAsia="Arial" w:hAnsi="Arial"/>
          <w:sz w:val="15"/>
          <w:szCs w:val="15"/>
          <w:color w:val="auto"/>
        </w:rPr>
      </w:pPr>
      <w:r>
        <w:rPr>
          <w:rFonts w:ascii="Arial" w:cs="Arial" w:eastAsia="Arial" w:hAnsi="Arial"/>
          <w:sz w:val="15"/>
          <w:szCs w:val="15"/>
          <w:color w:val="auto"/>
        </w:rPr>
        <w:t>Executive represents that he/she has assigned to BioLine all inventions, original works of authorship, developments, improvements, and trade secrets which were conceived, developed, made or reduced to practice by Executive prior to the date of the this Agreement or the Commencement Date, whichever is earlier (collectively referred to as “</w:t>
      </w:r>
      <w:r>
        <w:rPr>
          <w:rFonts w:ascii="Arial" w:cs="Arial" w:eastAsia="Arial" w:hAnsi="Arial"/>
          <w:sz w:val="15"/>
          <w:szCs w:val="15"/>
          <w:b w:val="1"/>
          <w:bCs w:val="1"/>
          <w:color w:val="auto"/>
        </w:rPr>
        <w:t>Prior Inventions</w:t>
      </w:r>
      <w:r>
        <w:rPr>
          <w:rFonts w:ascii="Arial" w:cs="Arial" w:eastAsia="Arial" w:hAnsi="Arial"/>
          <w:sz w:val="15"/>
          <w:szCs w:val="15"/>
          <w:color w:val="auto"/>
        </w:rPr>
        <w:t>”), in which Executive has or purports to have any ownership interest in or a license to use, and which relate to BioLine’s current or proposed business, products or research and development. Notwithstanding the foregoing, this Agreement will not be deemed to require assignment of any invention which was developed entirely on Executive’s own time without using BioLine’s equipment, supplies, facilities, or Proprietary Information and which is not related to the BioLine’s actual business, research or development. In addition, the Agreement will not apply with respect to inventions, if any, that were reduced to practice, made or conceived by Executive not in connection with Executive’s relationship with BioLine and have been fully disclosed to BioLine prior to Executive’s engagement with BioLine (“</w:t>
      </w:r>
      <w:r>
        <w:rPr>
          <w:rFonts w:ascii="Arial" w:cs="Arial" w:eastAsia="Arial" w:hAnsi="Arial"/>
          <w:sz w:val="15"/>
          <w:szCs w:val="15"/>
          <w:b w:val="1"/>
          <w:bCs w:val="1"/>
          <w:color w:val="auto"/>
        </w:rPr>
        <w:t>Excluded Inventions</w:t>
      </w:r>
      <w:r>
        <w:rPr>
          <w:rFonts w:ascii="Arial" w:cs="Arial" w:eastAsia="Arial" w:hAnsi="Arial"/>
          <w:sz w:val="15"/>
          <w:szCs w:val="15"/>
          <w:color w:val="auto"/>
        </w:rPr>
        <w:t xml:space="preserve">”). All Excluded Inventions existing as of the date hereof are listed in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hereto. If, in the course of Executive’s employment, Executive incorporates an Excluded Invention into a product, process or machine of BioLine, BioLine is hereby granted and shall have a nonexclusive, royalty-free, irrevocable, perpetual, worldwide license (with rights to sublicense through multiple tiers of sublicenses) to make, have made, modify, use and sell such Excluded Invention. Notwithstanding the foregoing, Executive agrees that: (i) Executive will not incorporate, or permit to be incorporated, Excluded Inventions in any Inventions of BioLine without the BioLine’s prior written consent, (ii) Executive’s failure to obtain such prior consent shall not affect the grant of the license relating to the Excluded Inventions as specified in this Section 4.</w:t>
      </w:r>
    </w:p>
    <w:p>
      <w:pPr>
        <w:spacing w:after="0" w:line="36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24" w:right="219" w:bottom="1440" w:gutter="0" w:footer="0" w:header="0"/>
        </w:sectPr>
      </w:pPr>
    </w:p>
    <w:bookmarkStart w:id="316" w:name="page317"/>
    <w:bookmarkEnd w:id="316"/>
    <w:p>
      <w:pPr>
        <w:jc w:val="both"/>
        <w:ind w:left="283" w:hanging="283"/>
        <w:spacing w:after="0" w:line="260" w:lineRule="auto"/>
        <w:tabs>
          <w:tab w:leader="none" w:pos="283" w:val="left"/>
        </w:tabs>
        <w:numPr>
          <w:ilvl w:val="0"/>
          <w:numId w:val="2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Executive will promptly disclose and describe to BioLine all inventions, improvements, designs, concepts, techniques, methods, processes, know how, and trade secrets, whether or not patentable, copyrightable or protectable as trade secrets that are made, developed, conceived or first reduced to practice or created by Executive, whether alone or jointly with others, during Executive’s employment with BioLine (i) which relate to BioLine’s business or actual or demonstrably anticipated research or development, (ii) which are developed in whole or in part on BioLine’s time or with the use of any of BioLine’s Confidential Information or other information, equipment, supplies, facilities or trade secret information, or (iii) which result directly or indirectly from any work performed by Executive for BioLine (the “</w:t>
      </w:r>
      <w:r>
        <w:rPr>
          <w:rFonts w:ascii="Arial" w:cs="Arial" w:eastAsia="Arial" w:hAnsi="Arial"/>
          <w:sz w:val="16"/>
          <w:szCs w:val="16"/>
          <w:b w:val="1"/>
          <w:bCs w:val="1"/>
          <w:color w:val="auto"/>
        </w:rPr>
        <w:t>Inventions</w:t>
      </w:r>
      <w:r>
        <w:rPr>
          <w:rFonts w:ascii="Arial" w:cs="Arial" w:eastAsia="Arial" w:hAnsi="Arial"/>
          <w:sz w:val="16"/>
          <w:szCs w:val="16"/>
          <w:color w:val="auto"/>
        </w:rPr>
        <w:t>,” and each an “</w:t>
      </w:r>
      <w:r>
        <w:rPr>
          <w:rFonts w:ascii="Arial" w:cs="Arial" w:eastAsia="Arial" w:hAnsi="Arial"/>
          <w:sz w:val="16"/>
          <w:szCs w:val="16"/>
          <w:b w:val="1"/>
          <w:bCs w:val="1"/>
          <w:color w:val="auto"/>
        </w:rPr>
        <w:t>Invention</w:t>
      </w:r>
      <w:r>
        <w:rPr>
          <w:rFonts w:ascii="Arial" w:cs="Arial" w:eastAsia="Arial" w:hAnsi="Arial"/>
          <w:sz w:val="16"/>
          <w:szCs w:val="16"/>
          <w:color w:val="auto"/>
        </w:rPr>
        <w:t>”).</w:t>
      </w:r>
    </w:p>
    <w:p>
      <w:pPr>
        <w:spacing w:after="0" w:line="216" w:lineRule="exact"/>
        <w:rPr>
          <w:rFonts w:ascii="Arial" w:cs="Arial" w:eastAsia="Arial" w:hAnsi="Arial"/>
          <w:sz w:val="16"/>
          <w:szCs w:val="16"/>
          <w:color w:val="auto"/>
        </w:rPr>
      </w:pPr>
    </w:p>
    <w:p>
      <w:pPr>
        <w:jc w:val="both"/>
        <w:ind w:left="283" w:right="20" w:hanging="283"/>
        <w:spacing w:after="0" w:line="277" w:lineRule="auto"/>
        <w:tabs>
          <w:tab w:leader="none" w:pos="283" w:val="left"/>
        </w:tabs>
        <w:numPr>
          <w:ilvl w:val="0"/>
          <w:numId w:val="274"/>
        </w:numPr>
        <w:rPr>
          <w:rFonts w:ascii="Arial" w:cs="Arial" w:eastAsia="Arial" w:hAnsi="Arial"/>
          <w:sz w:val="15"/>
          <w:szCs w:val="15"/>
          <w:color w:val="auto"/>
        </w:rPr>
      </w:pPr>
      <w:r>
        <w:rPr>
          <w:rFonts w:ascii="Arial" w:cs="Arial" w:eastAsia="Arial" w:hAnsi="Arial"/>
          <w:sz w:val="15"/>
          <w:szCs w:val="15"/>
          <w:color w:val="auto"/>
        </w:rPr>
        <w:t>Executive hereby assigns and agrees to assign in the future (when any such Inventions or Proprietary Rights (defined below) are first reduced to practice or first fixed in a tangible medium, as applicable) to BioLine or its designee(s) all of Executive’s right, title and interest in and to any and all Inventions (and all Proprietary Rights with respect thereto) whether or not patentable or registrable under copyright or similar statutes. Executive further specifically assigns to BioLine all original works of authorship, including any related moral rights, which are made by Executive (solely or jointly with others) during the Employment Period which are protectable by copyright pursuant to applicable copyright law. Executive also agrees to assign all of her right, title and interest in and to any particular Invention to any third party, including without limitation government agency, as directed by BioLine. Executive hereby waives and irrevocably quitclaims to BioLine any and all claims, of any nature whatsoever, that Executive now has or may hereafter have for infringement of any and all rights in Inventions and Proprietary Rights. To the extent any moral rights cannot be assigned under applicable law and to the extent the following is allowed by the laws in the various countries where moral rights exist, Executive hereby waives such moral rights and consent to any action of BioLine that would violate such moral rights in the absence of such consent.</w:t>
      </w:r>
    </w:p>
    <w:p>
      <w:pPr>
        <w:spacing w:after="0" w:line="201" w:lineRule="exact"/>
        <w:rPr>
          <w:rFonts w:ascii="Arial" w:cs="Arial" w:eastAsia="Arial" w:hAnsi="Arial"/>
          <w:sz w:val="15"/>
          <w:szCs w:val="15"/>
          <w:color w:val="auto"/>
        </w:rPr>
      </w:pPr>
    </w:p>
    <w:p>
      <w:pPr>
        <w:jc w:val="both"/>
        <w:ind w:left="283" w:right="40"/>
        <w:spacing w:after="0" w:line="265" w:lineRule="auto"/>
        <w:rPr>
          <w:rFonts w:ascii="Arial" w:cs="Arial" w:eastAsia="Arial" w:hAnsi="Arial"/>
          <w:sz w:val="15"/>
          <w:szCs w:val="15"/>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Proprietary Rights</w:t>
      </w:r>
      <w:r>
        <w:rPr>
          <w:rFonts w:ascii="Arial" w:cs="Arial" w:eastAsia="Arial" w:hAnsi="Arial"/>
          <w:sz w:val="16"/>
          <w:szCs w:val="16"/>
          <w:color w:val="auto"/>
        </w:rPr>
        <w:t>” shall mean: (i) patents, whether in the form of utility patents or design patents and all pending applications for such patents; (ii) trademarks, trade names, service marks, designs, logos, trade dress, and trade styles, whether or not registered, and all pending applications for registration of the same; (iii) copyrights or copyrightable material, including moral rights, including but not limited to books, articles and publications, whether or not registered, and all pending applications for registration of the same; and (iv) all other intellectual property rights throughout the world.</w:t>
      </w:r>
    </w:p>
    <w:p>
      <w:pPr>
        <w:spacing w:after="0" w:line="214" w:lineRule="exact"/>
        <w:rPr>
          <w:rFonts w:ascii="Arial" w:cs="Arial" w:eastAsia="Arial" w:hAnsi="Arial"/>
          <w:sz w:val="15"/>
          <w:szCs w:val="15"/>
          <w:color w:val="auto"/>
        </w:rPr>
      </w:pPr>
    </w:p>
    <w:p>
      <w:pPr>
        <w:jc w:val="both"/>
        <w:ind w:left="283" w:right="20" w:hanging="283"/>
        <w:spacing w:after="0" w:line="275" w:lineRule="auto"/>
        <w:tabs>
          <w:tab w:leader="none" w:pos="283" w:val="left"/>
        </w:tabs>
        <w:numPr>
          <w:ilvl w:val="0"/>
          <w:numId w:val="274"/>
        </w:numPr>
        <w:rPr>
          <w:rFonts w:ascii="Arial" w:cs="Arial" w:eastAsia="Arial" w:hAnsi="Arial"/>
          <w:sz w:val="15"/>
          <w:szCs w:val="15"/>
          <w:color w:val="auto"/>
        </w:rPr>
      </w:pPr>
      <w:r>
        <w:rPr>
          <w:rFonts w:ascii="Arial" w:cs="Arial" w:eastAsia="Arial" w:hAnsi="Arial"/>
          <w:sz w:val="15"/>
          <w:szCs w:val="15"/>
          <w:color w:val="auto"/>
        </w:rPr>
        <w:t>Executive specifically acknowledges and agrees that Executive’s duties with BioLine will entail the invention and development of new ideas, technologies, products and other confidential and proprietary information, and that the creation of any such intellectual property is an inherent part of Executive’s duties with BioLine. Executive expressly agrees that the consideration paid to Executive pursuant to her Employment Agreement constitutes the sole consideration to which Executive may be entitled to for the assignment of any and all Inventions or Proprietary Rights made, developed, conceived or first reduced to practice or created by Executive (or with her assistance or contribution) including, without limitation, in accordance with Section 134 of the Patent Law, 5727-1967 (the “Patent Law”), and Executive shall not be entitled to receive any additional consideration in this respect whatsoever. Without derogating from the aforesaid, it is hereby clarified that the level of Executive’s compensation and consideration has been established based upon the aforementioned waiver of rights to receive any such additional royalties, consideration or other payments. The above will apply to any “Service Inventions” as defined in the Patent Law. It being clarified that under no circumstances will Executive be deemed to have any Proprietary Right in any Service Invention, notwithstanding the provision or non-provision of any notice of an invention or BioLine’s response to any such notice, under Section 132(b) of the Patent Law. This Agreement is expressly intended to be an agreement with regard to the terms and conditions of consideration for Service Inventions in accordance with Section 134 of the Patent Law.</w:t>
      </w:r>
    </w:p>
    <w:p>
      <w:pPr>
        <w:spacing w:after="0" w:line="37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77" w:right="219" w:bottom="1440" w:gutter="0" w:footer="0" w:header="0"/>
        </w:sectPr>
      </w:pPr>
    </w:p>
    <w:bookmarkStart w:id="317" w:name="page318"/>
    <w:bookmarkEnd w:id="317"/>
    <w:p>
      <w:pPr>
        <w:jc w:val="both"/>
        <w:ind w:left="283" w:hanging="283"/>
        <w:spacing w:after="0" w:line="259" w:lineRule="auto"/>
        <w:tabs>
          <w:tab w:leader="none" w:pos="283" w:val="left"/>
        </w:tabs>
        <w:numPr>
          <w:ilvl w:val="0"/>
          <w:numId w:val="2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Executive will assist BioLine in every proper way to obtain, and from time to time enforce, any Proprietary Rights relating to any Inventions in any and all countries. To that end Executive will execute, verify and deliver such documents and perform such other acts (including appearances as a witness) as BioLine may reasonably request for use in applying for, obtaining, perfecting, evidencing, sustaining and enforcing such Proprietary Rights and the assignment thereof. In addition, Executive will execute, verify and deliver assignments of such Proprietary Rights to BioLine or its designee. Executive’s obligation to assist BioLine with respect to Proprietary Rights relating to any such Inventions in any and all countries shall continue indefinitely beyond termination of the Employment Period for any reason (the “</w:t>
      </w:r>
      <w:r>
        <w:rPr>
          <w:rFonts w:ascii="Arial" w:cs="Arial" w:eastAsia="Arial" w:hAnsi="Arial"/>
          <w:sz w:val="16"/>
          <w:szCs w:val="16"/>
          <w:b w:val="1"/>
          <w:bCs w:val="1"/>
          <w:color w:val="auto"/>
        </w:rPr>
        <w:t>Termination Date</w:t>
      </w:r>
      <w:r>
        <w:rPr>
          <w:rFonts w:ascii="Arial" w:cs="Arial" w:eastAsia="Arial" w:hAnsi="Arial"/>
          <w:sz w:val="16"/>
          <w:szCs w:val="16"/>
          <w:color w:val="auto"/>
        </w:rPr>
        <w:t>”), but BioLine shall compensate Executive at the rate of $350 per hour after the Termination Date for the time actually spent by Executive at BioLine’s request on such assistance.</w:t>
      </w:r>
    </w:p>
    <w:p>
      <w:pPr>
        <w:spacing w:after="0" w:line="217" w:lineRule="exact"/>
        <w:rPr>
          <w:rFonts w:ascii="Arial" w:cs="Arial" w:eastAsia="Arial" w:hAnsi="Arial"/>
          <w:sz w:val="16"/>
          <w:szCs w:val="16"/>
          <w:color w:val="auto"/>
        </w:rPr>
      </w:pPr>
    </w:p>
    <w:p>
      <w:pPr>
        <w:jc w:val="both"/>
        <w:ind w:left="283" w:right="20" w:hanging="283"/>
        <w:spacing w:after="0" w:line="260" w:lineRule="auto"/>
        <w:tabs>
          <w:tab w:leader="none" w:pos="28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If BioLine is unable for any reason, after reasonable effort, to secure Executive’s signature on any document needed in connection with the actions specified in the preceding paragraph, Executive hereby irrevocably designates and appoints BioLine and its duly authorized officers and agents as Executive’s agent and attorney in fact, which appointment is coupled with an interest, to act for and in Executive’s behalf to execute, verify and file any such documents and to do all other lawfully permitted acts to further the purposes of the preceding paragraph with the same legal force and effect as if executed by Executive. Executive hereby waives and holds BioLine harmless from any and all claims, of any nature whatsoever, which Executive now or may hereafter have for infringement of any Proprietary Rights assigned hereunder to BioLine.</w:t>
      </w:r>
    </w:p>
    <w:p>
      <w:pPr>
        <w:spacing w:after="0" w:line="216" w:lineRule="exact"/>
        <w:rPr>
          <w:rFonts w:ascii="Arial" w:cs="Arial" w:eastAsia="Arial" w:hAnsi="Arial"/>
          <w:sz w:val="16"/>
          <w:szCs w:val="16"/>
          <w:color w:val="auto"/>
        </w:rPr>
      </w:pPr>
    </w:p>
    <w:p>
      <w:pPr>
        <w:jc w:val="both"/>
        <w:ind w:left="283" w:hanging="283"/>
        <w:spacing w:after="0" w:line="268" w:lineRule="auto"/>
        <w:tabs>
          <w:tab w:leader="none" w:pos="28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Executive agrees to keep and maintain adequate and current records (in the form of notes, sketches, drawings and in any other form that may be required by BioLine) of all Confidential Information developed by Executive and all Inventions made by Executive during the Employment Period to BioLine, which records shall be available to and remain the sole property of BioLine at all times.</w:t>
      </w:r>
    </w:p>
    <w:p>
      <w:pPr>
        <w:spacing w:after="0" w:line="211" w:lineRule="exact"/>
        <w:rPr>
          <w:rFonts w:ascii="Arial" w:cs="Arial" w:eastAsia="Arial" w:hAnsi="Arial"/>
          <w:sz w:val="16"/>
          <w:szCs w:val="16"/>
          <w:color w:val="auto"/>
        </w:rPr>
      </w:pPr>
    </w:p>
    <w:p>
      <w:pPr>
        <w:jc w:val="both"/>
        <w:ind w:left="283" w:right="20" w:hanging="283"/>
        <w:spacing w:after="0" w:line="263" w:lineRule="auto"/>
        <w:tabs>
          <w:tab w:leader="none" w:pos="28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During the Employment Period, Executive will not improperly use or disclose any confidential information or trade secrets, if any, of any former employer or any other person to whom Executive has an obligation of confidentiality, and Executive will not bring onto the premises of BioLine any unpublished documents or any property belonging to any former employer or any other person to whom Executive has an obligation of confidentiality unless consented to in writing by that former employer or person.</w:t>
      </w:r>
    </w:p>
    <w:p>
      <w:pPr>
        <w:spacing w:after="0" w:line="216" w:lineRule="exact"/>
        <w:rPr>
          <w:rFonts w:ascii="Arial" w:cs="Arial" w:eastAsia="Arial" w:hAnsi="Arial"/>
          <w:sz w:val="16"/>
          <w:szCs w:val="16"/>
          <w:color w:val="auto"/>
        </w:rPr>
      </w:pPr>
    </w:p>
    <w:p>
      <w:pPr>
        <w:jc w:val="both"/>
        <w:ind w:left="283" w:right="20" w:hanging="283"/>
        <w:spacing w:after="0" w:line="268" w:lineRule="auto"/>
        <w:tabs>
          <w:tab w:leader="none" w:pos="28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Upon the earlier of (i) a written request by BioLine; or (ii) the expiration or termination of the employment, Executive shall promptly return to BioLine all Confidential Information, together with any and all copies or excerpts thereof and any and all other information directly or indirectly derived therefrom. Return or destruction of the Confidential Information as required hereunder shall not affect Executive’s remaining obligations pursuant to this Agreement.</w:t>
      </w:r>
    </w:p>
    <w:p>
      <w:pPr>
        <w:spacing w:after="0" w:line="37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76" w:right="219" w:bottom="1440" w:gutter="0" w:footer="0" w:header="0"/>
        </w:sectPr>
      </w:pPr>
    </w:p>
    <w:bookmarkStart w:id="318" w:name="page319"/>
    <w:bookmarkEnd w:id="318"/>
    <w:p>
      <w:pPr>
        <w:ind w:left="283" w:hanging="283"/>
        <w:spacing w:after="0"/>
        <w:tabs>
          <w:tab w:leader="none" w:pos="283"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2454910</wp:posOffset>
            </wp:positionH>
            <wp:positionV relativeFrom="page">
              <wp:posOffset>88900</wp:posOffset>
            </wp:positionV>
            <wp:extent cx="2660015" cy="4483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Non-Competition; Non-Solicitation</w:t>
      </w:r>
      <w:r>
        <w:rPr>
          <w:rFonts w:ascii="Arial" w:cs="Arial" w:eastAsia="Arial" w:hAnsi="Arial"/>
          <w:sz w:val="16"/>
          <w:szCs w:val="16"/>
          <w:color w:val="auto"/>
        </w:rPr>
        <w:t>.</w:t>
      </w:r>
    </w:p>
    <w:p>
      <w:pPr>
        <w:spacing w:after="0" w:line="258" w:lineRule="exact"/>
        <w:rPr>
          <w:sz w:val="20"/>
          <w:szCs w:val="20"/>
          <w:color w:val="auto"/>
        </w:rPr>
      </w:pPr>
    </w:p>
    <w:p>
      <w:pPr>
        <w:jc w:val="both"/>
        <w:ind w:left="663" w:hanging="449"/>
        <w:spacing w:after="0" w:line="275" w:lineRule="auto"/>
        <w:rPr>
          <w:sz w:val="20"/>
          <w:szCs w:val="20"/>
          <w:color w:val="auto"/>
        </w:rPr>
      </w:pPr>
      <w:r>
        <w:rPr>
          <w:rFonts w:ascii="Arial" w:cs="Arial" w:eastAsia="Arial" w:hAnsi="Arial"/>
          <w:sz w:val="15"/>
          <w:szCs w:val="15"/>
          <w:color w:val="auto"/>
        </w:rPr>
        <w:t>13.1. In consideration of Executive’s terms of employment, which include special compensation for Executive’s undertakings under this Section 12, and in order to enable BioLine to effectively protect its Proprietary Information, Executive undertakes that during the Employment Period and for a period of twelve (12) months from the Termination Date, Executive will not directly or indirectly: (i) carry on or hold an interest in any company, venture, entity or other business (including, without limitation, as a shareholder other than a minority interest in a publicly traded company) which directly competes with the products or services of BioLine (a “</w:t>
      </w:r>
      <w:r>
        <w:rPr>
          <w:rFonts w:ascii="Arial" w:cs="Arial" w:eastAsia="Arial" w:hAnsi="Arial"/>
          <w:sz w:val="15"/>
          <w:szCs w:val="15"/>
          <w:b w:val="1"/>
          <w:bCs w:val="1"/>
          <w:color w:val="auto"/>
        </w:rPr>
        <w:t>Competing Business</w:t>
      </w:r>
      <w:r>
        <w:rPr>
          <w:rFonts w:ascii="Arial" w:cs="Arial" w:eastAsia="Arial" w:hAnsi="Arial"/>
          <w:sz w:val="15"/>
          <w:szCs w:val="15"/>
          <w:color w:val="auto"/>
        </w:rPr>
        <w:t>”) ; (ii) act as a consultant, employee or officer or in any managerial capacity in a Competing Business, or supply in direct competition with BioLine services to any person who, to Executive’s knowledge, was provided with services by BioLine any time during the twelve (12) months immediately prior to the Termination Date; (iii) solicit, canvass or approach or endeavor to solicit, canvass or approach any person who, to Executive’s knowledge, was provided with services by BioLine at any time during the twelve (12) months immediately prior to the Termination Date, for the purpose of offering services or products which directly compete with the services or products supplied by BioLine at the Termination Date; or (iv) employ, solicit or entice away or endeavor to solicit or entice away from BioLine any person employed by BioLine any time during the twelve (12) months immediately prior the Termination Date with a view to inducing that person to leave such employment and to act for another employer in the same or a similar capacity.</w:t>
      </w:r>
    </w:p>
    <w:p>
      <w:pPr>
        <w:spacing w:after="0" w:line="212" w:lineRule="exact"/>
        <w:rPr>
          <w:sz w:val="20"/>
          <w:szCs w:val="20"/>
          <w:color w:val="auto"/>
        </w:rPr>
      </w:pPr>
    </w:p>
    <w:p>
      <w:pPr>
        <w:jc w:val="both"/>
        <w:ind w:left="683" w:hanging="449"/>
        <w:spacing w:after="0" w:line="299" w:lineRule="auto"/>
        <w:rPr>
          <w:sz w:val="20"/>
          <w:szCs w:val="20"/>
          <w:color w:val="auto"/>
        </w:rPr>
      </w:pPr>
      <w:r>
        <w:rPr>
          <w:rFonts w:ascii="Arial" w:cs="Arial" w:eastAsia="Arial" w:hAnsi="Arial"/>
          <w:sz w:val="14"/>
          <w:szCs w:val="14"/>
          <w:color w:val="auto"/>
        </w:rPr>
        <w:t>13.2. Insofar as the protective covenants set forth in this Agreement are concerned, Executive specifically acknowledges, stipulates and agrees as follows: (i) the protective covenants are reasonable and necessary to protect the goodwill, property and Proprietary Information of BioLine, and the operations and business of BioLine; and</w:t>
      </w:r>
    </w:p>
    <w:p>
      <w:pPr>
        <w:jc w:val="both"/>
        <w:ind w:left="683" w:hanging="1"/>
        <w:spacing w:after="0" w:line="257" w:lineRule="auto"/>
        <w:tabs>
          <w:tab w:leader="none" w:pos="922"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time duration of the protective covenants is reasonable and necessary to protect the goodwill and the operations and business of BioLine, and does not impose a greater restraint than is necessary to protect the goodwill or other business interests of BioLine. Nevertheless, if any of the restrictions set forth in this Agreement is found by a court having jurisdiction to be unreasonable or overly-broad as to geographic area, scope or time or to be otherwise unenforceable, the parties intend for the restrictions set forth in this Agreement to be reformed, modified and redefined by such court so as to be reasonable and enforceable and, as so modified by such court, to be fully enforced.</w:t>
      </w:r>
    </w:p>
    <w:p>
      <w:pPr>
        <w:spacing w:after="0" w:line="220" w:lineRule="exact"/>
        <w:rPr>
          <w:rFonts w:ascii="Arial" w:cs="Arial" w:eastAsia="Arial" w:hAnsi="Arial"/>
          <w:sz w:val="16"/>
          <w:szCs w:val="16"/>
          <w:color w:val="auto"/>
        </w:rPr>
      </w:pPr>
    </w:p>
    <w:p>
      <w:pPr>
        <w:jc w:val="both"/>
        <w:ind w:left="283" w:right="20" w:hanging="283"/>
        <w:spacing w:after="0" w:line="268" w:lineRule="auto"/>
        <w:tabs>
          <w:tab w:leader="none" w:pos="28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Executive represents that Executive’s performance of all the terms of the Employment Agreement and this Agreement does not and will not breach any agreement to keep in confidence information acquired by Executive in confidence or in trust prior to Executive’s relationship with BioLine. Executive has not entered into, and agrees that he/she will not enter into, any agreement either written or oral in conflict herewith.</w:t>
      </w:r>
    </w:p>
    <w:p>
      <w:pPr>
        <w:spacing w:after="0" w:line="211" w:lineRule="exact"/>
        <w:rPr>
          <w:rFonts w:ascii="Arial" w:cs="Arial" w:eastAsia="Arial" w:hAnsi="Arial"/>
          <w:sz w:val="16"/>
          <w:szCs w:val="16"/>
          <w:color w:val="auto"/>
        </w:rPr>
      </w:pPr>
    </w:p>
    <w:p>
      <w:pPr>
        <w:ind w:left="283" w:right="20" w:hanging="283"/>
        <w:spacing w:after="0" w:line="283" w:lineRule="auto"/>
        <w:tabs>
          <w:tab w:leader="none" w:pos="28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Executive hereby consents that if Executive leaves the employ of BioLine, BioLine may notify any new employer of Executive’s rights and obligations under this Agreement.</w:t>
      </w:r>
    </w:p>
    <w:p>
      <w:pPr>
        <w:spacing w:after="0" w:line="199"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Executive acknowledges that any violation or threatened violation of this Agreement may cause irreparable injury to BioLine, entitling BioLine to seek injunctive relief in addition to all other legal remedies.</w:t>
      </w:r>
    </w:p>
    <w:p>
      <w:pPr>
        <w:spacing w:after="0" w:line="199" w:lineRule="exact"/>
        <w:rPr>
          <w:rFonts w:ascii="Arial" w:cs="Arial" w:eastAsia="Arial" w:hAnsi="Arial"/>
          <w:sz w:val="16"/>
          <w:szCs w:val="16"/>
          <w:color w:val="auto"/>
        </w:rPr>
      </w:pPr>
    </w:p>
    <w:p>
      <w:pPr>
        <w:jc w:val="both"/>
        <w:ind w:left="283" w:right="20" w:hanging="283"/>
        <w:spacing w:after="0" w:line="294" w:lineRule="auto"/>
        <w:tabs>
          <w:tab w:leader="none" w:pos="283" w:val="left"/>
        </w:tabs>
        <w:numPr>
          <w:ilvl w:val="0"/>
          <w:numId w:val="278"/>
        </w:numPr>
        <w:rPr>
          <w:rFonts w:ascii="Arial" w:cs="Arial" w:eastAsia="Arial" w:hAnsi="Arial"/>
          <w:sz w:val="15"/>
          <w:szCs w:val="15"/>
          <w:color w:val="auto"/>
        </w:rPr>
      </w:pPr>
      <w:r>
        <w:rPr>
          <w:rFonts w:ascii="Arial" w:cs="Arial" w:eastAsia="Arial" w:hAnsi="Arial"/>
          <w:sz w:val="15"/>
          <w:szCs w:val="15"/>
          <w:color w:val="auto"/>
        </w:rPr>
        <w:t>Executive recognizes and agrees that: (i) this Agreement is necessary and essential to protect the business of BioLine and to realize and derive all the benefits, rights and expectations of conducting BioLine’s business; (ii) the area and duration of the protective covenants contained herein are in all things reasonable; and (iii) good and valuable consideration exists under the Employment Agreement, for Executive’s agreement to be bound by the provisions of this Agreement.</w:t>
      </w:r>
    </w:p>
    <w:p>
      <w:pPr>
        <w:spacing w:after="0" w:line="194" w:lineRule="exact"/>
        <w:rPr>
          <w:rFonts w:ascii="Arial" w:cs="Arial" w:eastAsia="Arial" w:hAnsi="Arial"/>
          <w:sz w:val="15"/>
          <w:szCs w:val="15"/>
          <w:color w:val="auto"/>
        </w:rPr>
      </w:pPr>
    </w:p>
    <w:p>
      <w:pPr>
        <w:ind w:left="283" w:hanging="283"/>
        <w:spacing w:after="0"/>
        <w:tabs>
          <w:tab w:leader="none" w:pos="28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terms of paragraphs 13.1 through 13.3 of the Employment Agreement shall apply to this Agreement.</w:t>
      </w:r>
    </w:p>
    <w:p>
      <w:pPr>
        <w:spacing w:after="0" w:line="200" w:lineRule="exact"/>
        <w:rPr>
          <w:sz w:val="20"/>
          <w:szCs w:val="20"/>
          <w:color w:val="auto"/>
        </w:rPr>
      </w:pP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59955"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1072" w:right="219" w:bottom="1440" w:gutter="0" w:footer="0" w:header="0"/>
        </w:sectPr>
      </w:pPr>
    </w:p>
    <w:bookmarkStart w:id="319" w:name="page320"/>
    <w:bookmarkEnd w:id="319"/>
    <w:p>
      <w:pPr>
        <w:ind w:left="283" w:hanging="283"/>
        <w:spacing w:after="0" w:line="283" w:lineRule="auto"/>
        <w:tabs>
          <w:tab w:leader="none" w:pos="28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EMPLOYEE ACKNOWLEDGES THAT HE/SHE HAS READ THIS AGREEMENT CAREFULLY, UNDERSTANDS ITS TERMS AND HAS BEEN GIVEN THE OPPORTUNITY TO DISCUSS IT WITH INDEPENDENT LEGAL COUNSEL.</w:t>
      </w:r>
    </w:p>
    <w:p>
      <w:pPr>
        <w:spacing w:after="0" w:line="195"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Schedule 1 to Exhibit B</w:t>
      </w:r>
    </w:p>
    <w:p>
      <w:pPr>
        <w:spacing w:after="0" w:line="254"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LIST OF PRIOR INVENTIONS</w:t>
      </w:r>
    </w:p>
    <w:p>
      <w:pPr>
        <w:spacing w:after="0" w:line="27"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AND EXCLUDED INVENTIONS</w:t>
      </w:r>
    </w:p>
    <w:p>
      <w:pPr>
        <w:spacing w:after="0" w:line="11"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(SECTION 4)</w:t>
      </w:r>
    </w:p>
    <w:p>
      <w:pPr>
        <w:spacing w:after="0" w:line="24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None</w:t>
      </w: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320" w:name="page321"/>
    <w:bookmarkEnd w:id="320"/>
    <w:p>
      <w:pPr>
        <w:jc w:val="center"/>
        <w:ind w:righ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2454910</wp:posOffset>
            </wp:positionH>
            <wp:positionV relativeFrom="page">
              <wp:posOffset>243840</wp:posOffset>
            </wp:positionV>
            <wp:extent cx="2660015" cy="4483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2660015" cy="448310"/>
                    </a:xfrm>
                    <a:prstGeom prst="rect">
                      <a:avLst/>
                    </a:prstGeom>
                    <a:noFill/>
                  </pic:spPr>
                </pic:pic>
              </a:graphicData>
            </a:graphic>
          </wp:anchor>
        </w:drawing>
        <w:t>Exhibit C</w:t>
      </w:r>
    </w:p>
    <w:p>
      <w:pPr>
        <w:spacing w:after="0" w:line="25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General Approval Regarding Payments by Employers to a Pension Fund and Insurance Fund in</w:t>
      </w:r>
    </w:p>
    <w:p>
      <w:pPr>
        <w:spacing w:after="0" w:line="2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lieu of Severance Pay under the Severance Pay Law 5723-1963</w:t>
      </w:r>
    </w:p>
    <w:p>
      <w:pPr>
        <w:spacing w:after="0" w:line="239" w:lineRule="exact"/>
        <w:rPr>
          <w:sz w:val="20"/>
          <w:szCs w:val="20"/>
          <w:color w:val="auto"/>
        </w:rPr>
      </w:pPr>
    </w:p>
    <w:p>
      <w:pPr>
        <w:jc w:val="both"/>
        <w:ind w:left="3"/>
        <w:spacing w:after="0" w:line="259" w:lineRule="auto"/>
        <w:rPr>
          <w:sz w:val="20"/>
          <w:szCs w:val="20"/>
          <w:color w:val="auto"/>
        </w:rPr>
      </w:pPr>
      <w:r>
        <w:rPr>
          <w:rFonts w:ascii="Arial" w:cs="Arial" w:eastAsia="Arial" w:hAnsi="Arial"/>
          <w:sz w:val="16"/>
          <w:szCs w:val="16"/>
          <w:color w:val="auto"/>
        </w:rPr>
        <w:t>By virtue of my power under Section 14 of the Severance Pay Law, 5723-1963 (hereinafter: the “</w:t>
      </w:r>
      <w:r>
        <w:rPr>
          <w:rFonts w:ascii="Arial" w:cs="Arial" w:eastAsia="Arial" w:hAnsi="Arial"/>
          <w:sz w:val="16"/>
          <w:szCs w:val="16"/>
          <w:b w:val="1"/>
          <w:bCs w:val="1"/>
          <w:color w:val="auto"/>
        </w:rPr>
        <w:t>Law</w:t>
      </w:r>
      <w:r>
        <w:rPr>
          <w:rFonts w:ascii="Arial" w:cs="Arial" w:eastAsia="Arial" w:hAnsi="Arial"/>
          <w:sz w:val="16"/>
          <w:szCs w:val="16"/>
          <w:color w:val="auto"/>
        </w:rPr>
        <w:t>”), I certify that payments made by an employer commencing from the date of the publication of this approval for the sake of his employee to a comprehensive pension provident fund that is not an insurance fund within the meaning set forth in the Income Tax Regulations (Rules for the Approval and Conduct of Provident Funds), 5724-1964 (hereinafter: the “</w:t>
      </w:r>
      <w:r>
        <w:rPr>
          <w:rFonts w:ascii="Arial" w:cs="Arial" w:eastAsia="Arial" w:hAnsi="Arial"/>
          <w:sz w:val="16"/>
          <w:szCs w:val="16"/>
          <w:b w:val="1"/>
          <w:bCs w:val="1"/>
          <w:color w:val="auto"/>
        </w:rPr>
        <w:t>Pension Fund</w:t>
      </w:r>
      <w:r>
        <w:rPr>
          <w:rFonts w:ascii="Arial" w:cs="Arial" w:eastAsia="Arial" w:hAnsi="Arial"/>
          <w:sz w:val="16"/>
          <w:szCs w:val="16"/>
          <w:color w:val="auto"/>
        </w:rPr>
        <w:t>”) or to managers’ insurance which includes the possibility to receive annuity payments under an insurance fund as aforesaid, (hereinafter: the “</w:t>
      </w:r>
      <w:r>
        <w:rPr>
          <w:rFonts w:ascii="Arial" w:cs="Arial" w:eastAsia="Arial" w:hAnsi="Arial"/>
          <w:sz w:val="16"/>
          <w:szCs w:val="16"/>
          <w:b w:val="1"/>
          <w:bCs w:val="1"/>
          <w:color w:val="auto"/>
        </w:rPr>
        <w:t>Insurance Fund</w:t>
      </w:r>
      <w:r>
        <w:rPr>
          <w:rFonts w:ascii="Arial" w:cs="Arial" w:eastAsia="Arial" w:hAnsi="Arial"/>
          <w:sz w:val="16"/>
          <w:szCs w:val="16"/>
          <w:color w:val="auto"/>
        </w:rPr>
        <w:t>”), including payments made by the employer by a combination of payments to a Pension Fund and an Insurance Fund (hereinafter: “</w:t>
      </w:r>
      <w:r>
        <w:rPr>
          <w:rFonts w:ascii="Arial" w:cs="Arial" w:eastAsia="Arial" w:hAnsi="Arial"/>
          <w:sz w:val="16"/>
          <w:szCs w:val="16"/>
          <w:b w:val="1"/>
          <w:bCs w:val="1"/>
          <w:color w:val="auto"/>
        </w:rPr>
        <w:t>Employer’s Payments</w:t>
      </w:r>
      <w:r>
        <w:rPr>
          <w:rFonts w:ascii="Arial" w:cs="Arial" w:eastAsia="Arial" w:hAnsi="Arial"/>
          <w:sz w:val="16"/>
          <w:szCs w:val="16"/>
          <w:color w:val="auto"/>
        </w:rPr>
        <w:t>”), shall be made in lieu of severance pay due to said employee with respect to the salary from which said payments were made and for the period they were paid (hereinafter: the “</w:t>
      </w:r>
      <w:r>
        <w:rPr>
          <w:rFonts w:ascii="Arial" w:cs="Arial" w:eastAsia="Arial" w:hAnsi="Arial"/>
          <w:sz w:val="16"/>
          <w:szCs w:val="16"/>
          <w:b w:val="1"/>
          <w:bCs w:val="1"/>
          <w:color w:val="auto"/>
        </w:rPr>
        <w:t>Exempt Salary</w:t>
      </w:r>
      <w:r>
        <w:rPr>
          <w:rFonts w:ascii="Arial" w:cs="Arial" w:eastAsia="Arial" w:hAnsi="Arial"/>
          <w:sz w:val="16"/>
          <w:szCs w:val="16"/>
          <w:color w:val="auto"/>
        </w:rPr>
        <w:t>”), provided that all the following conditions are fulfilled:</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6"/>
          <w:szCs w:val="16"/>
          <w:color w:val="auto"/>
        </w:rPr>
        <w:t>(1)  The Employer’s Payments –</w:t>
      </w:r>
    </w:p>
    <w:p>
      <w:pPr>
        <w:spacing w:after="0" w:line="224" w:lineRule="exact"/>
        <w:rPr>
          <w:sz w:val="20"/>
          <w:szCs w:val="20"/>
          <w:color w:val="auto"/>
        </w:rPr>
      </w:pPr>
    </w:p>
    <w:p>
      <w:pPr>
        <w:jc w:val="both"/>
        <w:ind w:left="3" w:hanging="3"/>
        <w:spacing w:after="0" w:line="328" w:lineRule="auto"/>
        <w:tabs>
          <w:tab w:leader="none" w:pos="329" w:val="left"/>
        </w:tabs>
        <w:numPr>
          <w:ilvl w:val="0"/>
          <w:numId w:val="280"/>
        </w:numPr>
        <w:rPr>
          <w:rFonts w:ascii="Arial" w:cs="Arial" w:eastAsia="Arial" w:hAnsi="Arial"/>
          <w:sz w:val="15"/>
          <w:szCs w:val="15"/>
          <w:color w:val="auto"/>
        </w:rPr>
      </w:pPr>
      <w:r>
        <w:rPr>
          <w:rFonts w:ascii="Arial" w:cs="Arial" w:eastAsia="Arial" w:hAnsi="Arial"/>
          <w:sz w:val="15"/>
          <w:szCs w:val="15"/>
          <w:color w:val="auto"/>
        </w:rPr>
        <w:t>to the Pension Fund are not less than 14⅓% of the Exempt Salary or 12% of the Exempt Salary if the employer pays, for the sake of his employee, in addition thereto, payments to supplement severance pay to a severance pay provident fund or to an Insurance Fund in the employee’s name, in the amount of 2⅓% of the Exempt Salary. In the event that the employer has not paid the above mentioned 2⅓% in addition to said 12%, his payments shall come in lieu of only 72% of the employee’s severance pay;</w:t>
      </w:r>
    </w:p>
    <w:p>
      <w:pPr>
        <w:spacing w:after="0" w:line="150" w:lineRule="exact"/>
        <w:rPr>
          <w:rFonts w:ascii="Arial" w:cs="Arial" w:eastAsia="Arial" w:hAnsi="Arial"/>
          <w:sz w:val="15"/>
          <w:szCs w:val="15"/>
          <w:color w:val="auto"/>
        </w:rPr>
      </w:pPr>
    </w:p>
    <w:p>
      <w:pPr>
        <w:ind w:left="303" w:hanging="303"/>
        <w:spacing w:after="0"/>
        <w:tabs>
          <w:tab w:leader="none" w:pos="30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to the Insurance Fund are not less than one of the following:</w:t>
      </w:r>
    </w:p>
    <w:p>
      <w:pPr>
        <w:spacing w:after="0" w:line="224" w:lineRule="exact"/>
        <w:rPr>
          <w:sz w:val="20"/>
          <w:szCs w:val="20"/>
          <w:color w:val="auto"/>
        </w:rPr>
      </w:pPr>
    </w:p>
    <w:p>
      <w:pPr>
        <w:jc w:val="both"/>
        <w:ind w:left="3" w:hanging="3"/>
        <w:spacing w:after="0" w:line="315" w:lineRule="auto"/>
        <w:tabs>
          <w:tab w:leader="none" w:pos="325" w:val="left"/>
        </w:tabs>
        <w:numPr>
          <w:ilvl w:val="0"/>
          <w:numId w:val="281"/>
        </w:numPr>
        <w:rPr>
          <w:rFonts w:ascii="Arial" w:cs="Arial" w:eastAsia="Arial" w:hAnsi="Arial"/>
          <w:sz w:val="15"/>
          <w:szCs w:val="15"/>
          <w:color w:val="auto"/>
        </w:rPr>
      </w:pPr>
      <w:r>
        <w:rPr>
          <w:rFonts w:ascii="Arial" w:cs="Arial" w:eastAsia="Arial" w:hAnsi="Arial"/>
          <w:sz w:val="15"/>
          <w:szCs w:val="15"/>
          <w:color w:val="auto"/>
        </w:rPr>
        <w:t>13⅓% of the Exempt Salary, provided that, in addition thereto, the employer pays, for the sake of his employee, payments to secure monthly income in the event of disability, in a plan approved by the Commissioner of the Capital Market, Insurance and Savings Department of the Ministry of Finance, in an amount equivalent to the lower of either an amount required to secure at least 75% of the Exempt Salary or in an amount of 2½% of the Exempt Salary (hereinafter: “Disability Insurance Payment”);</w:t>
      </w:r>
    </w:p>
    <w:p>
      <w:pPr>
        <w:spacing w:after="0" w:line="178" w:lineRule="exact"/>
        <w:rPr>
          <w:rFonts w:ascii="Arial" w:cs="Arial" w:eastAsia="Arial" w:hAnsi="Arial"/>
          <w:sz w:val="15"/>
          <w:szCs w:val="15"/>
          <w:color w:val="auto"/>
        </w:rPr>
      </w:pPr>
    </w:p>
    <w:p>
      <w:pPr>
        <w:jc w:val="both"/>
        <w:ind w:left="3" w:hanging="3"/>
        <w:spacing w:after="0" w:line="263" w:lineRule="auto"/>
        <w:tabs>
          <w:tab w:leader="none" w:pos="32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11% of the Exempt Salary, if the employer paid, in addition, the Disability Insurance Payment; and in such case, the Employer’s Payments shall come in lieu of only 72% of the employee’s severance pay. In the event that the employer has made payments in the employee’s name, in addition to the foregoing payments, to a severance pay provident fund or to an Insurance Fund in the employee’s name, to supplement severance pay in an amount of 2⅓% of the Exempt Salary, the Employer’s Payments shall come in lieu of 100% of the employee’s severance pay.</w:t>
      </w:r>
    </w:p>
    <w:p>
      <w:pPr>
        <w:spacing w:after="0" w:line="216" w:lineRule="exact"/>
        <w:rPr>
          <w:sz w:val="20"/>
          <w:szCs w:val="20"/>
          <w:color w:val="auto"/>
        </w:rPr>
      </w:pPr>
    </w:p>
    <w:p>
      <w:pPr>
        <w:ind w:left="3" w:hanging="3"/>
        <w:spacing w:after="0" w:line="283" w:lineRule="auto"/>
        <w:tabs>
          <w:tab w:leader="none" w:pos="36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 later than three months from the commencement of the Employer’s Payment, a written agreement was executed between the employer and the employee, which includes:</w:t>
      </w:r>
    </w:p>
    <w:p>
      <w:pPr>
        <w:spacing w:after="0" w:line="199" w:lineRule="exact"/>
        <w:rPr>
          <w:sz w:val="20"/>
          <w:szCs w:val="20"/>
          <w:color w:val="auto"/>
        </w:rPr>
      </w:pPr>
    </w:p>
    <w:p>
      <w:pPr>
        <w:ind w:left="3" w:hanging="3"/>
        <w:spacing w:after="0" w:line="283" w:lineRule="auto"/>
        <w:tabs>
          <w:tab w:leader="none" w:pos="323"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employee’s consent to an arrangement pursuant to this approval, in an agreement specifying the Employer’s Payments, the Pension Fund and the Insurance Fund, as the case may be; said agreement shall also incorporate the text of this approval;</w:t>
      </w:r>
    </w:p>
    <w:p>
      <w:pPr>
        <w:spacing w:after="0" w:line="199" w:lineRule="exact"/>
        <w:rPr>
          <w:rFonts w:ascii="Arial" w:cs="Arial" w:eastAsia="Arial" w:hAnsi="Arial"/>
          <w:sz w:val="16"/>
          <w:szCs w:val="16"/>
          <w:color w:val="auto"/>
        </w:rPr>
      </w:pPr>
    </w:p>
    <w:p>
      <w:pPr>
        <w:jc w:val="both"/>
        <w:ind w:left="3" w:hanging="3"/>
        <w:spacing w:after="0" w:line="294" w:lineRule="auto"/>
        <w:tabs>
          <w:tab w:leader="none" w:pos="327" w:val="left"/>
        </w:tabs>
        <w:numPr>
          <w:ilvl w:val="0"/>
          <w:numId w:val="283"/>
        </w:numPr>
        <w:rPr>
          <w:rFonts w:ascii="Arial" w:cs="Arial" w:eastAsia="Arial" w:hAnsi="Arial"/>
          <w:sz w:val="15"/>
          <w:szCs w:val="15"/>
          <w:color w:val="auto"/>
        </w:rPr>
      </w:pPr>
      <w:r>
        <w:rPr>
          <w:rFonts w:ascii="Arial" w:cs="Arial" w:eastAsia="Arial" w:hAnsi="Arial"/>
          <w:sz w:val="15"/>
          <w:szCs w:val="15"/>
          <w:color w:val="auto"/>
        </w:rPr>
        <w:t>an advance waiver by the employer of any right which he may have to a refund of monies from his payments, except in cases in which the employee’s right to severance pay was denied by a final judgment pursuant to Section 17 of the Law, and in such a case or in cases in which the employee withdrew monies from the Pension Fund or Insurance Fund, other than by reason of an entitling event; for these purposes an “Entitling Event” means death, disability or retirement at or after the age of 60.</w:t>
      </w:r>
    </w:p>
    <w:p>
      <w:pPr>
        <w:spacing w:after="0" w:line="194" w:lineRule="exact"/>
        <w:rPr>
          <w:sz w:val="20"/>
          <w:szCs w:val="20"/>
          <w:color w:val="auto"/>
        </w:rPr>
      </w:pPr>
    </w:p>
    <w:p>
      <w:pPr>
        <w:ind w:left="3" w:hanging="3"/>
        <w:spacing w:after="0" w:line="283" w:lineRule="auto"/>
        <w:tabs>
          <w:tab w:leader="none" w:pos="3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This approval shall not derogate from the employee’s right to severance pay pursuant to any law, collective agreement, extension order or employment agreement with respect to compensation in excess of the Exempt Salary.</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6"/>
          <w:szCs w:val="16"/>
          <w:color w:val="auto"/>
        </w:rPr>
        <w:t>15th Sivan 5758 (June 9th, 1998).</w:t>
      </w:r>
    </w:p>
    <w:p>
      <w:pPr>
        <w:spacing w:after="0" w:line="200" w:lineRule="exact"/>
        <w:rPr>
          <w:sz w:val="20"/>
          <w:szCs w:val="20"/>
          <w:color w:val="auto"/>
        </w:rPr>
      </w:pPr>
    </w:p>
    <w:p>
      <w:pPr>
        <w:spacing w:after="0" w:line="21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3"/>
          </w:cols>
          <w:pgMar w:left="237" w:top="1268" w:right="25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6"/>
          <w:szCs w:val="16"/>
          <w:b w:val="1"/>
          <w:bCs w:val="1"/>
          <w:color w:val="auto"/>
        </w:rPr>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BioLineRx Ltd. Code of Business Conduct and Ethics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Effective as of January 1, 2011</w:t>
      </w:r>
    </w:p>
    <w:p>
      <w:pPr>
        <w:spacing w:after="0" w:line="38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POLICY STATEMENT</w:t>
      </w:r>
    </w:p>
    <w:p>
      <w:pPr>
        <w:spacing w:after="0" w:line="206" w:lineRule="exact"/>
        <w:rPr>
          <w:sz w:val="20"/>
          <w:szCs w:val="20"/>
          <w:color w:val="auto"/>
        </w:rPr>
      </w:pPr>
    </w:p>
    <w:p>
      <w:pPr>
        <w:jc w:val="both"/>
        <w:ind w:left="1"/>
        <w:spacing w:after="0" w:line="271" w:lineRule="auto"/>
        <w:rPr>
          <w:sz w:val="20"/>
          <w:szCs w:val="20"/>
          <w:color w:val="auto"/>
        </w:rPr>
      </w:pPr>
      <w:r>
        <w:rPr>
          <w:rFonts w:ascii="Arial" w:cs="Arial" w:eastAsia="Arial" w:hAnsi="Arial"/>
          <w:sz w:val="16"/>
          <w:szCs w:val="16"/>
          <w:b w:val="1"/>
          <w:bCs w:val="1"/>
          <w:color w:val="auto"/>
        </w:rPr>
        <w:t>It is the policy of BioLineRx Ltd. (the “Company”) to conduct its affairs in accordance with all applicable laws, rules and regulations of the jurisdictions in which it does business. This Code of Business Conduct and Ethics (this “Code”) applies to the Company’s employees, officers and directors. This Code is designed to promote:</w:t>
      </w:r>
    </w:p>
    <w:p>
      <w:pPr>
        <w:spacing w:after="0" w:line="160" w:lineRule="exact"/>
        <w:rPr>
          <w:sz w:val="20"/>
          <w:szCs w:val="20"/>
          <w:color w:val="auto"/>
        </w:rPr>
      </w:pPr>
    </w:p>
    <w:p>
      <w:pPr>
        <w:ind w:left="301" w:hanging="301"/>
        <w:spacing w:after="0" w:line="283" w:lineRule="auto"/>
        <w:tabs>
          <w:tab w:leader="none" w:pos="3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honest and ethical conduct by all of the Company’s employees, officers and directors, including the ethical handling by such persons of actual or apparent conflicts of interest between personal and professional relationships;</w:t>
      </w:r>
    </w:p>
    <w:p>
      <w:pPr>
        <w:spacing w:after="0" w:line="150" w:lineRule="exact"/>
        <w:rPr>
          <w:rFonts w:ascii="Arial" w:cs="Arial" w:eastAsia="Arial" w:hAnsi="Arial"/>
          <w:sz w:val="16"/>
          <w:szCs w:val="16"/>
          <w:color w:val="auto"/>
        </w:rPr>
      </w:pPr>
    </w:p>
    <w:p>
      <w:pPr>
        <w:ind w:left="301" w:hanging="301"/>
        <w:spacing w:after="0" w:line="283" w:lineRule="auto"/>
        <w:tabs>
          <w:tab w:leader="none" w:pos="3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full, fair, accurate, timely and understandable disclosure in the reports and documents the Company files with, or submits to, the U.S. Securities and Exchange Commission (“SEC”) or the Israeli Securities Authority (“ISA”), and in other public communications made by the Company;</w:t>
      </w:r>
    </w:p>
    <w:p>
      <w:pPr>
        <w:spacing w:after="0" w:line="150" w:lineRule="exact"/>
        <w:rPr>
          <w:rFonts w:ascii="Arial" w:cs="Arial" w:eastAsia="Arial" w:hAnsi="Arial"/>
          <w:sz w:val="16"/>
          <w:szCs w:val="16"/>
          <w:color w:val="auto"/>
        </w:rPr>
      </w:pPr>
    </w:p>
    <w:p>
      <w:pPr>
        <w:ind w:left="301" w:hanging="301"/>
        <w:spacing w:after="0"/>
        <w:tabs>
          <w:tab w:leader="none" w:pos="3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compliance with applicable governmental laws, rules and regulations;</w:t>
      </w:r>
    </w:p>
    <w:p>
      <w:pPr>
        <w:spacing w:after="0" w:line="205" w:lineRule="exact"/>
        <w:rPr>
          <w:rFonts w:ascii="Arial" w:cs="Arial" w:eastAsia="Arial" w:hAnsi="Arial"/>
          <w:sz w:val="16"/>
          <w:szCs w:val="16"/>
          <w:color w:val="auto"/>
        </w:rPr>
      </w:pPr>
    </w:p>
    <w:p>
      <w:pPr>
        <w:ind w:left="301" w:hanging="301"/>
        <w:spacing w:after="0"/>
        <w:tabs>
          <w:tab w:leader="none" w:pos="3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prompt internal reporting to the appropriate person of violations of this Code; and</w:t>
      </w:r>
    </w:p>
    <w:p>
      <w:pPr>
        <w:spacing w:after="0" w:line="205" w:lineRule="exact"/>
        <w:rPr>
          <w:rFonts w:ascii="Arial" w:cs="Arial" w:eastAsia="Arial" w:hAnsi="Arial"/>
          <w:sz w:val="16"/>
          <w:szCs w:val="16"/>
          <w:color w:val="auto"/>
        </w:rPr>
      </w:pPr>
    </w:p>
    <w:p>
      <w:pPr>
        <w:ind w:left="301" w:hanging="301"/>
        <w:spacing w:after="0"/>
        <w:tabs>
          <w:tab w:leader="none" w:pos="301"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Accountability for adherence to this Code.</w:t>
      </w:r>
    </w:p>
    <w:p>
      <w:pPr>
        <w:spacing w:after="0" w:line="202" w:lineRule="exact"/>
        <w:rPr>
          <w:sz w:val="20"/>
          <w:szCs w:val="20"/>
          <w:color w:val="auto"/>
        </w:rPr>
      </w:pPr>
    </w:p>
    <w:p>
      <w:pPr>
        <w:jc w:val="both"/>
        <w:ind w:left="1"/>
        <w:spacing w:after="0" w:line="271" w:lineRule="auto"/>
        <w:rPr>
          <w:sz w:val="20"/>
          <w:szCs w:val="20"/>
          <w:color w:val="auto"/>
        </w:rPr>
      </w:pPr>
      <w:r>
        <w:rPr>
          <w:rFonts w:ascii="Arial" w:cs="Arial" w:eastAsia="Arial" w:hAnsi="Arial"/>
          <w:sz w:val="16"/>
          <w:szCs w:val="16"/>
          <w:b w:val="1"/>
          <w:bCs w:val="1"/>
          <w:color w:val="auto"/>
        </w:rPr>
        <w:t>All directors, officers and employees of the Company are subject to this Code and are expected to adhere to and comply with those principles and procedures set forth in this Code that apply to them. The Company will take such disciplinary or preventative action as it deems appropriate to address any existing or potential violation of this Code brought to its attention.</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APPROVALS AND WAIVERS</w:t>
      </w:r>
    </w:p>
    <w:p>
      <w:pPr>
        <w:spacing w:after="0" w:line="206" w:lineRule="exact"/>
        <w:rPr>
          <w:sz w:val="20"/>
          <w:szCs w:val="20"/>
          <w:color w:val="auto"/>
        </w:rPr>
      </w:pPr>
    </w:p>
    <w:p>
      <w:pPr>
        <w:jc w:val="both"/>
        <w:ind w:left="1"/>
        <w:spacing w:after="0" w:line="297" w:lineRule="auto"/>
        <w:rPr>
          <w:sz w:val="20"/>
          <w:szCs w:val="20"/>
          <w:color w:val="auto"/>
        </w:rPr>
      </w:pPr>
      <w:r>
        <w:rPr>
          <w:rFonts w:ascii="Arial" w:cs="Arial" w:eastAsia="Arial" w:hAnsi="Arial"/>
          <w:sz w:val="15"/>
          <w:szCs w:val="15"/>
          <w:b w:val="1"/>
          <w:bCs w:val="1"/>
          <w:color w:val="auto"/>
        </w:rPr>
        <w:t>Certain provisions of this Code require you to act, or to refrain from acting, unless prior approval is received from the appropriate person. Employees requesting approval pursuant to this Code should request such approval in writing from the Compliance Officer. Approvals relating to Executive Officers and Directors must be obtained from the Company’s Board of Directors. All other approvals may be granted by the Compliance Officer, or such officer’s designee.</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Other provisions of this Code require you to act, or to refrain from acting, in a particular manner and do not permit exceptions based on obtaining an approval.</w:t>
      </w:r>
    </w:p>
    <w:p>
      <w:pPr>
        <w:spacing w:after="0" w:line="3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Waiver of those provisions relating to Executive Officers, senior financial officers and Directors may only be granted by the Board of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366" w:right="259" w:bottom="1440" w:gutter="0" w:footer="0" w:header="0"/>
        </w:sectPr>
      </w:pPr>
    </w:p>
    <w:bookmarkStart w:id="322" w:name="page323"/>
    <w:bookmarkEnd w:id="322"/>
    <w:p>
      <w:pPr>
        <w:ind w:left="3"/>
        <w:spacing w:after="0"/>
        <w:rPr>
          <w:sz w:val="20"/>
          <w:szCs w:val="20"/>
          <w:color w:val="auto"/>
        </w:rPr>
      </w:pPr>
      <w:r>
        <w:rPr>
          <w:rFonts w:ascii="Arial" w:cs="Arial" w:eastAsia="Arial" w:hAnsi="Arial"/>
          <w:sz w:val="16"/>
          <w:szCs w:val="16"/>
          <w:b w:val="1"/>
          <w:bCs w:val="1"/>
          <w:color w:val="auto"/>
        </w:rPr>
        <w:t>RESPONSIBILITY FOR COMPLIANCE</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Your responsibility</w:t>
      </w:r>
    </w:p>
    <w:p>
      <w:pPr>
        <w:spacing w:after="0" w:line="210" w:lineRule="exact"/>
        <w:rPr>
          <w:sz w:val="20"/>
          <w:szCs w:val="20"/>
          <w:color w:val="auto"/>
        </w:rPr>
      </w:pPr>
    </w:p>
    <w:p>
      <w:pPr>
        <w:ind w:left="3"/>
        <w:spacing w:after="0" w:line="283" w:lineRule="auto"/>
        <w:rPr>
          <w:sz w:val="20"/>
          <w:szCs w:val="20"/>
          <w:color w:val="auto"/>
        </w:rPr>
      </w:pPr>
      <w:r>
        <w:rPr>
          <w:rFonts w:ascii="Arial" w:cs="Arial" w:eastAsia="Arial" w:hAnsi="Arial"/>
          <w:sz w:val="16"/>
          <w:szCs w:val="16"/>
          <w:color w:val="auto"/>
        </w:rPr>
        <w:t>You are obligated to adhere to this policy in the performance of your job responsibilities. When faced with a situation that requires an evaluation of what is, and what is not, proper business conduct, begin by applying the following criteria:</w:t>
      </w:r>
    </w:p>
    <w:p>
      <w:pPr>
        <w:spacing w:after="0" w:line="151" w:lineRule="exact"/>
        <w:rPr>
          <w:sz w:val="20"/>
          <w:szCs w:val="20"/>
          <w:color w:val="auto"/>
        </w:rPr>
      </w:pPr>
    </w:p>
    <w:p>
      <w:pPr>
        <w:ind w:left="443" w:hanging="443"/>
        <w:spacing w:after="0"/>
        <w:tabs>
          <w:tab w:leader="none" w:pos="44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Is the course of conduct legal?</w:t>
      </w:r>
    </w:p>
    <w:p>
      <w:pPr>
        <w:spacing w:after="0" w:line="205" w:lineRule="exact"/>
        <w:rPr>
          <w:rFonts w:ascii="Arial" w:cs="Arial" w:eastAsia="Arial" w:hAnsi="Arial"/>
          <w:sz w:val="16"/>
          <w:szCs w:val="16"/>
          <w:color w:val="auto"/>
        </w:rPr>
      </w:pPr>
    </w:p>
    <w:p>
      <w:pPr>
        <w:ind w:left="443" w:hanging="441"/>
        <w:spacing w:after="0"/>
        <w:tabs>
          <w:tab w:leader="none" w:pos="44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Is the course of conduct in accordance with the guidelines set forth in this Code and with Company policies and procedures?</w:t>
      </w:r>
    </w:p>
    <w:p>
      <w:pPr>
        <w:spacing w:after="0" w:line="205" w:lineRule="exact"/>
        <w:rPr>
          <w:rFonts w:ascii="Arial" w:cs="Arial" w:eastAsia="Arial" w:hAnsi="Arial"/>
          <w:sz w:val="16"/>
          <w:szCs w:val="16"/>
          <w:color w:val="auto"/>
        </w:rPr>
      </w:pPr>
    </w:p>
    <w:p>
      <w:pPr>
        <w:ind w:left="443" w:hanging="441"/>
        <w:spacing w:after="0"/>
        <w:tabs>
          <w:tab w:leader="none" w:pos="44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Would you or the Company be compromised or embarrassed if the situation were known by your co-workers or the public?</w:t>
      </w:r>
    </w:p>
    <w:p>
      <w:pPr>
        <w:spacing w:after="0" w:line="205" w:lineRule="exact"/>
        <w:rPr>
          <w:rFonts w:ascii="Arial" w:cs="Arial" w:eastAsia="Arial" w:hAnsi="Arial"/>
          <w:sz w:val="16"/>
          <w:szCs w:val="16"/>
          <w:color w:val="auto"/>
        </w:rPr>
      </w:pPr>
    </w:p>
    <w:p>
      <w:pPr>
        <w:ind w:left="443" w:hanging="443"/>
        <w:spacing w:after="0"/>
        <w:tabs>
          <w:tab w:leader="none" w:pos="44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Does the intended course of conduct have the appearance of impropriety?</w:t>
      </w:r>
    </w:p>
    <w:p>
      <w:pPr>
        <w:spacing w:after="0" w:line="206" w:lineRule="exact"/>
        <w:rPr>
          <w:sz w:val="20"/>
          <w:szCs w:val="20"/>
          <w:color w:val="auto"/>
        </w:rPr>
      </w:pPr>
    </w:p>
    <w:p>
      <w:pPr>
        <w:jc w:val="both"/>
        <w:ind w:left="3"/>
        <w:spacing w:after="0" w:line="283" w:lineRule="auto"/>
        <w:rPr>
          <w:sz w:val="20"/>
          <w:szCs w:val="20"/>
          <w:color w:val="auto"/>
        </w:rPr>
      </w:pPr>
      <w:r>
        <w:rPr>
          <w:rFonts w:ascii="Arial" w:cs="Arial" w:eastAsia="Arial" w:hAnsi="Arial"/>
          <w:sz w:val="16"/>
          <w:szCs w:val="16"/>
          <w:color w:val="auto"/>
        </w:rPr>
        <w:t>If you are unable to answer “yes” to the first two questions and “no” to the second two questions with certainty, seek advice through the channels described under the section entitled “To seek advice or report non-compliance.”</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 xml:space="preserve">Remember </w:t>
      </w:r>
      <w:r>
        <w:rPr>
          <w:rFonts w:ascii="Arial" w:cs="Arial" w:eastAsia="Arial" w:hAnsi="Arial"/>
          <w:sz w:val="16"/>
          <w:szCs w:val="16"/>
          <w:color w:val="auto"/>
        </w:rPr>
        <w:t>that failure to report a violation of this Code is itself a violation.</w:t>
      </w:r>
    </w:p>
    <w:p>
      <w:pPr>
        <w:spacing w:after="0" w:line="20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To seek advice or report non-compliance</w:t>
      </w:r>
    </w:p>
    <w:p>
      <w:pPr>
        <w:spacing w:after="0" w:line="210" w:lineRule="exact"/>
        <w:rPr>
          <w:sz w:val="20"/>
          <w:szCs w:val="20"/>
          <w:color w:val="auto"/>
        </w:rPr>
      </w:pPr>
    </w:p>
    <w:p>
      <w:pPr>
        <w:jc w:val="both"/>
        <w:ind w:left="3"/>
        <w:spacing w:after="0" w:line="286" w:lineRule="auto"/>
        <w:rPr>
          <w:sz w:val="20"/>
          <w:szCs w:val="20"/>
          <w:color w:val="auto"/>
        </w:rPr>
      </w:pPr>
      <w:r>
        <w:rPr>
          <w:rFonts w:ascii="Arial" w:cs="Arial" w:eastAsia="Arial" w:hAnsi="Arial"/>
          <w:sz w:val="15"/>
          <w:szCs w:val="15"/>
          <w:color w:val="auto"/>
        </w:rPr>
        <w:t xml:space="preserve">If you suspect non-compliance, or have a question as to any aspect of this Code, including its interpretation, application or compliance therewith, regarding yourself or any other employee of BioLineRx, you must seek the advice of the appropriate Company authority, such as your immediate supervisor, human resources manager or General Counsel. If for any reason you feel uncomfortable discussing your concerns or questions with these individuals, or if you are dissatisfied with their responses, seek advice from the Internal Auditor. If you prefer, you may correspond anonymously with the Internal Auditor through our confidential mailbox: </w:t>
      </w:r>
      <w:r>
        <w:rPr>
          <w:rFonts w:ascii="Arial" w:cs="Arial" w:eastAsia="Arial" w:hAnsi="Arial"/>
          <w:sz w:val="15"/>
          <w:szCs w:val="15"/>
          <w:u w:val="single" w:color="auto"/>
          <w:color w:val="auto"/>
        </w:rPr>
        <w:t>biolinerx@deloitte.co.il</w:t>
      </w:r>
      <w:r>
        <w:rPr>
          <w:rFonts w:ascii="Arial" w:cs="Arial" w:eastAsia="Arial" w:hAnsi="Arial"/>
          <w:sz w:val="15"/>
          <w:szCs w:val="15"/>
          <w:color w:val="auto"/>
        </w:rPr>
        <w:t>.</w:t>
      </w:r>
    </w:p>
    <w:p>
      <w:pPr>
        <w:spacing w:after="0" w:line="148" w:lineRule="exact"/>
        <w:rPr>
          <w:sz w:val="20"/>
          <w:szCs w:val="20"/>
          <w:color w:val="auto"/>
        </w:rPr>
      </w:pPr>
    </w:p>
    <w:tbl>
      <w:tblPr>
        <w:tblLayout w:type="fixed"/>
        <w:tblInd w:w="13" w:type="dxa"/>
        <w:tblCellMar>
          <w:top w:w="0" w:type="dxa"/>
          <w:left w:w="0" w:type="dxa"/>
          <w:bottom w:w="0" w:type="dxa"/>
          <w:right w:w="0" w:type="dxa"/>
        </w:tblCellMar>
      </w:tblPr>
      <w:tr>
        <w:trPr>
          <w:trHeight w:val="211"/>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The Company Compliance Team:</w:t>
            </w: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1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7"/>
              </w:rPr>
              <w:t>Linur Dloomy, CPA (Deloitte)</w:t>
            </w:r>
          </w:p>
        </w:tc>
        <w:tc>
          <w:tcPr>
            <w:tcW w:w="0" w:type="dxa"/>
            <w:vAlign w:val="bottom"/>
          </w:tcPr>
          <w:p>
            <w:pPr>
              <w:spacing w:after="0"/>
              <w:rPr>
                <w:sz w:val="1"/>
                <w:szCs w:val="1"/>
                <w:color w:val="auto"/>
              </w:rPr>
            </w:pPr>
          </w:p>
        </w:tc>
      </w:tr>
      <w:tr>
        <w:trPr>
          <w:trHeight w:val="170"/>
        </w:trPr>
        <w:tc>
          <w:tcPr>
            <w:tcW w:w="4000" w:type="dxa"/>
            <w:vAlign w:val="bottom"/>
            <w:tcBorders>
              <w:left w:val="single" w:sz="8" w:color="auto"/>
            </w:tcBorders>
            <w:gridSpan w:val="3"/>
          </w:tcPr>
          <w:p>
            <w:pPr>
              <w:spacing w:after="0" w:line="171" w:lineRule="exact"/>
              <w:rPr>
                <w:sz w:val="20"/>
                <w:szCs w:val="20"/>
                <w:color w:val="auto"/>
              </w:rPr>
            </w:pPr>
            <w:r>
              <w:rPr>
                <w:rFonts w:ascii="Arial" w:cs="Arial" w:eastAsia="Arial" w:hAnsi="Arial"/>
                <w:sz w:val="16"/>
                <w:szCs w:val="16"/>
                <w:b w:val="1"/>
                <w:bCs w:val="1"/>
                <w:color w:val="auto"/>
              </w:rPr>
              <w:t>Nurit Benjamini</w:t>
            </w:r>
          </w:p>
        </w:tc>
        <w:tc>
          <w:tcPr>
            <w:tcW w:w="2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00" w:type="dxa"/>
            <w:vAlign w:val="bottom"/>
            <w:tcBorders>
              <w:left w:val="single" w:sz="8" w:color="auto"/>
            </w:tcBorders>
            <w:gridSpan w:val="3"/>
          </w:tcPr>
          <w:p>
            <w:pPr>
              <w:spacing w:after="0"/>
              <w:rPr>
                <w:sz w:val="20"/>
                <w:szCs w:val="20"/>
                <w:color w:val="auto"/>
              </w:rPr>
            </w:pPr>
            <w:r>
              <w:rPr>
                <w:rFonts w:ascii="Arial" w:cs="Arial" w:eastAsia="Arial" w:hAnsi="Arial"/>
                <w:sz w:val="16"/>
                <w:szCs w:val="16"/>
                <w:b w:val="1"/>
                <w:bCs w:val="1"/>
                <w:color w:val="auto"/>
              </w:rPr>
              <w:t>Audit Committee Chairperson</w:t>
            </w:r>
          </w:p>
        </w:tc>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Internal Auditor</w:t>
            </w:r>
          </w:p>
        </w:tc>
        <w:tc>
          <w:tcPr>
            <w:tcW w:w="0" w:type="dxa"/>
            <w:vAlign w:val="bottom"/>
          </w:tcPr>
          <w:p>
            <w:pPr>
              <w:spacing w:after="0"/>
              <w:rPr>
                <w:sz w:val="1"/>
                <w:szCs w:val="1"/>
                <w:color w:val="auto"/>
              </w:rPr>
            </w:pPr>
          </w:p>
        </w:tc>
      </w:tr>
      <w:tr>
        <w:trPr>
          <w:trHeight w:val="175"/>
        </w:trPr>
        <w:tc>
          <w:tcPr>
            <w:tcW w:w="4000" w:type="dxa"/>
            <w:vAlign w:val="bottom"/>
            <w:tcBorders>
              <w:left w:val="single" w:sz="8" w:color="auto"/>
            </w:tcBorders>
            <w:gridSpan w:val="3"/>
          </w:tcPr>
          <w:p>
            <w:pPr>
              <w:spacing w:after="0" w:line="175" w:lineRule="exact"/>
              <w:rPr>
                <w:sz w:val="20"/>
                <w:szCs w:val="20"/>
                <w:color w:val="auto"/>
              </w:rPr>
            </w:pPr>
            <w:r>
              <w:rPr>
                <w:rFonts w:ascii="Arial" w:cs="Arial" w:eastAsia="Arial" w:hAnsi="Arial"/>
                <w:sz w:val="16"/>
                <w:szCs w:val="16"/>
                <w:b w:val="1"/>
                <w:bCs w:val="1"/>
                <w:color w:val="auto"/>
              </w:rPr>
              <w:t>email: nurit378@gmail.com</w:t>
            </w:r>
          </w:p>
        </w:tc>
        <w:tc>
          <w:tcPr>
            <w:tcW w:w="2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w w:val="91"/>
              </w:rPr>
              <w:t>e-mail: LDloomy@deloitte.co.il</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Tel: 052-644-0745</w:t>
            </w:r>
          </w:p>
        </w:tc>
        <w:tc>
          <w:tcPr>
            <w:tcW w:w="2160" w:type="dxa"/>
            <w:vAlign w:val="bottom"/>
            <w:gridSpan w:val="2"/>
          </w:tcPr>
          <w:p>
            <w:pPr>
              <w:spacing w:after="0"/>
              <w:rPr>
                <w:sz w:val="20"/>
                <w:szCs w:val="20"/>
                <w:color w:val="auto"/>
              </w:rPr>
            </w:pPr>
            <w:r>
              <w:rPr>
                <w:rFonts w:ascii="Arial" w:cs="Arial" w:eastAsia="Arial" w:hAnsi="Arial"/>
                <w:sz w:val="16"/>
                <w:szCs w:val="16"/>
                <w:b w:val="1"/>
                <w:bCs w:val="1"/>
                <w:color w:val="auto"/>
              </w:rPr>
              <w:t>Tel: 052-583-9635</w:t>
            </w:r>
          </w:p>
        </w:tc>
        <w:tc>
          <w:tcPr>
            <w:tcW w:w="0" w:type="dxa"/>
            <w:vAlign w:val="bottom"/>
          </w:tcPr>
          <w:p>
            <w:pPr>
              <w:spacing w:after="0"/>
              <w:rPr>
                <w:sz w:val="1"/>
                <w:szCs w:val="1"/>
                <w:color w:val="auto"/>
              </w:rPr>
            </w:pPr>
          </w:p>
        </w:tc>
      </w:tr>
      <w:tr>
        <w:trPr>
          <w:trHeight w:val="389"/>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Disciplinary action</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-777240</wp:posOffset>
            </wp:positionV>
            <wp:extent cx="2561590" cy="543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61590" cy="543560"/>
                    </a:xfrm>
                    <a:prstGeom prst="rect">
                      <a:avLst/>
                    </a:prstGeom>
                    <a:noFill/>
                  </pic:spPr>
                </pic:pic>
              </a:graphicData>
            </a:graphic>
          </wp:anchor>
        </w:drawing>
      </w:r>
    </w:p>
    <w:p>
      <w:pPr>
        <w:spacing w:after="0" w:line="163" w:lineRule="exact"/>
        <w:rPr>
          <w:sz w:val="20"/>
          <w:szCs w:val="20"/>
          <w:color w:val="auto"/>
        </w:rPr>
      </w:pPr>
    </w:p>
    <w:p>
      <w:pPr>
        <w:jc w:val="both"/>
        <w:ind w:left="3"/>
        <w:spacing w:after="0" w:line="286" w:lineRule="auto"/>
        <w:rPr>
          <w:sz w:val="20"/>
          <w:szCs w:val="20"/>
          <w:color w:val="auto"/>
        </w:rPr>
      </w:pPr>
      <w:r>
        <w:rPr>
          <w:rFonts w:ascii="Arial" w:cs="Arial" w:eastAsia="Arial" w:hAnsi="Arial"/>
          <w:sz w:val="15"/>
          <w:szCs w:val="15"/>
          <w:color w:val="auto"/>
        </w:rPr>
        <w:t>The Company intends to prevent the occurrence of conduct not in compliance with the Code, applicable laws or regulations, or other policies, procedures and guidelines prepared by our Company and its business units and to halt any such conduct that may occur as soon as reasonably possible after its discovery. Allegations of non-compliance with the Code will be investigated whenever necessary and evaluated at the proper level(s). Those found to be in violation of this Code are subject to appropriate disciplinary action, up to and including termination of employment. Criminal misconduct may be referred to the appropriate legal authorities for prosecution.</w:t>
      </w:r>
    </w:p>
    <w:p>
      <w:pPr>
        <w:spacing w:after="0" w:line="15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4979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3"/>
          </w:cols>
          <w:pgMar w:left="237" w:top="512" w:right="259" w:bottom="1440" w:gutter="0" w:footer="0" w:header="0"/>
        </w:sectPr>
      </w:pPr>
    </w:p>
    <w:bookmarkStart w:id="323" w:name="page324"/>
    <w:bookmarkEnd w:id="323"/>
    <w:p>
      <w:pPr>
        <w:spacing w:after="0"/>
        <w:rPr>
          <w:sz w:val="20"/>
          <w:szCs w:val="20"/>
          <w:color w:val="auto"/>
        </w:rPr>
      </w:pPr>
      <w:r>
        <w:rPr>
          <w:rFonts w:ascii="Arial" w:cs="Arial" w:eastAsia="Arial" w:hAnsi="Arial"/>
          <w:sz w:val="16"/>
          <w:szCs w:val="16"/>
          <w:b w:val="1"/>
          <w:bCs w:val="1"/>
          <w:color w:val="auto"/>
        </w:rPr>
        <w:t>When in doubt . . .</w:t>
      </w:r>
    </w:p>
    <w:p>
      <w:pPr>
        <w:spacing w:after="0" w:line="210" w:lineRule="exact"/>
        <w:rPr>
          <w:sz w:val="20"/>
          <w:szCs w:val="20"/>
          <w:color w:val="auto"/>
        </w:rPr>
      </w:pPr>
    </w:p>
    <w:p>
      <w:pPr>
        <w:jc w:val="both"/>
        <w:ind w:right="100"/>
        <w:spacing w:after="0" w:line="268" w:lineRule="auto"/>
        <w:rPr>
          <w:sz w:val="20"/>
          <w:szCs w:val="20"/>
          <w:color w:val="auto"/>
        </w:rPr>
      </w:pPr>
      <w:r>
        <w:rPr>
          <w:rFonts w:ascii="Arial" w:cs="Arial" w:eastAsia="Arial" w:hAnsi="Arial"/>
          <w:sz w:val="16"/>
          <w:szCs w:val="16"/>
          <w:color w:val="auto"/>
        </w:rPr>
        <w:t xml:space="preserve">If you think you are being asked to behave or conduct business in an illegal, unethical or otherwise inappropriate manner, or you suspect others of such behavior, immediately report your concerns through the channels described above. You will </w:t>
      </w:r>
      <w:r>
        <w:rPr>
          <w:rFonts w:ascii="Arial" w:cs="Arial" w:eastAsia="Arial" w:hAnsi="Arial"/>
          <w:sz w:val="16"/>
          <w:szCs w:val="16"/>
          <w:b w:val="1"/>
          <w:bCs w:val="1"/>
          <w:i w:val="1"/>
          <w:iCs w:val="1"/>
          <w:color w:val="auto"/>
        </w:rPr>
        <w:t>not</w:t>
      </w:r>
      <w:r>
        <w:rPr>
          <w:rFonts w:ascii="Arial" w:cs="Arial" w:eastAsia="Arial" w:hAnsi="Arial"/>
          <w:sz w:val="16"/>
          <w:szCs w:val="16"/>
          <w:color w:val="auto"/>
        </w:rPr>
        <w:t xml:space="preserve"> be penalized for reporting what you believe, in good faith, to be a breach of the Code; even if it later turns out that a violation has not occurred.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EMPLOYMENT RELATIONSHIP</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employment</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BioLineRx employees are generally employed by the Company either pursuant to an employment contract or other arrangement. Subject to applicable law, both the employee and the employer are legally allowed to terminate the employment at will. This BioLineRx Code may be revised from time to time at the Company’s discretion and is not a contract of employment.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Anti-discrimination and anti-harassment</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BioLineRx hires, pays, promotes and makes other employment decisions based upon lawful factors, such as qualifications and performance, and without regard to race, sex, color, religion, age, national origin, sexual orientation, disability or any other basis that is protected under applicable law.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Drug and alcohol abuse and drug-free workplace</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BioLineRx prohibits the illegal use, sale, purchase, transfer, possession or presence in one’s system of drugs, other than medically prescribed drugs, while on the Company’s premises.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Workplace violence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BioLineRx does not tolerate workplace violence or threats of violence committed by or against employees or property.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Conflict of interest and opportunities for personal gain</w:t>
      </w:r>
    </w:p>
    <w:p>
      <w:pPr>
        <w:spacing w:after="0" w:line="210" w:lineRule="exact"/>
        <w:rPr>
          <w:sz w:val="20"/>
          <w:szCs w:val="20"/>
          <w:color w:val="auto"/>
        </w:rPr>
      </w:pPr>
    </w:p>
    <w:p>
      <w:pPr>
        <w:jc w:val="both"/>
        <w:spacing w:after="0" w:line="324" w:lineRule="auto"/>
        <w:rPr>
          <w:sz w:val="20"/>
          <w:szCs w:val="20"/>
          <w:color w:val="auto"/>
        </w:rPr>
      </w:pPr>
      <w:r>
        <w:rPr>
          <w:rFonts w:ascii="Arial" w:cs="Arial" w:eastAsia="Arial" w:hAnsi="Arial"/>
          <w:sz w:val="14"/>
          <w:szCs w:val="14"/>
          <w:color w:val="auto"/>
        </w:rPr>
        <w:t>All Directors, officers and employees must avoid relationships, activities or interests that conflict or appear to conflict with the interests of the Company. Directors, officers and all employees have an obligation to promptly disclose to their supervisor or local internal auditor any relationship, activity or interest that could possibly involve or appear to involve an actual or potential conflict of interest. If you are unsure whether something is a conflict of interest you are obligated to promptly disclose it to your supervisor.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24" w:name="page325"/>
    <w:bookmarkEnd w:id="324"/>
    <w:p>
      <w:pPr>
        <w:spacing w:after="0"/>
        <w:rPr>
          <w:sz w:val="20"/>
          <w:szCs w:val="20"/>
          <w:color w:val="auto"/>
        </w:rPr>
      </w:pPr>
      <w:r>
        <w:rPr>
          <w:rFonts w:ascii="Arial" w:cs="Arial" w:eastAsia="Arial" w:hAnsi="Arial"/>
          <w:sz w:val="16"/>
          <w:szCs w:val="16"/>
          <w:b w:val="1"/>
          <w:bCs w:val="1"/>
          <w:color w:val="auto"/>
        </w:rPr>
        <w:t>Related Party Transactions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All Directors, officers and employees should immediately inform a representative of the Finance Department or General Counsel at the outset of negotiations or contacts regarding a potential transaction between an entity or a person related to a Director, officer or employee of BioLineRx or its subsidiaries and BioLineRx or its subsidiaries and in any event prior to completion of any such transaction (without regard to size or materiality).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Acceptance and giving entertainment or gifts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You may never accept bribes, kickbacks, or other types of unusual payments from any organization or individual seeking to do business with, doing business with, or competing with BioLineRx. You may accept gifts or entertainment of nominal value as part of the normal business process if public knowledge of your acceptance would cause the Company no conceivable embarrassment. In accordance with foreign laws, you are prohibited from directly or indirectly authorizing, offering, promising or giving anything of value to a foreign governmental official as a means of influencing or inducing the official to obtain or retain business for BioLineRx.</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Fraud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You may not engage in fraudulent conduct. “Fraud” is the deliberate practice of deception in order to receive unfair or unlawful gain.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All financial and other records of the Company are required to accurately and fairly reflect the Company’s assets, liabilities, revenues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Outside employment or consulting</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Employment as a consultant, officer, or manager of another business organization requires prior written management approval. Outside employment or consulting must never interfere with your job performance, utilize Company property or facilities, involve the implicit or explicit sponsorship of the Company, or create the possibility of adverse publicity for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Political activity and contributions</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Requiring anyone at BioLineRx to make a personal or corporate contribution to any candidate, political party, or holder of any governmental office is prohibited. You are free to participate in lawful political activity.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records and accounts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All Company records and accounts are the property of BioLineRx. Company records and accounts must be maintained at all times in reasonable detail and in a manner that accurately reflects all business and financial transactions, including the disposition of assets. The destruction or falsification of a document in order to impede a litigation, governmental investigation, audit or examination is prohibited and may lead to prosecution for obstruction of justice.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25" w:name="page326"/>
    <w:bookmarkEnd w:id="325"/>
    <w:p>
      <w:pPr>
        <w:spacing w:after="0"/>
        <w:rPr>
          <w:sz w:val="20"/>
          <w:szCs w:val="20"/>
          <w:color w:val="auto"/>
        </w:rPr>
      </w:pPr>
      <w:r>
        <w:rPr>
          <w:rFonts w:ascii="Arial" w:cs="Arial" w:eastAsia="Arial" w:hAnsi="Arial"/>
          <w:sz w:val="16"/>
          <w:szCs w:val="16"/>
          <w:b w:val="1"/>
          <w:bCs w:val="1"/>
          <w:color w:val="auto"/>
        </w:rPr>
        <w:t>Protection of the Company’s Property</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employees should endeavor to protect the Company’s property, plant and other tangible and intangible assets. Company property should not be used for non-Company business, though incidental personal use may be permitted.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 accounts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Company recognizes its responsibility to reimburse you for legitimate business expenses. Those expenses should be within reasonable limits and commensurate with the nature of the business assignment. You are expected to fully and clearly document business expenses and comply with the travel policy, which applies to your business unit/locale.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privacy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Company information about employees is confidential and only those with a legitimate, work-related need may access such information. BioLineRx will not release any information about you to entities outside the Company without your written authorization or unless required to do so by applicable law, pursuant to a summons, subpoena or court order, or as deemed appropriate by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Proprietary information and intellectual property</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Proprietary business, technical, personal information or any trade secret of the Company and its employees, customers and suppliers is considered confidential and must be safeguarded. Intellectual property developed by you or by others for the Company, or for which the Company has secured rights from others, should be used only for the benefit of the Company. Accordingly, all intellectual property rights derived from confidential information or other materials made, originated or developed by the employees shall belong exclusively to the Company, and the employees who are the inventors or developers of such intellectual property rights shall have no rights or benefits therein or deriving therefrom. You may not disclose proprietary information of the Company, its employees, customers, former employees, former customers or suppliers. These prohibitions continue even if you cease being employed by the Company for any reason.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data security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Corporate data refers to all information collected, created, processed and/or maintained in the normal course of BioLineRx’s business. The data may be in manual form (examples include verbal, handwritten, typed onto hard copy, microfilmed, photocopied or computer printouts), electronic form (examples include e-mails, voice-mails, computer memory, magnetic tape, cassette, disk, or diskette), or BioLineRx specific information included in computer applications programs, personal computing software, or operating system software.</w:t>
      </w:r>
    </w:p>
    <w:p>
      <w:pPr>
        <w:spacing w:after="0" w:line="16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All BioLineRx employees and any other person having physical or electronic access to corporate data are responsible for safeguarding corporate data by knowing and keeping such corporate data confidential.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26" w:name="page327"/>
    <w:bookmarkEnd w:id="326"/>
    <w:p>
      <w:pPr>
        <w:spacing w:after="0"/>
        <w:rPr>
          <w:sz w:val="20"/>
          <w:szCs w:val="20"/>
          <w:color w:val="auto"/>
        </w:rPr>
      </w:pPr>
      <w:r>
        <w:rPr>
          <w:rFonts w:ascii="Arial" w:cs="Arial" w:eastAsia="Arial" w:hAnsi="Arial"/>
          <w:sz w:val="16"/>
          <w:szCs w:val="16"/>
          <w:b w:val="1"/>
          <w:bCs w:val="1"/>
          <w:color w:val="auto"/>
        </w:rPr>
        <w:t>Electronic communications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You may not access or use BioLineRx’s electronic and wire communications systems without appropriate authority. No individual shall use the passwords or codes of another individual in order to gain access to that individual’s e-mail, voice mail, or Internet communications on BioLineRx’s systems unless first authorized to do so by that individual or the Company. These systems are provided for Company business, and only occasional personal use of the systems is permissible. Occasional personal use means minimal and infrequent use that does not interfere with BioLineRx business or job performance. BioLineRx’s systems may not be used to access or transmit material that could embarrass, harass, or offend other persons.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communications</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Requests for financial or business information, for interviews with any BioLineRx employee including comments or responding to requests relating to BioLineRx or its business, or the issuance of any press releases by any BioLineRx employee must be referred to the Company’s 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disclosure requirements</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reports and submissions (“Reports”) of BioLineRx to the SEC, NASDAQ, the Israel Securities Authority and the Tel Aviv Stock Exchange must comply with applicable legal and exchange requirements and may not contain material misstatements or omit material facts.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RELATIONSHIPS WITH BUSINESS ENTITIES AND AUTHORITIES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quality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are committed to making safe quality products for our sublicensees and future users of our products. We expect each BioLineRx employees to contribute to these standards by providing high quality work, being fully familiar with applicable laws and regulations that are pertinent to their areas of responsibility and participating in training programs provided by the Company covering broad ranges of activities. Employees are also encouraged to exert diligence in identifying and preventing practices that could impair product quality, safety or compliance with law.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Sanctions</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BioLineRx employees must comply with the applicable laws and regulations relating to economic and trade sanctions and embargoes against certain countries or entities. This includes refraining from indirect facilitation of a prohibited transaction.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27" w:name="page328"/>
    <w:bookmarkEnd w:id="327"/>
    <w:p>
      <w:pPr>
        <w:spacing w:after="0"/>
        <w:rPr>
          <w:sz w:val="20"/>
          <w:szCs w:val="20"/>
          <w:color w:val="auto"/>
        </w:rPr>
      </w:pPr>
      <w:r>
        <w:rPr>
          <w:rFonts w:ascii="Arial" w:cs="Arial" w:eastAsia="Arial" w:hAnsi="Arial"/>
          <w:sz w:val="16"/>
          <w:szCs w:val="16"/>
          <w:b w:val="1"/>
          <w:bCs w:val="1"/>
          <w:color w:val="auto"/>
        </w:rPr>
        <w:t>Foreign corrupt practices and anti-boycott laws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accordance with local and/or foreign laws, BioLineRx employees are prohibited from directly or indirectly authorizing, offering, promising or giving anything of value to a foreign governmental official as a means of influencing or inducing the official to obtain or retain business for BioLineRx. BioLineRx employees also are required to comply with applicable corrupt practices laws and anti-boycott laws that prohibit participation in certain foreign boycotts.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laws compliance/insider trading</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All BioLineRx employees must strictly obey all laws that prohibit the trading of securities based on prior knowledge of “material,” “non-public” information about BioLineRx. You may not trade BioLineRx stock, nor recommend to others that they trade BioLineRx stock, until such information has been publicly disclosed. These restrictions also apply to any trading, including securities of other companies, based on material, non-public information about customers, competitors or business partners of BioLineRx, either when trading BioLineRx securities or the securities of these other companies as well.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Unfair trade practices and fair dealing</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BioLineRx employees must comply with applicable laws in their place of employment and the laws of other applicable jurisdictions that prohibit unfair or deceptive business acts and practices, as well as unfair competition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protection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As a Company we are committed to full compliance with all applicable environmental protection laws and expect your individual cooperation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 and safety</w:t>
      </w: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Employees must observe safe practices on their jobs, report any injury or accident at work promptly and follow Company security and emergency policies and procedures.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6"/>
          <w:szCs w:val="16"/>
          <w:b w:val="1"/>
          <w:bCs w:val="1"/>
          <w:color w:val="auto"/>
        </w:rPr>
        <w:t>Exhibit 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w:t>
      </w:r>
      <w:r>
        <w:rPr>
          <w:rFonts w:ascii="Arial" w:cs="Arial" w:eastAsia="Arial" w:hAnsi="Arial"/>
          <w:sz w:val="13"/>
          <w:szCs w:val="13"/>
          <w:b w:val="1"/>
          <w:bCs w:val="1"/>
          <w:color w:val="auto"/>
        </w:rPr>
        <w:t>IO</w:t>
      </w:r>
      <w:r>
        <w:rPr>
          <w:rFonts w:ascii="Arial" w:cs="Arial" w:eastAsia="Arial" w:hAnsi="Arial"/>
          <w:sz w:val="19"/>
          <w:szCs w:val="19"/>
          <w:b w:val="1"/>
          <w:bCs w:val="1"/>
          <w:color w:val="auto"/>
        </w:rPr>
        <w:t>L</w:t>
      </w:r>
      <w:r>
        <w:rPr>
          <w:rFonts w:ascii="Arial" w:cs="Arial" w:eastAsia="Arial" w:hAnsi="Arial"/>
          <w:sz w:val="13"/>
          <w:szCs w:val="13"/>
          <w:b w:val="1"/>
          <w:bCs w:val="1"/>
          <w:color w:val="auto"/>
        </w:rPr>
        <w:t>INE</w:t>
      </w:r>
      <w:r>
        <w:rPr>
          <w:rFonts w:ascii="Arial" w:cs="Arial" w:eastAsia="Arial" w:hAnsi="Arial"/>
          <w:sz w:val="19"/>
          <w:szCs w:val="19"/>
          <w:b w:val="1"/>
          <w:bCs w:val="1"/>
          <w:color w:val="auto"/>
        </w:rPr>
        <w:t>R</w:t>
      </w:r>
      <w:r>
        <w:rPr>
          <w:rFonts w:ascii="Arial" w:cs="Arial" w:eastAsia="Arial" w:hAnsi="Arial"/>
          <w:sz w:val="13"/>
          <w:szCs w:val="13"/>
          <w:b w:val="1"/>
          <w:bCs w:val="1"/>
          <w:color w:val="auto"/>
        </w:rPr>
        <w:t>X</w:t>
      </w:r>
      <w:r>
        <w:rPr>
          <w:rFonts w:ascii="Arial" w:cs="Arial" w:eastAsia="Arial" w:hAnsi="Arial"/>
          <w:sz w:val="19"/>
          <w:szCs w:val="19"/>
          <w:b w:val="1"/>
          <w:bCs w:val="1"/>
          <w:color w:val="auto"/>
        </w:rPr>
        <w:t xml:space="preserve"> L</w:t>
      </w:r>
      <w:r>
        <w:rPr>
          <w:rFonts w:ascii="Arial" w:cs="Arial" w:eastAsia="Arial" w:hAnsi="Arial"/>
          <w:sz w:val="13"/>
          <w:szCs w:val="13"/>
          <w:b w:val="1"/>
          <w:bCs w:val="1"/>
          <w:color w:val="auto"/>
        </w:rPr>
        <w:t>TD</w:t>
      </w:r>
      <w:r>
        <w:rPr>
          <w:rFonts w:ascii="Arial" w:cs="Arial" w:eastAsia="Arial" w:hAnsi="Arial"/>
          <w:sz w:val="19"/>
          <w:szCs w:val="19"/>
          <w:b w:val="1"/>
          <w:bCs w:val="1"/>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COMPANY POLICY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TRADES BY BIOLINERX LTD. PERSONNEL</w:t>
      </w:r>
    </w:p>
    <w:p>
      <w:pPr>
        <w:spacing w:after="0" w:line="210" w:lineRule="exact"/>
        <w:rPr>
          <w:sz w:val="20"/>
          <w:szCs w:val="20"/>
          <w:color w:val="auto"/>
        </w:rPr>
      </w:pPr>
    </w:p>
    <w:p>
      <w:pPr>
        <w:ind w:firstLine="584"/>
        <w:spacing w:after="0" w:line="283" w:lineRule="auto"/>
        <w:rPr>
          <w:sz w:val="20"/>
          <w:szCs w:val="20"/>
          <w:color w:val="auto"/>
        </w:rPr>
      </w:pPr>
      <w:r>
        <w:rPr>
          <w:rFonts w:ascii="Arial" w:cs="Arial" w:eastAsia="Arial" w:hAnsi="Arial"/>
          <w:sz w:val="16"/>
          <w:szCs w:val="16"/>
          <w:color w:val="auto"/>
        </w:rPr>
        <w:t xml:space="preserve">BioLineRx Ltd. (the “Company”) has adopted the following Policy regarding trading by Company personnel in the Company’s securities. The Policy applies to </w:t>
      </w:r>
      <w:r>
        <w:rPr>
          <w:rFonts w:ascii="Arial" w:cs="Arial" w:eastAsia="Arial" w:hAnsi="Arial"/>
          <w:sz w:val="16"/>
          <w:szCs w:val="16"/>
          <w:i w:val="1"/>
          <w:iCs w:val="1"/>
          <w:color w:val="auto"/>
        </w:rPr>
        <w:t>all</w:t>
      </w:r>
      <w:r>
        <w:rPr>
          <w:rFonts w:ascii="Arial" w:cs="Arial" w:eastAsia="Arial" w:hAnsi="Arial"/>
          <w:sz w:val="16"/>
          <w:szCs w:val="16"/>
          <w:color w:val="auto"/>
        </w:rPr>
        <w:t xml:space="preserve"> Company personnel, including directors, officers, employees and consultants of the Company and its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Need for a Policy</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Policy has been developed:</w:t>
      </w:r>
    </w:p>
    <w:p>
      <w:pPr>
        <w:spacing w:after="0" w:line="206" w:lineRule="exact"/>
        <w:rPr>
          <w:sz w:val="20"/>
          <w:szCs w:val="20"/>
          <w:color w:val="auto"/>
        </w:rPr>
      </w:pPr>
    </w:p>
    <w:p>
      <w:pPr>
        <w:ind w:left="880" w:hanging="296"/>
        <w:spacing w:after="0"/>
        <w:tabs>
          <w:tab w:leader="none" w:pos="8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educate all Company personnel;</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set forth guidelines for courses of action;</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protect the Company and all of its personnel against legal liability; and</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to preserve the reputation of the Company and its personnel for integrity and ethical conduct.</w:t>
      </w:r>
    </w:p>
    <w:p>
      <w:pPr>
        <w:spacing w:after="0" w:line="206" w:lineRule="exact"/>
        <w:rPr>
          <w:sz w:val="20"/>
          <w:szCs w:val="20"/>
          <w:color w:val="auto"/>
        </w:rPr>
      </w:pPr>
    </w:p>
    <w:p>
      <w:pPr>
        <w:jc w:val="both"/>
        <w:ind w:firstLine="584"/>
        <w:spacing w:after="0" w:line="260" w:lineRule="auto"/>
        <w:rPr>
          <w:sz w:val="20"/>
          <w:szCs w:val="20"/>
          <w:color w:val="auto"/>
        </w:rPr>
      </w:pPr>
      <w:r>
        <w:rPr>
          <w:rFonts w:ascii="Arial" w:cs="Arial" w:eastAsia="Arial" w:hAnsi="Arial"/>
          <w:sz w:val="16"/>
          <w:szCs w:val="16"/>
          <w:color w:val="auto"/>
        </w:rPr>
        <w:t>Since the Company is a public company with its ordinary shares traded on the Tel Aviv Stock Exchange and its American Depositary Shares on the Nasdaq Capital Market, transactions in the Company’s securities are subject to both Israeli and United States federal securities laws and regulations. These laws and regulations make it illegal for an individual to buy or sell securities of the Company while aware of “inside information.” The U.S. Securities and Exchange Commission (SEC) and the Israel Securities Authority (ISA) take insider trading very seriously and devote significant resources to uncovering the activity and to prosecuting offenders. Liability may extend not only to the individuals who trade on “inside information,” but also to their “tippers,” people who leak the inside information to the individuals who trade. The Company and “controlling persons” of the Company may also be liable for violations by Company employees.</w:t>
      </w:r>
    </w:p>
    <w:p>
      <w:pPr>
        <w:spacing w:after="0" w:line="168"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In addition to responding to the statutes and regulations, we are adopting this Policy to avoid even the appearance of improper conduct on the part of anyone employed by or associated with the Company (not just “insiders”).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Consequences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consequences of insider trading violations can be severe. The following are examples under U.S. law applicable to the Company:</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b w:val="1"/>
          <w:bCs w:val="1"/>
          <w:u w:val="single" w:color="auto"/>
          <w:color w:val="auto"/>
        </w:rPr>
        <w:t>individuals</w:t>
      </w:r>
      <w:r>
        <w:rPr>
          <w:rFonts w:ascii="Arial" w:cs="Arial" w:eastAsia="Arial" w:hAnsi="Arial"/>
          <w:sz w:val="16"/>
          <w:szCs w:val="16"/>
          <w:color w:val="auto"/>
        </w:rPr>
        <w:t xml:space="preserve"> who trade on inside information (or tip information to others):</w:t>
      </w:r>
    </w:p>
    <w:p>
      <w:pPr>
        <w:spacing w:after="0" w:line="210" w:lineRule="exact"/>
        <w:rPr>
          <w:sz w:val="20"/>
          <w:szCs w:val="20"/>
          <w:color w:val="auto"/>
        </w:rPr>
      </w:pPr>
    </w:p>
    <w:p>
      <w:pPr>
        <w:ind w:left="880" w:hanging="296"/>
        <w:spacing w:after="0"/>
        <w:tabs>
          <w:tab w:leader="none" w:pos="8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civil penalty of up to three times the profit gained or loss avoided;</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criminal fine (no matter how small the profit) of up to $5 million; and</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jail term of up to twenty years.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29" w:name="page330"/>
    <w:bookmarkEnd w:id="329"/>
    <w:p>
      <w:pPr>
        <w:ind w:left="580"/>
        <w:spacing w:after="0"/>
        <w:rPr>
          <w:sz w:val="20"/>
          <w:szCs w:val="20"/>
          <w:color w:val="auto"/>
        </w:rPr>
      </w:pPr>
      <w:r>
        <w:rPr>
          <w:rFonts w:ascii="Arial" w:cs="Arial" w:eastAsia="Arial" w:hAnsi="Arial"/>
          <w:sz w:val="16"/>
          <w:szCs w:val="16"/>
          <w:color w:val="auto"/>
        </w:rPr>
        <w:t xml:space="preserve">For a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(as well as possibly any supervisory person) that fails to take appropriate steps to prevent illegal trading:</w:t>
      </w:r>
    </w:p>
    <w:p>
      <w:pPr>
        <w:spacing w:after="0" w:line="210" w:lineRule="exact"/>
        <w:rPr>
          <w:sz w:val="20"/>
          <w:szCs w:val="20"/>
          <w:color w:val="auto"/>
        </w:rPr>
      </w:pPr>
    </w:p>
    <w:p>
      <w:pPr>
        <w:ind w:left="880" w:hanging="296"/>
        <w:spacing w:after="0"/>
        <w:tabs>
          <w:tab w:leader="none" w:pos="8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 civil penalty of the greater of $1 million or three times the profit gained or loss avoided as a result of the employee’s violation; and</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 criminal penalty of up to $25 million.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Any of the above consequences – or even an SEC or ISA investigation that does not result in prosecution – can tarnish one’s reputation and irreparably damage a career. In addition, if an employee violates this Policy, Company-imposed sanctions, including dismissal for cause, could result from failing to comply with the Company’s policy or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Policy</w:t>
      </w:r>
    </w:p>
    <w:p>
      <w:pPr>
        <w:spacing w:after="0" w:line="206"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i w:val="1"/>
          <w:iCs w:val="1"/>
          <w:color w:val="auto"/>
        </w:rPr>
        <w:t>It is the Company’s policy that no Company personnel nor any related persons may buy or sell securities of the Company while aware of material nonpublic information or engage in any other action to take advantage of, or pass on to others, that information.</w:t>
      </w:r>
    </w:p>
    <w:p>
      <w:pPr>
        <w:spacing w:after="0" w:line="151"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This Policy also applies with equal force to information relating to any other company, including our collaborators, partners, suppliers, customers and others, obtained by Company personnel during the course of his or her service to or employment by the Company.</w:t>
      </w:r>
    </w:p>
    <w:p>
      <w:pPr>
        <w:spacing w:after="0" w:line="151"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51"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b w:val="1"/>
          <w:bCs w:val="1"/>
          <w:i w:val="1"/>
          <w:iCs w:val="1"/>
          <w:color w:val="auto"/>
        </w:rPr>
        <w:t xml:space="preserve">Policy Administrator. </w:t>
      </w:r>
      <w:r>
        <w:rPr>
          <w:rFonts w:ascii="Arial" w:cs="Arial" w:eastAsia="Arial" w:hAnsi="Arial"/>
          <w:sz w:val="16"/>
          <w:szCs w:val="16"/>
          <w:color w:val="auto"/>
        </w:rPr>
        <w:t>This Policy shall be administered by the “Policy Administrator,” who shall initially be the Chief Financial and Operating Officer. The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may, however, change from time to time, and you are encouraged to consult the copy of this Policy that is included on the Company’s website to obtain current information concerning the Policy Administrator.</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 xml:space="preserve">Material Non-Public Information. </w:t>
      </w:r>
      <w:r>
        <w:rPr>
          <w:rFonts w:ascii="Arial" w:cs="Arial" w:eastAsia="Arial" w:hAnsi="Arial"/>
          <w:sz w:val="16"/>
          <w:szCs w:val="16"/>
          <w:color w:val="auto"/>
        </w:rPr>
        <w:t>Material non-public information (</w:t>
      </w:r>
      <w:r>
        <w:rPr>
          <w:rFonts w:ascii="Arial" w:cs="Arial" w:eastAsia="Arial" w:hAnsi="Arial"/>
          <w:sz w:val="16"/>
          <w:szCs w:val="16"/>
          <w:i w:val="1"/>
          <w:iCs w:val="1"/>
          <w:color w:val="auto"/>
        </w:rPr>
        <w:t>i.e.</w:t>
      </w:r>
      <w:r>
        <w:rPr>
          <w:rFonts w:ascii="Arial" w:cs="Arial" w:eastAsia="Arial" w:hAnsi="Arial"/>
          <w:sz w:val="16"/>
          <w:szCs w:val="16"/>
          <w:color w:val="auto"/>
        </w:rPr>
        <w:t>, “inside information”) is any information that:</w:t>
      </w:r>
    </w:p>
    <w:p>
      <w:pPr>
        <w:spacing w:after="0" w:line="206" w:lineRule="exact"/>
        <w:rPr>
          <w:sz w:val="20"/>
          <w:szCs w:val="20"/>
          <w:color w:val="auto"/>
        </w:rPr>
      </w:pPr>
    </w:p>
    <w:p>
      <w:pPr>
        <w:ind w:left="880" w:hanging="296"/>
        <w:spacing w:after="0"/>
        <w:tabs>
          <w:tab w:leader="none" w:pos="8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is not generally known to the public, and</w:t>
      </w:r>
    </w:p>
    <w:p>
      <w:pPr>
        <w:spacing w:after="0" w:line="205" w:lineRule="exact"/>
        <w:rPr>
          <w:rFonts w:ascii="Arial" w:cs="Arial" w:eastAsia="Arial" w:hAnsi="Arial"/>
          <w:sz w:val="16"/>
          <w:szCs w:val="16"/>
          <w:color w:val="auto"/>
        </w:rPr>
      </w:pPr>
    </w:p>
    <w:p>
      <w:pPr>
        <w:ind w:left="880" w:hanging="296"/>
        <w:spacing w:after="0" w:line="283" w:lineRule="auto"/>
        <w:tabs>
          <w:tab w:leader="none" w:pos="8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which, if publicly known, would likely affect either the market price of the Company’s securities or a person’s decision to buy, sell or hold the Company’s securities.</w:t>
      </w:r>
    </w:p>
    <w:p>
      <w:pPr>
        <w:spacing w:after="0" w:line="151" w:lineRule="exact"/>
        <w:rPr>
          <w:sz w:val="20"/>
          <w:szCs w:val="20"/>
          <w:color w:val="auto"/>
        </w:rPr>
      </w:pPr>
    </w:p>
    <w:p>
      <w:pPr>
        <w:ind w:firstLine="584"/>
        <w:spacing w:after="0" w:line="283" w:lineRule="auto"/>
        <w:rPr>
          <w:sz w:val="20"/>
          <w:szCs w:val="20"/>
          <w:color w:val="auto"/>
        </w:rPr>
      </w:pPr>
      <w:r>
        <w:rPr>
          <w:rFonts w:ascii="Arial" w:cs="Arial" w:eastAsia="Arial" w:hAnsi="Arial"/>
          <w:sz w:val="16"/>
          <w:szCs w:val="16"/>
          <w:color w:val="auto"/>
        </w:rPr>
        <w:t>Information “generally known to the public” is information released to the press or the industry and after public investors and the market have had a reasonable period of time to evaluate and react to the information. All other information is regarded as non-public.</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 xml:space="preserve">Examples of Material Information. </w:t>
      </w:r>
      <w:r>
        <w:rPr>
          <w:rFonts w:ascii="Arial" w:cs="Arial" w:eastAsia="Arial" w:hAnsi="Arial"/>
          <w:sz w:val="16"/>
          <w:szCs w:val="16"/>
          <w:color w:val="auto"/>
        </w:rPr>
        <w:t>Common examples of information that will frequently be regarded as material are:</w:t>
      </w:r>
    </w:p>
    <w:p>
      <w:pPr>
        <w:spacing w:after="0" w:line="206" w:lineRule="exact"/>
        <w:rPr>
          <w:sz w:val="20"/>
          <w:szCs w:val="20"/>
          <w:color w:val="auto"/>
        </w:rPr>
      </w:pPr>
    </w:p>
    <w:p>
      <w:pPr>
        <w:ind w:left="880" w:hanging="296"/>
        <w:spacing w:after="0"/>
        <w:tabs>
          <w:tab w:leader="none" w:pos="8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quarterly or annual earnings results;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projections of future results or sales;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earnings or losses;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news of a pending or proposed merger, acquisition or tender offer;</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an important financing transaction;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30" w:name="page331"/>
    <w:bookmarkEnd w:id="330"/>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significant clinical or regulatory developments;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entry into or termination of a significant collaboration, joint venture or strategic alliance;</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changes in management;</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significant new products or discoveries;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plans regarding strategy or significant capital investments;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impending bankruptcy or financial liquidity problems;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criminal charge or government investigations;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internal financial information which departs from what the market would expect; and</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gain or loss of any significant contract or agreement.</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Either positive or negative information may be material. We emphasize that this list is merely illustrative.</w:t>
      </w:r>
    </w:p>
    <w:p>
      <w:pPr>
        <w:spacing w:after="0" w:line="206"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b w:val="1"/>
          <w:bCs w:val="1"/>
          <w:i w:val="1"/>
          <w:iCs w:val="1"/>
          <w:color w:val="auto"/>
        </w:rPr>
        <w:t xml:space="preserve">Twenty-Twenty Hindsight. </w:t>
      </w:r>
      <w:r>
        <w:rPr>
          <w:rFonts w:ascii="Arial" w:cs="Arial" w:eastAsia="Arial" w:hAnsi="Arial"/>
          <w:sz w:val="16"/>
          <w:szCs w:val="16"/>
          <w:color w:val="auto"/>
        </w:rPr>
        <w:t>Remember, if your securities transactions become the subject of scrutiny, they will be viewed after-the-fact with the benefit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hindsight. As a result, before engaging in any transaction, you should carefully consider how regulators and others might view your transaction in hindsight.</w:t>
      </w:r>
    </w:p>
    <w:p>
      <w:pPr>
        <w:spacing w:after="0" w:line="151"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6"/>
          <w:szCs w:val="16"/>
          <w:b w:val="1"/>
          <w:bCs w:val="1"/>
          <w:i w:val="1"/>
          <w:iCs w:val="1"/>
          <w:color w:val="auto"/>
        </w:rPr>
        <w:t xml:space="preserve">Transactions by Family Members and Others in Your Household. </w:t>
      </w:r>
      <w:r>
        <w:rPr>
          <w:rFonts w:ascii="Arial" w:cs="Arial" w:eastAsia="Arial" w:hAnsi="Arial"/>
          <w:sz w:val="16"/>
          <w:szCs w:val="16"/>
          <w:color w:val="auto"/>
        </w:rPr>
        <w:t>These restrictions also apply to your “immediate family members” – that is, a spouse, parent,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child or sibling and any other family member who shares the same address as, or is financially dependent on you. Employees are expected to be responsible for the compliance of all family members with this Policy. Employees are also expected to be responsible for the compliance of other persons who live in their household, whether or not related, with this Policy.</w:t>
      </w:r>
    </w:p>
    <w:p>
      <w:pPr>
        <w:spacing w:after="0" w:line="168" w:lineRule="exact"/>
        <w:rPr>
          <w:sz w:val="20"/>
          <w:szCs w:val="20"/>
          <w:color w:val="auto"/>
        </w:rPr>
      </w:pPr>
    </w:p>
    <w:p>
      <w:pPr>
        <w:jc w:val="both"/>
        <w:ind w:firstLine="584"/>
        <w:spacing w:after="0" w:line="294" w:lineRule="auto"/>
        <w:rPr>
          <w:sz w:val="20"/>
          <w:szCs w:val="20"/>
          <w:color w:val="auto"/>
        </w:rPr>
      </w:pPr>
      <w:r>
        <w:rPr>
          <w:rFonts w:ascii="Arial" w:cs="Arial" w:eastAsia="Arial" w:hAnsi="Arial"/>
          <w:sz w:val="15"/>
          <w:szCs w:val="15"/>
          <w:b w:val="1"/>
          <w:bCs w:val="1"/>
          <w:i w:val="1"/>
          <w:iCs w:val="1"/>
          <w:color w:val="auto"/>
        </w:rPr>
        <w:t xml:space="preserve">Tipping Information to Others. </w:t>
      </w:r>
      <w:r>
        <w:rPr>
          <w:rFonts w:ascii="Arial" w:cs="Arial" w:eastAsia="Arial" w:hAnsi="Arial"/>
          <w:sz w:val="15"/>
          <w:szCs w:val="15"/>
          <w:color w:val="auto"/>
        </w:rPr>
        <w:t>Whether the information is proprietary information about the Company or information that could have an impact on our stock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Company personnel must not pass the information on to others. The above penalties apply, whether or not you derive any monetary benefit from another person’s actions. </w:t>
      </w:r>
      <w:r>
        <w:rPr>
          <w:rFonts w:ascii="Arial" w:cs="Arial" w:eastAsia="Arial" w:hAnsi="Arial"/>
          <w:sz w:val="15"/>
          <w:szCs w:val="15"/>
          <w:i w:val="1"/>
          <w:iCs w:val="1"/>
          <w:color w:val="auto"/>
        </w:rPr>
        <w:t>Inside information is often inadvertently disclosed or overheard in casual, social conversations. Care must be taken to avoid such disclosures.</w:t>
      </w:r>
    </w:p>
    <w:p>
      <w:pPr>
        <w:spacing w:after="0" w:line="141"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6"/>
          <w:szCs w:val="16"/>
          <w:b w:val="1"/>
          <w:bCs w:val="1"/>
          <w:i w:val="1"/>
          <w:iCs w:val="1"/>
          <w:color w:val="auto"/>
        </w:rPr>
        <w:t>When Information is Public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you can appreciate, it is also improper for Company personnel to trade the Company’s securities immediately after the Company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a public announcement of material information. Since the Company’s shareholders and the investing public should be afforded time to receive information and to act upon it, as a general rule you should not engage in any transactions until the beginning of the second business day after the information has been released. Thus, if an announcement is made on a Monday, Wednesday generally would be the first day on which you should trade. If an announcement is made on a Friday, Tuesday generally would be the first day on which you should trade. However, if the information released is complex, such as a prospective major financing or other transaction, it may be necessary to allow additional time for the information to be absorbed by investors. In such circumstances, you will be notified by the Policy Administrator regarding a suitable waiting period before trading.</w:t>
      </w:r>
    </w:p>
    <w:p>
      <w:pPr>
        <w:spacing w:after="0" w:line="173" w:lineRule="exact"/>
        <w:rPr>
          <w:sz w:val="20"/>
          <w:szCs w:val="20"/>
          <w:color w:val="auto"/>
        </w:rPr>
      </w:pPr>
    </w:p>
    <w:p>
      <w:pPr>
        <w:jc w:val="both"/>
        <w:ind w:firstLine="584"/>
        <w:spacing w:after="0" w:line="318" w:lineRule="auto"/>
        <w:rPr>
          <w:sz w:val="20"/>
          <w:szCs w:val="20"/>
          <w:color w:val="auto"/>
        </w:rPr>
      </w:pPr>
      <w:r>
        <w:rPr>
          <w:rFonts w:ascii="Arial" w:cs="Arial" w:eastAsia="Arial" w:hAnsi="Arial"/>
          <w:sz w:val="15"/>
          <w:szCs w:val="15"/>
          <w:b w:val="1"/>
          <w:bCs w:val="1"/>
          <w:i w:val="1"/>
          <w:iCs w:val="1"/>
          <w:color w:val="auto"/>
        </w:rPr>
        <w:t xml:space="preserve">Prevention of Insider Trading by Others. </w:t>
      </w:r>
      <w:r>
        <w:rPr>
          <w:rFonts w:ascii="Arial" w:cs="Arial" w:eastAsia="Arial" w:hAnsi="Arial"/>
          <w:sz w:val="15"/>
          <w:szCs w:val="15"/>
          <w:color w:val="auto"/>
        </w:rPr>
        <w:t>If you become aware of a potential insider trading violation, you must immediately advise the Policy Administrator. You</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should also take steps, where appropriate, to prevent persons under your supervision or control from using inside information for trading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331" w:name="page332"/>
    <w:bookmarkEnd w:id="331"/>
    <w:p>
      <w:pPr>
        <w:jc w:val="both"/>
        <w:ind w:firstLine="584"/>
        <w:spacing w:after="0" w:line="268" w:lineRule="auto"/>
        <w:rPr>
          <w:sz w:val="20"/>
          <w:szCs w:val="20"/>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Serious problems could be caused for the Company by the unauthorized disclosure of internal information about the Company, whether or not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of facilitating improper trading in the securities of the Company. Company employees should not discuss internal company matters or developments with anyone outside of the Company, except as required in the performance of regular corporate duties.</w:t>
      </w:r>
    </w:p>
    <w:p>
      <w:pPr>
        <w:spacing w:after="0" w:line="163"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6"/>
          <w:szCs w:val="16"/>
          <w:color w:val="auto"/>
        </w:rPr>
        <w:t>This prohibition applies specifically (but not exclusively) to inquiries about the Company that may be made by the financial press, investment analysts or others in the financial community. It is important that all such communications on behalf of the Company be through an appropriately designated officer under carefully controlled circumstances. Unless you are expressly authorized to the contrary, if you receive any inquiries of this nature, you should decline comment and refer the inquirer to the Chief Financial and Operating Officer.</w:t>
      </w:r>
    </w:p>
    <w:p>
      <w:pPr>
        <w:spacing w:after="0" w:line="168"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Nothing in this Policy is meant to limit or change the obligations of confidentiality and non-use of non-public information that directors, officers, employees and consultants of the Company by virtue of their positions or their agreements with the Company. Such obligations also apply in the context of any electronic chat room or electronic bulletin board, including participation under a pseudonym.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Prohibited Transactions</w:t>
      </w:r>
    </w:p>
    <w:p>
      <w:pPr>
        <w:spacing w:after="0" w:line="206"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Since we believe it is generally improper and inappropriate for Company personnel to engage in short-term or speculative transactions involving the Company’s securities, it is our policy that such personnel should not engage in any of the following activities with respect to the Company’s securities:</w:t>
      </w:r>
    </w:p>
    <w:p>
      <w:pPr>
        <w:spacing w:after="0" w:line="151" w:lineRule="exact"/>
        <w:rPr>
          <w:sz w:val="20"/>
          <w:szCs w:val="20"/>
          <w:color w:val="auto"/>
        </w:rPr>
      </w:pPr>
    </w:p>
    <w:p>
      <w:pPr>
        <w:ind w:left="880" w:hanging="296"/>
        <w:spacing w:after="0" w:line="283" w:lineRule="auto"/>
        <w:tabs>
          <w:tab w:leader="none" w:pos="8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Trading in the Company’s securities on a short-term basis. Any ordinary shares of the Company purchased in the open market should be held for a minimum of 60 days.</w:t>
      </w:r>
    </w:p>
    <w:p>
      <w:pPr>
        <w:spacing w:after="0" w:line="150" w:lineRule="exact"/>
        <w:rPr>
          <w:rFonts w:ascii="Arial" w:cs="Arial" w:eastAsia="Arial" w:hAnsi="Arial"/>
          <w:sz w:val="16"/>
          <w:szCs w:val="16"/>
          <w:color w:val="auto"/>
        </w:rPr>
      </w:pPr>
    </w:p>
    <w:p>
      <w:pPr>
        <w:ind w:left="880" w:hanging="296"/>
        <w:spacing w:after="0"/>
        <w:tabs>
          <w:tab w:leader="none" w:pos="8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Short sales of the Company’s securities.</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Use of the Company’s securities to secure a margin or other loan, except in limited cases with the prior approval of the Policy Administrator.</w:t>
      </w:r>
    </w:p>
    <w:p>
      <w:pPr>
        <w:spacing w:after="0" w:line="205" w:lineRule="exact"/>
        <w:rPr>
          <w:rFonts w:ascii="Arial" w:cs="Arial" w:eastAsia="Arial" w:hAnsi="Arial"/>
          <w:sz w:val="16"/>
          <w:szCs w:val="16"/>
          <w:color w:val="auto"/>
        </w:rPr>
      </w:pPr>
    </w:p>
    <w:p>
      <w:pPr>
        <w:ind w:left="880" w:hanging="296"/>
        <w:spacing w:after="0"/>
        <w:tabs>
          <w:tab w:leader="none" w:pos="8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Transactions in straddles, collars, or other similar risk reduction devices, except in limited cases with the prior approval of the Policy Administrator.</w:t>
      </w:r>
    </w:p>
    <w:p>
      <w:pPr>
        <w:spacing w:after="0" w:line="205" w:lineRule="exact"/>
        <w:rPr>
          <w:rFonts w:ascii="Arial" w:cs="Arial" w:eastAsia="Arial" w:hAnsi="Arial"/>
          <w:sz w:val="16"/>
          <w:szCs w:val="16"/>
          <w:color w:val="auto"/>
        </w:rPr>
      </w:pPr>
    </w:p>
    <w:p>
      <w:pPr>
        <w:ind w:left="880" w:hanging="296"/>
        <w:spacing w:after="0" w:line="283" w:lineRule="auto"/>
        <w:tabs>
          <w:tab w:leader="none" w:pos="8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Transactions in publicly-traded options relating to the Company’s securities (i.e., options that are not granted by the Company), except in limited cases with the prior approval of the Policy Administrator.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Trading Blackouts Applicable to all Company Personnel</w:t>
      </w:r>
    </w:p>
    <w:p>
      <w:pPr>
        <w:spacing w:after="0" w:line="206" w:lineRule="exact"/>
        <w:rPr>
          <w:sz w:val="20"/>
          <w:szCs w:val="20"/>
          <w:color w:val="auto"/>
        </w:rPr>
      </w:pPr>
    </w:p>
    <w:p>
      <w:pPr>
        <w:ind w:firstLine="584"/>
        <w:spacing w:after="0" w:line="358" w:lineRule="auto"/>
        <w:rPr>
          <w:sz w:val="20"/>
          <w:szCs w:val="20"/>
          <w:color w:val="auto"/>
        </w:rPr>
      </w:pPr>
      <w:r>
        <w:rPr>
          <w:rFonts w:ascii="Arial" w:cs="Arial" w:eastAsia="Arial" w:hAnsi="Arial"/>
          <w:sz w:val="14"/>
          <w:szCs w:val="14"/>
          <w:color w:val="auto"/>
        </w:rPr>
        <w:t>While it is never permissible to trade based on material non-public information, we are implementing procedures to help prevent inadvertent violations and avoid even the appearance of an improper transaction (which could result, for example, where Company personnel engage in a trade while unaware of a pending major development).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332" w:name="page333"/>
    <w:bookmarkEnd w:id="332"/>
    <w:p>
      <w:pPr>
        <w:ind w:left="580"/>
        <w:spacing w:after="0"/>
        <w:rPr>
          <w:sz w:val="20"/>
          <w:szCs w:val="20"/>
          <w:color w:val="auto"/>
        </w:rPr>
      </w:pPr>
      <w:r>
        <w:rPr>
          <w:rFonts w:ascii="Arial" w:cs="Arial" w:eastAsia="Arial" w:hAnsi="Arial"/>
          <w:sz w:val="16"/>
          <w:szCs w:val="16"/>
          <w:b w:val="1"/>
          <w:bCs w:val="1"/>
          <w:i w:val="1"/>
          <w:iCs w:val="1"/>
          <w:color w:val="auto"/>
        </w:rPr>
        <w:t xml:space="preserve">Prohibited Periods for Trading. </w:t>
      </w:r>
      <w:r>
        <w:rPr>
          <w:rFonts w:ascii="Arial" w:cs="Arial" w:eastAsia="Arial" w:hAnsi="Arial"/>
          <w:sz w:val="16"/>
          <w:szCs w:val="16"/>
          <w:color w:val="auto"/>
        </w:rPr>
        <w:t>No person to whom this Policy is applicable may trade in the Company’s securities during the following periods:</w:t>
      </w:r>
    </w:p>
    <w:p>
      <w:pPr>
        <w:spacing w:after="0" w:line="204" w:lineRule="exact"/>
        <w:rPr>
          <w:sz w:val="20"/>
          <w:szCs w:val="20"/>
          <w:color w:val="auto"/>
        </w:rPr>
      </w:pPr>
    </w:p>
    <w:p>
      <w:pPr>
        <w:ind w:left="880" w:hanging="296"/>
        <w:spacing w:after="0" w:line="221" w:lineRule="auto"/>
        <w:tabs>
          <w:tab w:leader="none" w:pos="8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periods starting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close of each fiscal quarter and ending at the beginning of the second business day after the release of the Company’s financial results for each quarter and, in the case of the fourth quarter, financial results for the year end; and</w:t>
      </w:r>
    </w:p>
    <w:p>
      <w:pPr>
        <w:spacing w:after="0" w:line="183" w:lineRule="exact"/>
        <w:rPr>
          <w:rFonts w:ascii="Arial" w:cs="Arial" w:eastAsia="Arial" w:hAnsi="Arial"/>
          <w:sz w:val="16"/>
          <w:szCs w:val="16"/>
          <w:color w:val="auto"/>
        </w:rPr>
      </w:pPr>
    </w:p>
    <w:p>
      <w:pPr>
        <w:ind w:left="880" w:hanging="296"/>
        <w:spacing w:after="0" w:line="283" w:lineRule="auto"/>
        <w:tabs>
          <w:tab w:leader="none" w:pos="88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any other periods as determined by the Company. You will be notified by e-mail when you may not trade in the Company’s securities during such periods, and you will also be notified when trading restrictions are lifted.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There are no restrictions on exercising options </w:t>
      </w:r>
      <w:r>
        <w:rPr>
          <w:rFonts w:ascii="Arial" w:cs="Arial" w:eastAsia="Arial" w:hAnsi="Arial"/>
          <w:sz w:val="15"/>
          <w:szCs w:val="15"/>
          <w:b w:val="1"/>
          <w:bCs w:val="1"/>
          <w:color w:val="auto"/>
        </w:rPr>
        <w:t>without a sale</w:t>
      </w:r>
      <w:r>
        <w:rPr>
          <w:rFonts w:ascii="Arial" w:cs="Arial" w:eastAsia="Arial" w:hAnsi="Arial"/>
          <w:sz w:val="15"/>
          <w:szCs w:val="15"/>
          <w:color w:val="auto"/>
        </w:rPr>
        <w:t xml:space="preserve">. </w:t>
      </w:r>
      <w:r>
        <w:rPr>
          <w:rFonts w:ascii="Arial" w:cs="Arial" w:eastAsia="Arial" w:hAnsi="Arial"/>
          <w:sz w:val="15"/>
          <w:szCs w:val="15"/>
          <w:b w:val="1"/>
          <w:bCs w:val="1"/>
          <w:color w:val="auto"/>
        </w:rPr>
        <w:t>Selling</w:t>
      </w:r>
      <w:r>
        <w:rPr>
          <w:rFonts w:ascii="Arial" w:cs="Arial" w:eastAsia="Arial" w:hAnsi="Arial"/>
          <w:sz w:val="15"/>
          <w:szCs w:val="15"/>
          <w:color w:val="auto"/>
        </w:rPr>
        <w:t xml:space="preserve"> the shares held as a result of exercising options is subject to the restrictions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Pre-Clearance of Trades</w:t>
      </w:r>
    </w:p>
    <w:p>
      <w:pPr>
        <w:spacing w:after="0" w:line="206"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5"/>
          <w:szCs w:val="15"/>
          <w:color w:val="auto"/>
        </w:rPr>
        <w:t>In order to ensure and maintain compliance with this Policy, all transactions in the Company’s securities (acquisitions, dispositions, transfers, etc.), including the execution of Trading Plans (as defined below), by directors, members of Executive Management, financial team members and designated employees must be pre-cleared in advance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reasonable best efforts to provide approval or disapproval as soon as practicable.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after receiving the pre-clearance but prior to the execution of the transaction, you may not execute the transaction.</w:t>
      </w:r>
    </w:p>
    <w:p>
      <w:pPr>
        <w:spacing w:after="0" w:line="157"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b w:val="1"/>
          <w:bCs w:val="1"/>
          <w:color w:val="auto"/>
        </w:rPr>
        <w:t>Please note that such pre-clearance does not provide the insider with immunity from investigation or suit; it is the responsibility of the individual to comply with the applicable securities laws and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Exception for Trading Plans</w:t>
      </w:r>
    </w:p>
    <w:p>
      <w:pPr>
        <w:spacing w:after="0" w:line="206"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6"/>
          <w:szCs w:val="16"/>
          <w:color w:val="auto"/>
        </w:rPr>
        <w:t>Notwithstanding the restrictions and prohibitions on trading in the Company securities as set forth in this Policy, persons subject to this Policy are permitted to effect transactions in Company securities pursuant to approved trading plans established under Rule 10b5-1 under the Securities Exchange Act of 1934 (“Trading Plans”), including transactions during the prohibited periods discussed above. Rule 10b5-1 requires that these transactions be made pursuant to a plan that was established while the person was not in possession of material non-public information. In order to comply with this Policy, the Company must pre-approve any such Trading Plan prior to its effectiveness. Company personnel seeking to establish a Trading Plan should contact the Policy Administrator.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Application of this Policy to Persons Who Cease to be Associated with the Company</w:t>
      </w:r>
    </w:p>
    <w:p>
      <w:pPr>
        <w:spacing w:after="0" w:line="206"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The laws against insider trading continue to apply to anyone who has material non-public information about the Company. Therefore, even if an individual ceases to be employed by or associated with the Company, that person is prohibited by law from trading any securities of the Company for so long as he or she possesses material non-public information.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22" w:right="259"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b w:val="1"/>
          <w:bCs w:val="1"/>
          <w:i w:val="1"/>
          <w:iCs w:val="1"/>
          <w:color w:val="auto"/>
        </w:rPr>
        <w:t>Company Assistance</w:t>
      </w:r>
    </w:p>
    <w:p>
      <w:pPr>
        <w:spacing w:after="0" w:line="206" w:lineRule="exact"/>
        <w:rPr>
          <w:sz w:val="20"/>
          <w:szCs w:val="20"/>
          <w:color w:val="auto"/>
        </w:rPr>
      </w:pPr>
    </w:p>
    <w:p>
      <w:pPr>
        <w:jc w:val="both"/>
        <w:ind w:right="20" w:firstLine="584"/>
        <w:spacing w:after="0" w:line="268" w:lineRule="auto"/>
        <w:rPr>
          <w:sz w:val="20"/>
          <w:szCs w:val="20"/>
          <w:color w:val="auto"/>
        </w:rPr>
      </w:pPr>
      <w:r>
        <w:rPr>
          <w:rFonts w:ascii="Arial" w:cs="Arial" w:eastAsia="Arial" w:hAnsi="Arial"/>
          <w:sz w:val="16"/>
          <w:szCs w:val="16"/>
          <w:color w:val="auto"/>
        </w:rPr>
        <w:t>Any person who has any questions about specific transactions or this Policy in general may obtain additional guidance from the Policy Administrator. Remember, however, the ultimate responsibility for adhering to the Policy and avoiding improper transactions rests with you. In this regard, it is imperative that you use your best judgment.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Certifications</w:t>
      </w:r>
    </w:p>
    <w:p>
      <w:pPr>
        <w:spacing w:after="0" w:line="206"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color w:val="auto"/>
        </w:rPr>
        <w:t>As a condition to continuing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w:t>
      </w:r>
    </w:p>
    <w:p>
      <w:pPr>
        <w:spacing w:after="0" w:line="210"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color w:val="auto"/>
        </w:rPr>
        <w:t>The undersigned hereby certifies that he/she has read and understands, and agrees to comply with, the Company’s Statement of Company Policy regarding Securities Trades by Company Personnel, a copy of which was distributed with this Certification.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20"/>
                <w:szCs w:val="20"/>
                <w:color w:val="auto"/>
              </w:rPr>
            </w:pPr>
            <w:r>
              <w:rPr>
                <w:rFonts w:ascii="Arial" w:cs="Arial" w:eastAsia="Arial" w:hAnsi="Arial"/>
                <w:sz w:val="16"/>
                <w:szCs w:val="16"/>
                <w:color w:val="auto"/>
              </w:rPr>
              <w:t>Date: __________________________</w:t>
            </w:r>
          </w:p>
        </w:tc>
        <w:tc>
          <w:tcPr>
            <w:tcW w:w="7360" w:type="dxa"/>
            <w:vAlign w:val="bottom"/>
          </w:tcPr>
          <w:p>
            <w:pPr>
              <w:ind w:left="1640"/>
              <w:spacing w:after="0"/>
              <w:rPr>
                <w:sz w:val="20"/>
                <w:szCs w:val="20"/>
                <w:color w:val="auto"/>
              </w:rPr>
            </w:pPr>
            <w:r>
              <w:rPr>
                <w:rFonts w:ascii="Arial" w:cs="Arial" w:eastAsia="Arial" w:hAnsi="Arial"/>
                <w:sz w:val="16"/>
                <w:szCs w:val="16"/>
                <w:color w:val="auto"/>
              </w:rPr>
              <w:t>Signature ________________________</w:t>
            </w:r>
          </w:p>
        </w:tc>
      </w:tr>
      <w:tr>
        <w:trPr>
          <w:trHeight w:val="378"/>
        </w:trPr>
        <w:tc>
          <w:tcPr>
            <w:tcW w:w="4060" w:type="dxa"/>
            <w:vAlign w:val="bottom"/>
          </w:tcPr>
          <w:p>
            <w:pPr>
              <w:spacing w:after="0"/>
              <w:rPr>
                <w:sz w:val="24"/>
                <w:szCs w:val="24"/>
                <w:color w:val="auto"/>
              </w:rPr>
            </w:pPr>
          </w:p>
        </w:tc>
        <w:tc>
          <w:tcPr>
            <w:tcW w:w="7360" w:type="dxa"/>
            <w:vAlign w:val="bottom"/>
          </w:tcPr>
          <w:p>
            <w:pPr>
              <w:ind w:left="1640"/>
              <w:spacing w:after="0"/>
              <w:rPr>
                <w:sz w:val="20"/>
                <w:szCs w:val="20"/>
                <w:color w:val="auto"/>
              </w:rPr>
            </w:pPr>
            <w:r>
              <w:rPr>
                <w:rFonts w:ascii="Arial" w:cs="Arial" w:eastAsia="Arial" w:hAnsi="Arial"/>
                <w:sz w:val="16"/>
                <w:szCs w:val="16"/>
                <w:color w:val="auto"/>
              </w:rPr>
              <w:t>Name: ____________________________</w:t>
            </w:r>
          </w:p>
        </w:tc>
      </w:tr>
      <w:tr>
        <w:trPr>
          <w:trHeight w:val="207"/>
        </w:trPr>
        <w:tc>
          <w:tcPr>
            <w:tcW w:w="4060" w:type="dxa"/>
            <w:vAlign w:val="bottom"/>
          </w:tcPr>
          <w:p>
            <w:pPr>
              <w:spacing w:after="0"/>
              <w:rPr>
                <w:sz w:val="17"/>
                <w:szCs w:val="17"/>
                <w:color w:val="auto"/>
              </w:rPr>
            </w:pPr>
          </w:p>
        </w:tc>
        <w:tc>
          <w:tcPr>
            <w:tcW w:w="7360" w:type="dxa"/>
            <w:vAlign w:val="bottom"/>
          </w:tcPr>
          <w:p>
            <w:pPr>
              <w:ind w:left="2380"/>
              <w:spacing w:after="0"/>
              <w:rPr>
                <w:sz w:val="20"/>
                <w:szCs w:val="20"/>
                <w:color w:val="auto"/>
              </w:rPr>
            </w:pPr>
            <w:r>
              <w:rPr>
                <w:rFonts w:ascii="Arial" w:cs="Arial" w:eastAsia="Arial" w:hAnsi="Arial"/>
                <w:sz w:val="16"/>
                <w:szCs w:val="16"/>
                <w:color w:val="auto"/>
              </w:rPr>
              <w:t>(Please Print)</w:t>
            </w:r>
          </w:p>
        </w:tc>
      </w:tr>
      <w:tr>
        <w:trPr>
          <w:trHeight w:val="390"/>
        </w:trPr>
        <w:tc>
          <w:tcPr>
            <w:tcW w:w="4060" w:type="dxa"/>
            <w:vAlign w:val="bottom"/>
          </w:tcPr>
          <w:p>
            <w:pPr>
              <w:spacing w:after="0"/>
              <w:rPr>
                <w:sz w:val="24"/>
                <w:szCs w:val="24"/>
                <w:color w:val="auto"/>
              </w:rPr>
            </w:pPr>
          </w:p>
        </w:tc>
        <w:tc>
          <w:tcPr>
            <w:tcW w:w="7360" w:type="dxa"/>
            <w:vAlign w:val="bottom"/>
          </w:tcPr>
          <w:p>
            <w:pPr>
              <w:jc w:val="right"/>
              <w:ind w:right="5559"/>
              <w:spacing w:after="0"/>
              <w:rPr>
                <w:sz w:val="20"/>
                <w:szCs w:val="20"/>
                <w:color w:val="auto"/>
              </w:rPr>
            </w:pPr>
            <w:r>
              <w:rPr>
                <w:rFonts w:ascii="Arial" w:cs="Arial" w:eastAsia="Arial" w:hAnsi="Arial"/>
                <w:sz w:val="16"/>
                <w:szCs w:val="16"/>
                <w:color w:val="auto"/>
              </w:rPr>
              <w:t>26</w:t>
            </w:r>
          </w:p>
        </w:tc>
      </w:tr>
      <w:tr>
        <w:trPr>
          <w:trHeight w:val="106"/>
        </w:trPr>
        <w:tc>
          <w:tcPr>
            <w:tcW w:w="4060" w:type="dxa"/>
            <w:vAlign w:val="bottom"/>
            <w:tcBorders>
              <w:bottom w:val="single" w:sz="8" w:color="808080"/>
            </w:tcBorders>
          </w:tcPr>
          <w:p>
            <w:pPr>
              <w:spacing w:after="0"/>
              <w:rPr>
                <w:sz w:val="9"/>
                <w:szCs w:val="9"/>
                <w:color w:val="auto"/>
              </w:rPr>
            </w:pPr>
          </w:p>
        </w:tc>
        <w:tc>
          <w:tcPr>
            <w:tcW w:w="73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7232650</wp:posOffset>
            </wp:positionH>
            <wp:positionV relativeFrom="paragraph">
              <wp:posOffset>-27305</wp:posOffset>
            </wp:positionV>
            <wp:extent cx="12700"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-27305</wp:posOffset>
            </wp:positionV>
            <wp:extent cx="12700"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334" w:name="page335"/>
    <w:bookmarkEnd w:id="334"/>
    <w:p>
      <w:pPr>
        <w:ind w:left="5380"/>
        <w:spacing w:after="0"/>
        <w:rPr>
          <w:sz w:val="20"/>
          <w:szCs w:val="20"/>
          <w:color w:val="auto"/>
        </w:rPr>
      </w:pPr>
      <w:r>
        <w:rPr>
          <w:rFonts w:ascii="Arial" w:cs="Arial" w:eastAsia="Arial" w:hAnsi="Arial"/>
          <w:sz w:val="16"/>
          <w:szCs w:val="16"/>
          <w:b w:val="1"/>
          <w:bCs w:val="1"/>
          <w:color w:val="auto"/>
        </w:rPr>
        <w:t>Exhibit F</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BIOLINERX LTD.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Intra-Organizational Enforcement Plan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Pursuant to and in accordance with the Law for the Improvement of Internal Enforcement Proceedings in the Israel Securities Authority, 5770-2010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This plan was approved by the Board of Directors of the Company on December 22, 2012 and has been updated as of October 2013.</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240"/>
          </w:cols>
          <w:pgMar w:left="240" w:top="317" w:right="1419" w:bottom="1440" w:gutter="0" w:footer="0" w:header="0"/>
        </w:sectPr>
      </w:pPr>
    </w:p>
    <w:bookmarkStart w:id="335" w:name="page336"/>
    <w:bookmarkEnd w:id="335"/>
    <w:p>
      <w:pPr>
        <w:ind w:left="583" w:hanging="581"/>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Contents</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Senior officer declaration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 on an administrative enforcement plan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Organizational structure and division of functions and responsibility</w:t>
      </w:r>
    </w:p>
    <w:p>
      <w:pPr>
        <w:spacing w:after="0" w:line="217" w:lineRule="exact"/>
        <w:rPr>
          <w:rFonts w:ascii="Arial" w:cs="Arial" w:eastAsia="Arial" w:hAnsi="Arial"/>
          <w:sz w:val="15"/>
          <w:szCs w:val="15"/>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Guiding principles/issues addressed</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 an internal enforcement officer</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Contact and reporting</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Sanctions in events of violations and failure to report</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Findings of mapping of the existing situation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Relevant procedures</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Assimilation plan</w:t>
      </w:r>
    </w:p>
    <w:p>
      <w:pPr>
        <w:spacing w:after="0" w:line="205" w:lineRule="exact"/>
        <w:rPr>
          <w:rFonts w:ascii="Arial" w:cs="Arial" w:eastAsia="Arial" w:hAnsi="Arial"/>
          <w:sz w:val="16"/>
          <w:szCs w:val="16"/>
          <w:b w:val="1"/>
          <w:bCs w:val="1"/>
          <w:color w:val="auto"/>
        </w:rPr>
      </w:pPr>
    </w:p>
    <w:p>
      <w:pPr>
        <w:ind w:left="583" w:hanging="583"/>
        <w:spacing w:after="0"/>
        <w:tabs>
          <w:tab w:leader="none" w:pos="583"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Annex A</w:t>
      </w:r>
    </w:p>
    <w:p>
      <w:pPr>
        <w:spacing w:after="0" w:line="210"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4979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222"/>
          </w:cols>
          <w:pgMar w:left="237" w:top="318" w:right="1440" w:bottom="1440" w:gutter="0" w:footer="0" w:header="0"/>
        </w:sectPr>
      </w:pPr>
    </w:p>
    <w:bookmarkStart w:id="336" w:name="page337"/>
    <w:bookmarkEnd w:id="336"/>
    <w:p>
      <w:pPr>
        <w:ind w:left="581" w:hanging="581"/>
        <w:spacing w:after="0"/>
        <w:tabs>
          <w:tab w:leader="none" w:pos="581" w:val="left"/>
        </w:tabs>
        <w:numPr>
          <w:ilvl w:val="0"/>
          <w:numId w:val="296"/>
        </w:numPr>
        <w:rPr>
          <w:rFonts w:ascii="Arial" w:cs="Arial" w:eastAsia="Arial" w:hAnsi="Arial"/>
          <w:sz w:val="16"/>
          <w:szCs w:val="16"/>
          <w:b w:val="1"/>
          <w:bCs w:val="1"/>
          <w:color w:val="auto"/>
        </w:rPr>
      </w:pPr>
      <w:r>
        <w:rPr>
          <w:rFonts w:ascii="Arial" w:cs="Arial" w:eastAsia="Arial" w:hAnsi="Arial"/>
          <w:sz w:val="16"/>
          <w:szCs w:val="16"/>
          <w:b w:val="1"/>
          <w:bCs w:val="1"/>
          <w:color w:val="auto"/>
        </w:rPr>
        <w:t>Senior officer declaration</w:t>
      </w:r>
    </w:p>
    <w:p>
      <w:pPr>
        <w:spacing w:after="0" w:line="205" w:lineRule="exact"/>
        <w:rPr>
          <w:rFonts w:ascii="Arial" w:cs="Arial" w:eastAsia="Arial" w:hAnsi="Arial"/>
          <w:sz w:val="16"/>
          <w:szCs w:val="16"/>
          <w:b w:val="1"/>
          <w:bCs w:val="1"/>
          <w:color w:val="auto"/>
        </w:rPr>
      </w:pPr>
    </w:p>
    <w:p>
      <w:pPr>
        <w:ind w:left="1"/>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w:t>
      </w:r>
      <w:r>
        <w:rPr>
          <w:rFonts w:ascii="Arial" w:cs="Arial" w:eastAsia="Arial" w:hAnsi="Arial"/>
          <w:sz w:val="14"/>
          <w:szCs w:val="14"/>
          <w:b w:val="1"/>
          <w:bCs w:val="1"/>
          <w:color w:val="auto"/>
        </w:rPr>
        <w:t>CEO’s message</w:t>
      </w:r>
    </w:p>
    <w:p>
      <w:pPr>
        <w:spacing w:after="0" w:line="210" w:lineRule="exact"/>
        <w:rPr>
          <w:sz w:val="20"/>
          <w:szCs w:val="20"/>
          <w:color w:val="auto"/>
        </w:rPr>
      </w:pPr>
    </w:p>
    <w:p>
      <w:pPr>
        <w:jc w:val="both"/>
        <w:ind w:left="1"/>
        <w:spacing w:after="0" w:line="263" w:lineRule="auto"/>
        <w:rPr>
          <w:sz w:val="20"/>
          <w:szCs w:val="20"/>
          <w:color w:val="auto"/>
        </w:rPr>
      </w:pPr>
      <w:r>
        <w:rPr>
          <w:rFonts w:ascii="Arial" w:cs="Arial" w:eastAsia="Arial" w:hAnsi="Arial"/>
          <w:sz w:val="16"/>
          <w:szCs w:val="16"/>
          <w:color w:val="auto"/>
        </w:rPr>
        <w:t>The status of BioLineRx as a public company confers on it both advantages and responsibility. The main market for trading the Company’s shares is the Tel Aviv Stock Exchange. Therefore, we are subject to the Israeli Securities Law and the enforcement thereof by the Israel Securities Authority (“ISA”). When the ISA learns of breaches of the law, it has the power to sue companies and individuals in criminal proceedings and (after amendments to the law from 2011) to impose fines and other sanctions without the need to apply to the courts.</w:t>
      </w:r>
    </w:p>
    <w:p>
      <w:pPr>
        <w:spacing w:after="0" w:line="168"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The administrative enforcement plan is intended to help us comply with the law, to correctly address violations and to demonstrate to the ISA that we treat seriously anything that is related to the offering of our shares. Understanding the plan and enforcing it in day-to-day life provides a solid basis for the investors’ trust in particular and for the Company’s public reputation in general.</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6"/>
          <w:szCs w:val="16"/>
          <w:color w:val="auto"/>
        </w:rPr>
        <w:t>Similarly to our code of business and ethics, this plan is intended for each and every Company employee, manager and Board member.</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I request and expect your personal commitment to the enforcement of the procedure and full cooperation in its application.</w:t>
      </w:r>
    </w:p>
    <w:p>
      <w:pPr>
        <w:spacing w:after="0" w:line="206"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This procedure is a living procedure which may change from time to time pursuant to relevant laws and regulations and according to the lessons learned during the assimilation of the plan.</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I trust each and every one of you to comply with both the written plan and its spirit.</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Dr. Kinneret Savitsky</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6"/>
          <w:szCs w:val="16"/>
          <w:color w:val="auto"/>
        </w:rPr>
        <w:t>CEO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318" w:right="259" w:bottom="1440" w:gutter="0" w:footer="0" w:header="0"/>
        </w:sectPr>
      </w:pPr>
    </w:p>
    <w:bookmarkStart w:id="337" w:name="page338"/>
    <w:bookmarkEnd w:id="337"/>
    <w:p>
      <w:pPr>
        <w:ind w:left="581" w:hanging="581"/>
        <w:spacing w:after="0"/>
        <w:tabs>
          <w:tab w:leader="none" w:pos="581"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General information on an administrative enforcement plan</w:t>
      </w:r>
    </w:p>
    <w:p>
      <w:pPr>
        <w:spacing w:after="0" w:line="206"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Improvement of Internal Enforcement Proceedings in the ISA Law, 5770-2010</w:t>
      </w:r>
    </w:p>
    <w:p>
      <w:pPr>
        <w:spacing w:after="0" w:line="206" w:lineRule="exact"/>
        <w:rPr>
          <w:sz w:val="20"/>
          <w:szCs w:val="20"/>
          <w:color w:val="auto"/>
        </w:rPr>
      </w:pPr>
    </w:p>
    <w:p>
      <w:pPr>
        <w:jc w:val="both"/>
        <w:ind w:left="1"/>
        <w:spacing w:after="0" w:line="262" w:lineRule="auto"/>
        <w:rPr>
          <w:sz w:val="20"/>
          <w:szCs w:val="20"/>
          <w:color w:val="auto"/>
        </w:rPr>
      </w:pPr>
      <w:r>
        <w:rPr>
          <w:rFonts w:ascii="Arial" w:cs="Arial" w:eastAsia="Arial" w:hAnsi="Arial"/>
          <w:sz w:val="16"/>
          <w:szCs w:val="16"/>
          <w:color w:val="auto"/>
        </w:rPr>
        <w:t>The Law for the Improvement of Internal Enforcement Proceedings in the Israel Securities Authority, 5770-2010 (the “</w:t>
      </w:r>
      <w:r>
        <w:rPr>
          <w:rFonts w:ascii="Arial" w:cs="Arial" w:eastAsia="Arial" w:hAnsi="Arial"/>
          <w:sz w:val="16"/>
          <w:szCs w:val="16"/>
          <w:b w:val="1"/>
          <w:bCs w:val="1"/>
          <w:color w:val="auto"/>
        </w:rPr>
        <w:t>Law</w:t>
      </w:r>
      <w:r>
        <w:rPr>
          <w:rFonts w:ascii="Arial" w:cs="Arial" w:eastAsia="Arial" w:hAnsi="Arial"/>
          <w:sz w:val="16"/>
          <w:szCs w:val="16"/>
          <w:color w:val="auto"/>
        </w:rPr>
        <w:t>”), which was approved by the Knesset in January 2011, constitutes a significant change that requires reporting companies to immediately address the requirements of the new Law. The main parts of the Law regulate the establishment of an administrative committee that will deal with violations in the area of securities. If the committee reaches the conclusion that it was proven at the level of proof which is customary in civil law (a probability of more than 50%) that a violation was committed, it will be authorized to institute various means of enforcement against the violating party.</w:t>
      </w:r>
    </w:p>
    <w:p>
      <w:pPr>
        <w:spacing w:after="0" w:line="165"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The committee will deal with various violations that are related to the Securities Law, 5728-1968 (the “</w:t>
      </w:r>
      <w:r>
        <w:rPr>
          <w:rFonts w:ascii="Arial" w:cs="Arial" w:eastAsia="Arial" w:hAnsi="Arial"/>
          <w:sz w:val="16"/>
          <w:szCs w:val="16"/>
          <w:b w:val="1"/>
          <w:bCs w:val="1"/>
          <w:color w:val="auto"/>
        </w:rPr>
        <w:t>Securities Law</w:t>
      </w:r>
      <w:r>
        <w:rPr>
          <w:rFonts w:ascii="Arial" w:cs="Arial" w:eastAsia="Arial" w:hAnsi="Arial"/>
          <w:sz w:val="16"/>
          <w:szCs w:val="16"/>
          <w:color w:val="auto"/>
        </w:rPr>
        <w:t xml:space="preserve">”) and other relevant laws. The common feature of such violations is that the </w:t>
      </w:r>
      <w:r>
        <w:rPr>
          <w:rFonts w:ascii="Arial" w:cs="Arial" w:eastAsia="Arial" w:hAnsi="Arial"/>
          <w:sz w:val="16"/>
          <w:szCs w:val="16"/>
          <w:i w:val="1"/>
          <w:iCs w:val="1"/>
          <w:color w:val="auto"/>
        </w:rPr>
        <w:t>mens rea</w:t>
      </w:r>
      <w:r>
        <w:rPr>
          <w:rFonts w:ascii="Arial" w:cs="Arial" w:eastAsia="Arial" w:hAnsi="Arial"/>
          <w:sz w:val="16"/>
          <w:szCs w:val="16"/>
          <w:color w:val="auto"/>
        </w:rPr>
        <w:t xml:space="preserve"> that is set forth therein is at most that of negligence</w:t>
      </w:r>
      <w:r>
        <w:rPr>
          <w:rFonts w:ascii="Arial" w:cs="Arial" w:eastAsia="Arial" w:hAnsi="Arial"/>
          <w:sz w:val="16"/>
          <w:szCs w:val="16"/>
          <w:i w:val="1"/>
          <w:iCs w:val="1"/>
          <w:color w:val="auto"/>
        </w:rPr>
        <w:t>.</w:t>
      </w:r>
    </w:p>
    <w:p>
      <w:pPr>
        <w:spacing w:after="0" w:line="147"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The means of enforcement that the committee will be authorized to impose will be significant fines, a demand to pay damages to the party injured by the violation, a payment to the State treasury which derives from profits that were generated as a result of the violation, a demand to institute acts to remedy the violation and prevent its recurrence, a prohibition on holding office in certain bodies, a suspension or revocation of a license and suspended punishment.</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As is known, the Law establishes, </w:t>
      </w:r>
      <w:r>
        <w:rPr>
          <w:rFonts w:ascii="Arial" w:cs="Arial" w:eastAsia="Arial" w:hAnsi="Arial"/>
          <w:sz w:val="16"/>
          <w:szCs w:val="16"/>
          <w:i w:val="1"/>
          <w:iCs w:val="1"/>
          <w:color w:val="auto"/>
        </w:rPr>
        <w:t>inter alia</w:t>
      </w:r>
      <w:r>
        <w:rPr>
          <w:rFonts w:ascii="Arial" w:cs="Arial" w:eastAsia="Arial" w:hAnsi="Arial"/>
          <w:sz w:val="16"/>
          <w:szCs w:val="16"/>
          <w:color w:val="auto"/>
        </w:rPr>
        <w:t>, the strict responsibility of the CEO, due to which enforcement measures can be imposed as set forth in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44715" cy="12833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4715" cy="1283335"/>
                    </a:xfrm>
                    <a:prstGeom prst="rect">
                      <a:avLst/>
                    </a:prstGeom>
                    <a:noFill/>
                  </pic:spPr>
                </pic:pic>
              </a:graphicData>
            </a:graphic>
          </wp:anchor>
        </w:drawing>
      </w:r>
    </w:p>
    <w:p>
      <w:pPr>
        <w:spacing w:after="0" w:line="247" w:lineRule="exact"/>
        <w:rPr>
          <w:sz w:val="20"/>
          <w:szCs w:val="20"/>
          <w:color w:val="auto"/>
        </w:rPr>
      </w:pPr>
    </w:p>
    <w:p>
      <w:pPr>
        <w:ind w:left="721" w:right="60" w:hanging="333"/>
        <w:spacing w:after="0" w:line="318" w:lineRule="auto"/>
        <w:tabs>
          <w:tab w:leader="none" w:pos="721"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“The CEO of the corporation and a partner other than a limited partner, are obligated to supervise and institute any and all reasonable means under the circumstances of the case to prevent the commission of a violation by the corporation or partnership, as the case may be, or by any of their employees.”</w:t>
      </w:r>
    </w:p>
    <w:p>
      <w:pPr>
        <w:spacing w:after="0" w:line="5" w:lineRule="exact"/>
        <w:rPr>
          <w:rFonts w:ascii="Arial" w:cs="Arial" w:eastAsia="Arial" w:hAnsi="Arial"/>
          <w:sz w:val="15"/>
          <w:szCs w:val="15"/>
          <w:color w:val="auto"/>
        </w:rPr>
      </w:pPr>
    </w:p>
    <w:p>
      <w:pPr>
        <w:jc w:val="both"/>
        <w:ind w:left="721" w:right="60" w:hanging="333"/>
        <w:spacing w:after="0" w:line="268" w:lineRule="auto"/>
        <w:tabs>
          <w:tab w:leader="none" w:pos="72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If a violation is committed the presumption is that the CEO of the corporation or a partner other than a limited partner in the partnership, as the case may be, has breached his obligation pursuant to Subsection (a) </w:t>
      </w:r>
      <w:r>
        <w:rPr>
          <w:rFonts w:ascii="Arial" w:cs="Arial" w:eastAsia="Arial" w:hAnsi="Arial"/>
          <w:sz w:val="16"/>
          <w:szCs w:val="16"/>
          <w:b w:val="1"/>
          <w:bCs w:val="1"/>
          <w:color w:val="auto"/>
        </w:rPr>
        <w:t>and may be subject to one or more of the means of enforcement</w:t>
      </w:r>
      <w:r>
        <w:rPr>
          <w:rFonts w:ascii="Arial" w:cs="Arial" w:eastAsia="Arial" w:hAnsi="Arial"/>
          <w:sz w:val="16"/>
          <w:szCs w:val="16"/>
          <w:color w:val="auto"/>
        </w:rPr>
        <w:t xml:space="preserve"> as specified below…</w:t>
      </w:r>
      <w:r>
        <w:rPr>
          <w:rFonts w:ascii="Arial" w:cs="Arial" w:eastAsia="Arial" w:hAnsi="Arial"/>
          <w:sz w:val="16"/>
          <w:szCs w:val="16"/>
          <w:u w:val="single" w:color="auto"/>
          <w:color w:val="auto"/>
        </w:rPr>
        <w:t>unless he proves that</w:t>
      </w:r>
      <w:r>
        <w:rPr>
          <w:rFonts w:ascii="Arial" w:cs="Arial" w:eastAsia="Arial" w:hAnsi="Arial"/>
          <w:sz w:val="16"/>
          <w:szCs w:val="16"/>
          <w:color w:val="auto"/>
        </w:rPr>
        <w:t xml:space="preserve"> </w:t>
      </w:r>
      <w:r>
        <w:rPr>
          <w:rFonts w:ascii="Arial" w:cs="Arial" w:eastAsia="Arial" w:hAnsi="Arial"/>
          <w:sz w:val="16"/>
          <w:szCs w:val="16"/>
          <w:u w:val="single" w:color="auto"/>
          <w:color w:val="auto"/>
        </w:rPr>
        <w:t>he has fulfilled his obligation pursuant to Subsection (a)</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jc w:val="both"/>
        <w:ind w:left="721" w:right="60" w:hanging="333"/>
        <w:spacing w:after="0" w:line="265" w:lineRule="auto"/>
        <w:tabs>
          <w:tab w:leader="none" w:pos="72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If the corporation has established </w:t>
      </w:r>
      <w:r>
        <w:rPr>
          <w:rFonts w:ascii="Arial" w:cs="Arial" w:eastAsia="Arial" w:hAnsi="Arial"/>
          <w:sz w:val="16"/>
          <w:szCs w:val="16"/>
          <w:b w:val="1"/>
          <w:bCs w:val="1"/>
          <w:color w:val="auto"/>
        </w:rPr>
        <w:t>adequate procedures to prevent a violation</w:t>
      </w:r>
      <w:r>
        <w:rPr>
          <w:rFonts w:ascii="Arial" w:cs="Arial" w:eastAsia="Arial" w:hAnsi="Arial"/>
          <w:sz w:val="16"/>
          <w:szCs w:val="16"/>
          <w:color w:val="auto"/>
        </w:rPr>
        <w:t xml:space="preserve"> as provided in Subsection (b), </w:t>
      </w:r>
      <w:r>
        <w:rPr>
          <w:rFonts w:ascii="Arial" w:cs="Arial" w:eastAsia="Arial" w:hAnsi="Arial"/>
          <w:sz w:val="16"/>
          <w:szCs w:val="16"/>
          <w:b w:val="1"/>
          <w:bCs w:val="1"/>
          <w:color w:val="auto"/>
        </w:rPr>
        <w:t>appointed an officer</w:t>
      </w:r>
      <w:r>
        <w:rPr>
          <w:rFonts w:ascii="Arial" w:cs="Arial" w:eastAsia="Arial" w:hAnsi="Arial"/>
          <w:sz w:val="16"/>
          <w:szCs w:val="16"/>
          <w:color w:val="auto"/>
        </w:rPr>
        <w:t xml:space="preserve"> on its behalf to supervise the compliance therewith, including with regard to providing guidance to the corporation’s employees for the compliance therewith, and </w:t>
      </w:r>
      <w:r>
        <w:rPr>
          <w:rFonts w:ascii="Arial" w:cs="Arial" w:eastAsia="Arial" w:hAnsi="Arial"/>
          <w:sz w:val="16"/>
          <w:szCs w:val="16"/>
          <w:b w:val="1"/>
          <w:bCs w:val="1"/>
          <w:color w:val="auto"/>
        </w:rPr>
        <w:t>instituted reasonable steps</w:t>
      </w:r>
      <w:r>
        <w:rPr>
          <w:rFonts w:ascii="Arial" w:cs="Arial" w:eastAsia="Arial" w:hAnsi="Arial"/>
          <w:sz w:val="16"/>
          <w:szCs w:val="16"/>
          <w:color w:val="auto"/>
        </w:rPr>
        <w:t xml:space="preserve"> </w:t>
      </w:r>
      <w:r>
        <w:rPr>
          <w:rFonts w:ascii="Arial" w:cs="Arial" w:eastAsia="Arial" w:hAnsi="Arial"/>
          <w:sz w:val="16"/>
          <w:szCs w:val="16"/>
          <w:b w:val="1"/>
          <w:bCs w:val="1"/>
          <w:color w:val="auto"/>
        </w:rPr>
        <w:t>to remedy the violation and prevent the recurrence thereof</w:t>
      </w:r>
      <w:r>
        <w:rPr>
          <w:rFonts w:ascii="Arial" w:cs="Arial" w:eastAsia="Arial" w:hAnsi="Arial"/>
          <w:sz w:val="16"/>
          <w:szCs w:val="16"/>
          <w:color w:val="auto"/>
        </w:rPr>
        <w:t>, the presumption is that the CEO or the partner, as the case may be,</w:t>
      </w:r>
      <w:r>
        <w:rPr>
          <w:rFonts w:ascii="Arial" w:cs="Arial" w:eastAsia="Arial" w:hAnsi="Arial"/>
          <w:sz w:val="16"/>
          <w:szCs w:val="16"/>
          <w:b w:val="1"/>
          <w:bCs w:val="1"/>
          <w:color w:val="auto"/>
        </w:rPr>
        <w:t xml:space="preserve"> has fulfilled his obligation </w:t>
      </w:r>
      <w:r>
        <w:rPr>
          <w:rFonts w:ascii="Arial" w:cs="Arial" w:eastAsia="Arial" w:hAnsi="Arial"/>
          <w:sz w:val="16"/>
          <w:szCs w:val="16"/>
          <w:color w:val="auto"/>
        </w:rPr>
        <w:t>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Subsection (a).</w:t>
      </w:r>
    </w:p>
    <w:p>
      <w:pPr>
        <w:spacing w:after="0" w:line="222" w:lineRule="exact"/>
        <w:rPr>
          <w:sz w:val="20"/>
          <w:szCs w:val="20"/>
          <w:color w:val="auto"/>
        </w:rPr>
      </w:pPr>
    </w:p>
    <w:p>
      <w:pPr>
        <w:jc w:val="both"/>
        <w:ind w:left="1"/>
        <w:spacing w:after="0" w:line="271" w:lineRule="auto"/>
        <w:rPr>
          <w:sz w:val="20"/>
          <w:szCs w:val="20"/>
          <w:color w:val="auto"/>
        </w:rPr>
      </w:pPr>
      <w:r>
        <w:rPr>
          <w:rFonts w:ascii="Arial" w:cs="Arial" w:eastAsia="Arial" w:hAnsi="Arial"/>
          <w:sz w:val="16"/>
          <w:szCs w:val="16"/>
          <w:color w:val="auto"/>
        </w:rPr>
        <w:t xml:space="preserve">According to commentators, all the provisions of Subsection (c) lead to an </w:t>
      </w:r>
      <w:r>
        <w:rPr>
          <w:rFonts w:ascii="Arial" w:cs="Arial" w:eastAsia="Arial" w:hAnsi="Arial"/>
          <w:sz w:val="16"/>
          <w:szCs w:val="16"/>
          <w:i w:val="1"/>
          <w:iCs w:val="1"/>
          <w:u w:val="single" w:color="auto"/>
          <w:color w:val="auto"/>
        </w:rPr>
        <w:t>internal enforcement plan</w:t>
      </w:r>
      <w:r>
        <w:rPr>
          <w:rFonts w:ascii="Arial" w:cs="Arial" w:eastAsia="Arial" w:hAnsi="Arial"/>
          <w:sz w:val="16"/>
          <w:szCs w:val="16"/>
          <w:color w:val="auto"/>
        </w:rPr>
        <w:t>. So, too, thought the Israel Securities Authority (the “</w:t>
      </w:r>
      <w:r>
        <w:rPr>
          <w:rFonts w:ascii="Arial" w:cs="Arial" w:eastAsia="Arial" w:hAnsi="Arial"/>
          <w:sz w:val="16"/>
          <w:szCs w:val="16"/>
          <w:b w:val="1"/>
          <w:bCs w:val="1"/>
          <w:color w:val="auto"/>
        </w:rPr>
        <w:t>ISA</w:t>
      </w:r>
      <w:r>
        <w:rPr>
          <w:rFonts w:ascii="Arial" w:cs="Arial" w:eastAsia="Arial" w:hAnsi="Arial"/>
          <w:sz w:val="16"/>
          <w:szCs w:val="16"/>
          <w:color w:val="auto"/>
        </w:rPr>
        <w:t xml:space="preserve">”), when in August 2011 it released a </w:t>
      </w:r>
      <w:r>
        <w:rPr>
          <w:rFonts w:ascii="Arial" w:cs="Arial" w:eastAsia="Arial" w:hAnsi="Arial"/>
          <w:sz w:val="16"/>
          <w:szCs w:val="16"/>
          <w:b w:val="1"/>
          <w:bCs w:val="1"/>
          <w:i w:val="1"/>
          <w:iCs w:val="1"/>
          <w:color w:val="auto"/>
        </w:rPr>
        <w:t>Document on criteria for recognition of an internal enforcement plan in the area of securities and investment management</w:t>
      </w:r>
      <w:r>
        <w:rPr>
          <w:rFonts w:ascii="Arial" w:cs="Arial" w:eastAsia="Arial" w:hAnsi="Arial"/>
          <w:sz w:val="16"/>
          <w:szCs w:val="16"/>
          <w:color w:val="auto"/>
        </w:rPr>
        <w:t xml:space="preserve"> (the “</w:t>
      </w:r>
      <w:r>
        <w:rPr>
          <w:rFonts w:ascii="Arial" w:cs="Arial" w:eastAsia="Arial" w:hAnsi="Arial"/>
          <w:sz w:val="16"/>
          <w:szCs w:val="16"/>
          <w:b w:val="1"/>
          <w:bCs w:val="1"/>
          <w:color w:val="auto"/>
        </w:rPr>
        <w:t>ISA</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w:t>
      </w:r>
      <w:r>
        <w:rPr>
          <w:rFonts w:ascii="Arial" w:cs="Arial" w:eastAsia="Arial" w:hAnsi="Arial"/>
          <w:sz w:val="16"/>
          <w:szCs w:val="16"/>
          <w:color w:val="auto"/>
        </w:rPr>
        <w:t>”) and set forth that:</w:t>
      </w:r>
    </w:p>
    <w:p>
      <w:pPr>
        <w:spacing w:after="0" w:line="156"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application</w:t>
      </w:r>
      <w:r>
        <w:rPr>
          <w:rFonts w:ascii="Arial" w:cs="Arial" w:eastAsia="Arial" w:hAnsi="Arial"/>
          <w:sz w:val="16"/>
          <w:szCs w:val="16"/>
          <w:color w:val="auto"/>
        </w:rPr>
        <w:t xml:space="preserve"> in practice of an efficient enforcement plan by the corporation </w:t>
      </w:r>
      <w:r>
        <w:rPr>
          <w:rFonts w:ascii="Arial" w:cs="Arial" w:eastAsia="Arial" w:hAnsi="Arial"/>
          <w:sz w:val="16"/>
          <w:szCs w:val="16"/>
          <w:b w:val="1"/>
          <w:bCs w:val="1"/>
          <w:color w:val="auto"/>
        </w:rPr>
        <w:t>may be viewed favorably by the ISA with respect to the corporation or individuals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therein in the context of its discretion in respect of the exercise of its powers </w:t>
      </w:r>
      <w:r>
        <w:rPr>
          <w:rFonts w:ascii="Arial" w:cs="Arial" w:eastAsia="Arial" w:hAnsi="Arial"/>
          <w:sz w:val="16"/>
          <w:szCs w:val="16"/>
          <w:color w:val="auto"/>
        </w:rPr>
        <w:t>of enforcement pursuant to the law.”</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ISA’s Document sets forth the standards that will be examined by the ISA when deliberating and deciding whether an efficient enforcement plan exists at a corporation.</w:t>
      </w:r>
    </w:p>
    <w:p>
      <w:pPr>
        <w:spacing w:after="0" w:line="34"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b w:val="1"/>
          <w:bCs w:val="1"/>
          <w:color w:val="auto"/>
        </w:rPr>
        <w:t>Based on the requirements of the Law, the ISA’s Document and the understanding of the Company’s management, the relevant information and instructions have been incorporated into the enforcement plan document that is set forth below.</w:t>
      </w:r>
    </w:p>
    <w:p>
      <w:pPr>
        <w:spacing w:after="0" w:line="158"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What is an enforcement plan</w:t>
      </w:r>
    </w:p>
    <w:p>
      <w:pPr>
        <w:spacing w:after="0" w:line="206"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b w:val="1"/>
          <w:bCs w:val="1"/>
          <w:color w:val="auto"/>
        </w:rPr>
        <w:t>This internal enforcement plan document is a document that is unique to the Company which set forth the activities to be undertaken in order to prevent the violations listed in the schedule to the administrative enforcement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317" w:right="259" w:bottom="1440" w:gutter="0" w:footer="0" w:header="0"/>
        </w:sectPr>
      </w:pPr>
    </w:p>
    <w:bookmarkStart w:id="338" w:name="page339"/>
    <w:bookmarkEnd w:id="338"/>
    <w:p>
      <w:pPr>
        <w:ind w:left="1"/>
        <w:spacing w:after="0"/>
        <w:tabs>
          <w:tab w:leader="none" w:pos="5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Objectives of an enforcement plan</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creation, implementation and assimilation of a correct and suitable enforcement plan can constitute a dual safety mechanism for the Company and the individuals therein:</w:t>
      </w:r>
    </w:p>
    <w:p>
      <w:pPr>
        <w:spacing w:after="0" w:line="225" w:lineRule="exact"/>
        <w:rPr>
          <w:sz w:val="20"/>
          <w:szCs w:val="20"/>
          <w:color w:val="auto"/>
        </w:rPr>
      </w:pPr>
    </w:p>
    <w:p>
      <w:pPr>
        <w:ind w:left="581" w:hanging="581"/>
        <w:spacing w:after="0"/>
        <w:tabs>
          <w:tab w:leader="none" w:pos="581" w:val="left"/>
        </w:tabs>
        <w:numPr>
          <w:ilvl w:val="0"/>
          <w:numId w:val="299"/>
        </w:numPr>
        <w:rPr>
          <w:rFonts w:ascii="Arial" w:cs="Arial" w:eastAsia="Arial" w:hAnsi="Arial"/>
          <w:sz w:val="16"/>
          <w:szCs w:val="16"/>
          <w:color w:val="auto"/>
        </w:rPr>
      </w:pPr>
      <w:r>
        <w:rPr>
          <w:rFonts w:ascii="Arial" w:cs="Arial" w:eastAsia="Arial" w:hAnsi="Arial"/>
          <w:sz w:val="16"/>
          <w:szCs w:val="16"/>
          <w:b w:val="1"/>
          <w:bCs w:val="1"/>
          <w:color w:val="auto"/>
        </w:rPr>
        <w:t>Minimization of the possibility of the occurrence of a violation</w:t>
      </w:r>
    </w:p>
    <w:p>
      <w:pPr>
        <w:spacing w:after="0" w:line="209" w:lineRule="exact"/>
        <w:rPr>
          <w:rFonts w:ascii="Arial" w:cs="Arial" w:eastAsia="Arial" w:hAnsi="Arial"/>
          <w:sz w:val="16"/>
          <w:szCs w:val="16"/>
          <w:color w:val="auto"/>
        </w:rPr>
      </w:pPr>
    </w:p>
    <w:p>
      <w:pPr>
        <w:jc w:val="both"/>
        <w:ind w:left="581"/>
        <w:spacing w:after="0" w:line="268" w:lineRule="auto"/>
        <w:rPr>
          <w:rFonts w:ascii="Arial" w:cs="Arial" w:eastAsia="Arial" w:hAnsi="Arial"/>
          <w:sz w:val="16"/>
          <w:szCs w:val="16"/>
          <w:color w:val="auto"/>
        </w:rPr>
      </w:pPr>
      <w:r>
        <w:rPr>
          <w:rFonts w:ascii="Arial" w:cs="Arial" w:eastAsia="Arial" w:hAnsi="Arial"/>
          <w:sz w:val="16"/>
          <w:szCs w:val="16"/>
          <w:color w:val="auto"/>
        </w:rPr>
        <w:t>Through the establishment of clear procedures, presentation of standards for conduct and implementation of controls for the application thereof in the day-to-day activity, ensuring that any and all individuals taking part in the Company’s relevant activity are aware of their obligation and the manner of their compliance therewith.</w:t>
      </w:r>
    </w:p>
    <w:p>
      <w:pPr>
        <w:spacing w:after="0" w:line="158" w:lineRule="exact"/>
        <w:rPr>
          <w:rFonts w:ascii="Arial" w:cs="Arial" w:eastAsia="Arial" w:hAnsi="Arial"/>
          <w:sz w:val="16"/>
          <w:szCs w:val="16"/>
          <w:color w:val="auto"/>
        </w:rPr>
      </w:pPr>
    </w:p>
    <w:p>
      <w:pPr>
        <w:ind w:left="581" w:hanging="581"/>
        <w:spacing w:after="0"/>
        <w:tabs>
          <w:tab w:leader="none" w:pos="581" w:val="left"/>
        </w:tabs>
        <w:numPr>
          <w:ilvl w:val="0"/>
          <w:numId w:val="299"/>
        </w:numPr>
        <w:rPr>
          <w:rFonts w:ascii="Arial" w:cs="Arial" w:eastAsia="Arial" w:hAnsi="Arial"/>
          <w:sz w:val="16"/>
          <w:szCs w:val="16"/>
          <w:color w:val="auto"/>
        </w:rPr>
      </w:pPr>
      <w:r>
        <w:rPr>
          <w:rFonts w:ascii="Arial" w:cs="Arial" w:eastAsia="Arial" w:hAnsi="Arial"/>
          <w:sz w:val="16"/>
          <w:szCs w:val="16"/>
          <w:b w:val="1"/>
          <w:bCs w:val="1"/>
          <w:color w:val="auto"/>
        </w:rPr>
        <w:t>Immediate effect on the examining entity in the event that a violation occurs</w:t>
      </w:r>
    </w:p>
    <w:p>
      <w:pPr>
        <w:spacing w:after="0" w:line="209" w:lineRule="exact"/>
        <w:rPr>
          <w:rFonts w:ascii="Arial" w:cs="Arial" w:eastAsia="Arial" w:hAnsi="Arial"/>
          <w:sz w:val="16"/>
          <w:szCs w:val="16"/>
          <w:color w:val="auto"/>
        </w:rPr>
      </w:pPr>
    </w:p>
    <w:p>
      <w:pPr>
        <w:jc w:val="both"/>
        <w:ind w:left="581"/>
        <w:spacing w:after="0" w:line="268" w:lineRule="auto"/>
        <w:rPr>
          <w:rFonts w:ascii="Arial" w:cs="Arial" w:eastAsia="Arial" w:hAnsi="Arial"/>
          <w:sz w:val="16"/>
          <w:szCs w:val="16"/>
          <w:color w:val="auto"/>
        </w:rPr>
      </w:pPr>
      <w:r>
        <w:rPr>
          <w:rFonts w:ascii="Arial" w:cs="Arial" w:eastAsia="Arial" w:hAnsi="Arial"/>
          <w:sz w:val="16"/>
          <w:szCs w:val="16"/>
          <w:color w:val="auto"/>
        </w:rPr>
        <w:t>As stated in the Law and in the ISA’s Document, an enforcement plan is an indication that the Company (its managers and directors) has done everything within its power to try to prevent violations. Such a plan will provide a defense to their benefit whereby they have instituted any and all reasonable measures to prevent the offence for a body which is examining and/or dealing with an occurrence of a violation.</w:t>
      </w:r>
    </w:p>
    <w:p>
      <w:pPr>
        <w:spacing w:after="0" w:line="163"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The primary objective of the enforcement plan is to ensure the proper activity of the Company in accordance with any and all regulatory obligations and desired standard of conduct insofar as the same are relevant to the Securities Law and the regulations promulgated thereunder.</w:t>
      </w:r>
    </w:p>
    <w:p>
      <w:pPr>
        <w:spacing w:after="0" w:line="151"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The plan intends to establish existing proper conduct, to create a compilation of information and procedures that are relevant to the organization and to assimilate the conduct which is desired and required of each and every one of the Company’s employees and officers and to promote an organizational culture of compliance with and respect for the Law.</w:t>
      </w:r>
    </w:p>
    <w:p>
      <w:pPr>
        <w:spacing w:after="0" w:line="163" w:lineRule="exact"/>
        <w:rPr>
          <w:sz w:val="20"/>
          <w:szCs w:val="20"/>
          <w:color w:val="auto"/>
        </w:rPr>
      </w:pPr>
    </w:p>
    <w:p>
      <w:pPr>
        <w:jc w:val="both"/>
        <w:ind w:left="1"/>
        <w:spacing w:after="0" w:line="358" w:lineRule="auto"/>
        <w:rPr>
          <w:sz w:val="20"/>
          <w:szCs w:val="20"/>
          <w:color w:val="auto"/>
        </w:rPr>
      </w:pPr>
      <w:r>
        <w:rPr>
          <w:rFonts w:ascii="Arial" w:cs="Arial" w:eastAsia="Arial" w:hAnsi="Arial"/>
          <w:sz w:val="14"/>
          <w:szCs w:val="14"/>
          <w:color w:val="auto"/>
        </w:rPr>
        <w:t>All employees and/or officers should be able to consult the document if and when they encounter an issue pertaining to the content of the plan and to find answers with regard to the conduct that is appropriate and expected of them, whether it is a procedure which offers guidance on how to act or a referral to consultation with a relevant body.</w:t>
      </w:r>
    </w:p>
    <w:p>
      <w:pPr>
        <w:spacing w:after="0" w:line="100"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4"/>
          <w:szCs w:val="14"/>
          <w:b w:val="1"/>
          <w:bCs w:val="1"/>
          <w:color w:val="auto"/>
        </w:rPr>
        <w:t>Applicability of the enforcement plan</w:t>
      </w:r>
    </w:p>
    <w:p>
      <w:pPr>
        <w:spacing w:after="0" w:line="206" w:lineRule="exact"/>
        <w:rPr>
          <w:sz w:val="20"/>
          <w:szCs w:val="20"/>
          <w:color w:val="auto"/>
        </w:rPr>
      </w:pPr>
    </w:p>
    <w:p>
      <w:pPr>
        <w:jc w:val="both"/>
        <w:ind w:left="1"/>
        <w:spacing w:after="0" w:line="271" w:lineRule="auto"/>
        <w:rPr>
          <w:sz w:val="20"/>
          <w:szCs w:val="20"/>
          <w:color w:val="auto"/>
        </w:rPr>
      </w:pPr>
      <w:r>
        <w:rPr>
          <w:rFonts w:ascii="Arial" w:cs="Arial" w:eastAsia="Arial" w:hAnsi="Arial"/>
          <w:sz w:val="16"/>
          <w:szCs w:val="16"/>
          <w:color w:val="auto"/>
        </w:rPr>
        <w:t>This plan applies to BioLineRx (the “</w:t>
      </w:r>
      <w:r>
        <w:rPr>
          <w:rFonts w:ascii="Arial" w:cs="Arial" w:eastAsia="Arial" w:hAnsi="Arial"/>
          <w:sz w:val="16"/>
          <w:szCs w:val="16"/>
          <w:b w:val="1"/>
          <w:bCs w:val="1"/>
          <w:color w:val="auto"/>
        </w:rPr>
        <w:t>Company</w:t>
      </w:r>
      <w:r>
        <w:rPr>
          <w:rFonts w:ascii="Arial" w:cs="Arial" w:eastAsia="Arial" w:hAnsi="Arial"/>
          <w:sz w:val="16"/>
          <w:szCs w:val="16"/>
          <w:color w:val="auto"/>
        </w:rPr>
        <w:t>”) by virtue of its being a public company whose shares are listed on the Tel Aviv Stock Exchange. The plan applies to all of the Company’s echelons, i.e. the Company’s employees, senior officers, managers and directors. It is important to emphasize that the plan also applies to the employees of any and all subsidiaries of the Company in view of their involvement with the operations of the parent company.</w:t>
      </w:r>
    </w:p>
    <w:p>
      <w:pPr>
        <w:spacing w:after="0" w:line="156"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4"/>
          <w:szCs w:val="14"/>
          <w:b w:val="1"/>
          <w:bCs w:val="1"/>
          <w:color w:val="auto"/>
        </w:rPr>
        <w:t>Prohibition on insurance and indemnification</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Law explicitly contains a prohibition on insurance and/or indemnification in respect of violations of the Law.</w:t>
      </w:r>
    </w:p>
    <w:p>
      <w:pPr>
        <w:spacing w:after="0" w:line="206" w:lineRule="exact"/>
        <w:rPr>
          <w:sz w:val="20"/>
          <w:szCs w:val="20"/>
          <w:color w:val="auto"/>
        </w:rPr>
      </w:pPr>
    </w:p>
    <w:p>
      <w:pPr>
        <w:jc w:val="both"/>
        <w:ind w:left="1"/>
        <w:spacing w:after="0" w:line="318" w:lineRule="auto"/>
        <w:rPr>
          <w:sz w:val="20"/>
          <w:szCs w:val="20"/>
          <w:color w:val="auto"/>
        </w:rPr>
      </w:pPr>
      <w:r>
        <w:rPr>
          <w:rFonts w:ascii="Arial" w:cs="Arial" w:eastAsia="Arial" w:hAnsi="Arial"/>
          <w:sz w:val="15"/>
          <w:szCs w:val="15"/>
          <w:color w:val="auto"/>
        </w:rPr>
        <w:t>The Law establishes that a proceeding to impose a pecuniary sanction, an administrative proceeding or an arrangement proceeding cannot be insured. A pecuniary sanction imposed on a corporation, its controlling shareholder or an employee in a proceeding as aforesaid cannot be indemnified or paid, either directly or indirectly.</w:t>
      </w:r>
    </w:p>
    <w:p>
      <w:pPr>
        <w:spacing w:after="0" w:line="127"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However, an employee can be indemnified or insured for payment to the party injured by the violation and additionally for expenses that he shall have incurred in relation to a proceeding that was conducted in the matter of the employee, irrespective of the results of the proceeding.</w:t>
      </w:r>
    </w:p>
    <w:p>
      <w:pPr>
        <w:spacing w:after="0" w:line="151"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In November 2011, the Company’s articles of association and letters of insurance and indemnification of the officers were updated accordingly, such that a provision was set forth that permits the insurance and/or indemnification pursuant to the provisions of the Securities Law.</w:t>
      </w:r>
    </w:p>
    <w:p>
      <w:pPr>
        <w:spacing w:after="0" w:line="147"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b w:val="1"/>
          <w:bCs w:val="1"/>
          <w:color w:val="auto"/>
        </w:rPr>
        <w:t>Documentation and provision of documents for inspection and storing of documents</w:t>
      </w:r>
    </w:p>
    <w:p>
      <w:pPr>
        <w:spacing w:after="0" w:line="210"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The Law and the schedules include a reference to the issue of providing documents for inspection. As part of the enforcement plan and its procedures, the Company is obligated to make available for inspection any and all relevant documents (for example, a prospectus that was authorized for publication, a registration document or any and all reports, opinions, approvals, reports or notices that were filed) at its head office.</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6"/>
          <w:szCs w:val="16"/>
          <w:color w:val="auto"/>
        </w:rPr>
        <w:t>Relevant procedures shall specify the responsibility for the fulfillment of the right of inspection insofar as will be required.</w:t>
      </w:r>
    </w:p>
    <w:p>
      <w:pPr>
        <w:spacing w:after="0" w:line="202" w:lineRule="exact"/>
        <w:rPr>
          <w:sz w:val="20"/>
          <w:szCs w:val="20"/>
          <w:color w:val="auto"/>
        </w:rPr>
      </w:pPr>
    </w:p>
    <w:p>
      <w:pPr>
        <w:ind w:left="581" w:hanging="581"/>
        <w:spacing w:after="0"/>
        <w:tabs>
          <w:tab w:leader="none" w:pos="581"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 and division of functions and responsibility</w:t>
      </w:r>
    </w:p>
    <w:p>
      <w:pPr>
        <w:spacing w:after="0" w:line="206"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4"/>
          <w:szCs w:val="14"/>
          <w:b w:val="1"/>
          <w:bCs w:val="1"/>
          <w:color w:val="auto"/>
        </w:rPr>
        <w:t>Organizational structure for the issue of administrative enforcement (areas of responsibility, reporting chain, decision making, etc.)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513" w:right="259" w:bottom="1440" w:gutter="0" w:footer="0" w:header="0"/>
        </w:sectPr>
      </w:pPr>
    </w:p>
    <w:bookmarkStart w:id="339" w:name="page340"/>
    <w:bookmarkEnd w:id="339"/>
    <w:p>
      <w:pPr>
        <w:ind w:left="9"/>
        <w:spacing w:after="0"/>
        <w:tabs>
          <w:tab w:leader="none" w:pos="568" w:val="left"/>
        </w:tabs>
        <w:rPr>
          <w:sz w:val="20"/>
          <w:szCs w:val="20"/>
          <w:color w:val="auto"/>
        </w:rPr>
      </w:pPr>
      <w:r>
        <w:rPr>
          <w:rFonts w:ascii="Arial" w:cs="Arial" w:eastAsia="Arial" w:hAnsi="Arial"/>
          <w:sz w:val="16"/>
          <w:szCs w:val="16"/>
          <w:b w:val="1"/>
          <w:bCs w:val="1"/>
          <w:color w:val="auto"/>
        </w:rPr>
        <w:t>4.1.1</w:t>
      </w:r>
      <w:r>
        <w:rPr>
          <w:sz w:val="20"/>
          <w:szCs w:val="20"/>
          <w:color w:val="auto"/>
        </w:rPr>
        <w:tab/>
      </w:r>
      <w:r>
        <w:rPr>
          <w:rFonts w:ascii="Arial" w:cs="Arial" w:eastAsia="Arial" w:hAnsi="Arial"/>
          <w:sz w:val="14"/>
          <w:szCs w:val="14"/>
          <w:b w:val="1"/>
          <w:bCs w:val="1"/>
          <w:color w:val="auto"/>
        </w:rPr>
        <w:t>Responsibility of the Board of Directors and its committees</w:t>
      </w:r>
    </w:p>
    <w:p>
      <w:pPr>
        <w:spacing w:after="0" w:line="206" w:lineRule="exact"/>
        <w:rPr>
          <w:sz w:val="20"/>
          <w:szCs w:val="20"/>
          <w:color w:val="auto"/>
        </w:rPr>
      </w:pPr>
    </w:p>
    <w:p>
      <w:pPr>
        <w:ind w:left="589"/>
        <w:spacing w:after="0"/>
        <w:tabs>
          <w:tab w:leader="none" w:pos="1308" w:val="left"/>
        </w:tabs>
        <w:rPr>
          <w:sz w:val="20"/>
          <w:szCs w:val="20"/>
          <w:color w:val="auto"/>
        </w:rPr>
      </w:pPr>
      <w:r>
        <w:rPr>
          <w:rFonts w:ascii="Arial" w:cs="Arial" w:eastAsia="Arial" w:hAnsi="Arial"/>
          <w:sz w:val="16"/>
          <w:szCs w:val="16"/>
          <w:b w:val="1"/>
          <w:bCs w:val="1"/>
          <w:color w:val="auto"/>
        </w:rPr>
        <w:t>4.1.1.1</w:t>
      </w:r>
      <w:r>
        <w:rPr>
          <w:sz w:val="20"/>
          <w:szCs w:val="20"/>
          <w:color w:val="auto"/>
        </w:rPr>
        <w:tab/>
      </w:r>
      <w:r>
        <w:rPr>
          <w:rFonts w:ascii="Arial" w:cs="Arial" w:eastAsia="Arial" w:hAnsi="Arial"/>
          <w:sz w:val="14"/>
          <w:szCs w:val="14"/>
          <w:b w:val="1"/>
          <w:bCs w:val="1"/>
          <w:color w:val="auto"/>
        </w:rPr>
        <w:t>Formulation and adoption of the Company’s internal enforcement plan</w:t>
      </w:r>
    </w:p>
    <w:p>
      <w:pPr>
        <w:spacing w:after="0" w:line="210" w:lineRule="exact"/>
        <w:rPr>
          <w:sz w:val="20"/>
          <w:szCs w:val="20"/>
          <w:color w:val="auto"/>
        </w:rPr>
      </w:pPr>
    </w:p>
    <w:p>
      <w:pPr>
        <w:jc w:val="both"/>
        <w:ind w:left="9"/>
        <w:spacing w:after="0" w:line="268" w:lineRule="auto"/>
        <w:rPr>
          <w:sz w:val="20"/>
          <w:szCs w:val="20"/>
          <w:color w:val="auto"/>
        </w:rPr>
      </w:pPr>
      <w:r>
        <w:rPr>
          <w:rFonts w:ascii="Arial" w:cs="Arial" w:eastAsia="Arial" w:hAnsi="Arial"/>
          <w:sz w:val="16"/>
          <w:szCs w:val="16"/>
          <w:color w:val="auto"/>
        </w:rPr>
        <w:t xml:space="preserve">As the body responsible for outlining the Company’s policy and supervising its performance and acts, the Board of Directors (including its committees) plays a central and decisive role in the </w:t>
      </w:r>
      <w:r>
        <w:rPr>
          <w:rFonts w:ascii="Arial" w:cs="Arial" w:eastAsia="Arial" w:hAnsi="Arial"/>
          <w:sz w:val="16"/>
          <w:szCs w:val="16"/>
          <w:b w:val="1"/>
          <w:bCs w:val="1"/>
          <w:color w:val="auto"/>
        </w:rPr>
        <w:t>formulation and adoption of the Company’s internal enforcement plan</w:t>
      </w:r>
      <w:r>
        <w:rPr>
          <w:rFonts w:ascii="Arial" w:cs="Arial" w:eastAsia="Arial" w:hAnsi="Arial"/>
          <w:sz w:val="16"/>
          <w:szCs w:val="16"/>
          <w:color w:val="auto"/>
        </w:rPr>
        <w:t xml:space="preserve"> and it bears the overall responsibility for the supervision over the actual performance thereof.</w:t>
      </w:r>
    </w:p>
    <w:p>
      <w:pPr>
        <w:spacing w:after="0" w:line="163" w:lineRule="exact"/>
        <w:rPr>
          <w:sz w:val="20"/>
          <w:szCs w:val="20"/>
          <w:color w:val="auto"/>
        </w:rPr>
      </w:pPr>
    </w:p>
    <w:p>
      <w:pPr>
        <w:jc w:val="both"/>
        <w:ind w:left="9"/>
        <w:spacing w:after="0" w:line="275" w:lineRule="auto"/>
        <w:rPr>
          <w:sz w:val="20"/>
          <w:szCs w:val="20"/>
          <w:color w:val="auto"/>
        </w:rPr>
      </w:pPr>
      <w:r>
        <w:rPr>
          <w:rFonts w:ascii="Arial" w:cs="Arial" w:eastAsia="Arial" w:hAnsi="Arial"/>
          <w:sz w:val="16"/>
          <w:szCs w:val="16"/>
          <w:color w:val="auto"/>
        </w:rPr>
        <w:t>Pursuant to the ISA’s requirement that the Board of Directors determine which body is responsible for the supervision over the performance of the enforcement plan (the “</w:t>
      </w:r>
      <w:r>
        <w:rPr>
          <w:rFonts w:ascii="Arial" w:cs="Arial" w:eastAsia="Arial" w:hAnsi="Arial"/>
          <w:sz w:val="16"/>
          <w:szCs w:val="16"/>
          <w:b w:val="1"/>
          <w:bCs w:val="1"/>
          <w:color w:val="auto"/>
        </w:rPr>
        <w:t>Responsible Body</w:t>
      </w:r>
      <w:r>
        <w:rPr>
          <w:rFonts w:ascii="Arial" w:cs="Arial" w:eastAsia="Arial" w:hAnsi="Arial"/>
          <w:sz w:val="16"/>
          <w:szCs w:val="16"/>
          <w:color w:val="auto"/>
        </w:rPr>
        <w:t>”), whether the Board of Directors itself or the Audit Committee or any other committee thereof, the Board of Directors determined that the Audit Committee shall be the Responsible Body as aforesaid.</w:t>
      </w:r>
      <w:r>
        <w:rPr>
          <w:rFonts w:ascii="Arial" w:cs="Arial" w:eastAsia="Arial" w:hAnsi="Arial"/>
          <w:sz w:val="22"/>
          <w:szCs w:val="22"/>
          <w:color w:val="auto"/>
          <w:vertAlign w:val="superscript"/>
        </w:rPr>
        <w:t>*</w:t>
      </w:r>
    </w:p>
    <w:p>
      <w:pPr>
        <w:spacing w:after="0" w:line="68" w:lineRule="exact"/>
        <w:rPr>
          <w:sz w:val="20"/>
          <w:szCs w:val="20"/>
          <w:color w:val="auto"/>
        </w:rPr>
      </w:pPr>
    </w:p>
    <w:p>
      <w:pPr>
        <w:ind w:left="9"/>
        <w:spacing w:after="0"/>
        <w:rPr>
          <w:sz w:val="20"/>
          <w:szCs w:val="20"/>
          <w:color w:val="auto"/>
        </w:rPr>
      </w:pPr>
      <w:r>
        <w:rPr>
          <w:rFonts w:ascii="Arial" w:cs="Arial" w:eastAsia="Arial" w:hAnsi="Arial"/>
          <w:sz w:val="16"/>
          <w:szCs w:val="16"/>
          <w:color w:val="auto"/>
        </w:rPr>
        <w:t>Such responsibility of the Audit Committee as the Responsible Body shall be applied through:</w:t>
      </w:r>
    </w:p>
    <w:p>
      <w:pPr>
        <w:spacing w:after="0" w:line="206" w:lineRule="exact"/>
        <w:rPr>
          <w:sz w:val="20"/>
          <w:szCs w:val="20"/>
          <w:color w:val="auto"/>
        </w:rPr>
      </w:pPr>
    </w:p>
    <w:p>
      <w:pPr>
        <w:ind w:left="589" w:hanging="589"/>
        <w:spacing w:after="0"/>
        <w:tabs>
          <w:tab w:leader="none" w:pos="58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Special-purpose meetings for the presentation of the subject.</w:t>
      </w:r>
    </w:p>
    <w:p>
      <w:pPr>
        <w:spacing w:after="0" w:line="205" w:lineRule="exact"/>
        <w:rPr>
          <w:rFonts w:ascii="Arial" w:cs="Arial" w:eastAsia="Arial" w:hAnsi="Arial"/>
          <w:sz w:val="16"/>
          <w:szCs w:val="16"/>
          <w:color w:val="auto"/>
        </w:rPr>
      </w:pPr>
    </w:p>
    <w:p>
      <w:pPr>
        <w:ind w:left="589" w:hanging="589"/>
        <w:spacing w:after="0"/>
        <w:tabs>
          <w:tab w:leader="none" w:pos="58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Presentation, discussion and approval of the outline of the enforcement plan project.</w:t>
      </w:r>
    </w:p>
    <w:p>
      <w:pPr>
        <w:spacing w:after="0" w:line="205" w:lineRule="exact"/>
        <w:rPr>
          <w:rFonts w:ascii="Arial" w:cs="Arial" w:eastAsia="Arial" w:hAnsi="Arial"/>
          <w:sz w:val="16"/>
          <w:szCs w:val="16"/>
          <w:color w:val="auto"/>
        </w:rPr>
      </w:pPr>
    </w:p>
    <w:p>
      <w:pPr>
        <w:ind w:left="589" w:hanging="589"/>
        <w:spacing w:after="0"/>
        <w:tabs>
          <w:tab w:leader="none" w:pos="589" w:val="left"/>
        </w:tabs>
        <w:numPr>
          <w:ilvl w:val="0"/>
          <w:numId w:val="301"/>
        </w:numPr>
        <w:rPr>
          <w:rFonts w:ascii="Arial" w:cs="Arial" w:eastAsia="Arial" w:hAnsi="Arial"/>
          <w:sz w:val="15"/>
          <w:szCs w:val="15"/>
          <w:color w:val="auto"/>
        </w:rPr>
      </w:pPr>
      <w:r>
        <w:rPr>
          <w:rFonts w:ascii="Arial" w:cs="Arial" w:eastAsia="Arial" w:hAnsi="Arial"/>
          <w:sz w:val="15"/>
          <w:szCs w:val="15"/>
          <w:color w:val="auto"/>
        </w:rPr>
        <w:t>Presentation of the findings of the mapping of the existing situation (compliance survey) and deliberation on the recommendations deriving therefrom.</w:t>
      </w:r>
    </w:p>
    <w:p>
      <w:pPr>
        <w:spacing w:after="0" w:line="217" w:lineRule="exact"/>
        <w:rPr>
          <w:rFonts w:ascii="Arial" w:cs="Arial" w:eastAsia="Arial" w:hAnsi="Arial"/>
          <w:sz w:val="15"/>
          <w:szCs w:val="15"/>
          <w:color w:val="auto"/>
        </w:rPr>
      </w:pPr>
    </w:p>
    <w:p>
      <w:pPr>
        <w:ind w:left="589" w:hanging="589"/>
        <w:spacing w:after="0"/>
        <w:tabs>
          <w:tab w:leader="none" w:pos="58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Presentation, discussion and approval of the procedures comprising the internal enforcement plan.</w:t>
      </w:r>
    </w:p>
    <w:p>
      <w:pPr>
        <w:spacing w:after="0" w:line="205" w:lineRule="exact"/>
        <w:rPr>
          <w:rFonts w:ascii="Arial" w:cs="Arial" w:eastAsia="Arial" w:hAnsi="Arial"/>
          <w:sz w:val="16"/>
          <w:szCs w:val="16"/>
          <w:color w:val="auto"/>
        </w:rPr>
      </w:pPr>
    </w:p>
    <w:p>
      <w:pPr>
        <w:ind w:left="589" w:hanging="589"/>
        <w:spacing w:after="0"/>
        <w:tabs>
          <w:tab w:leader="none" w:pos="58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Approval of the final plan.</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Audit Committee shall be involved in the implementation of the plan during the usual conduct of business as specified below.</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Audit Committee, including all of the members thereof, will take an active part in all stages of the formulation and adoption of the plan:</w:t>
      </w:r>
    </w:p>
    <w:p>
      <w:pPr>
        <w:spacing w:after="0" w:line="206" w:lineRule="exact"/>
        <w:rPr>
          <w:sz w:val="20"/>
          <w:szCs w:val="20"/>
          <w:color w:val="auto"/>
        </w:rPr>
      </w:pPr>
    </w:p>
    <w:p>
      <w:pPr>
        <w:ind w:left="889" w:hanging="584"/>
        <w:spacing w:after="0"/>
        <w:tabs>
          <w:tab w:leader="none" w:pos="88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Setting the enforcement plan into motion</w:t>
      </w:r>
    </w:p>
    <w:p>
      <w:pPr>
        <w:spacing w:after="0" w:line="205" w:lineRule="exact"/>
        <w:rPr>
          <w:rFonts w:ascii="Arial" w:cs="Arial" w:eastAsia="Arial" w:hAnsi="Arial"/>
          <w:sz w:val="16"/>
          <w:szCs w:val="16"/>
          <w:color w:val="auto"/>
        </w:rPr>
      </w:pPr>
    </w:p>
    <w:p>
      <w:pPr>
        <w:ind w:left="889" w:hanging="584"/>
        <w:spacing w:after="0"/>
        <w:tabs>
          <w:tab w:leader="none" w:pos="88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Mapping of the existing situation</w:t>
      </w:r>
    </w:p>
    <w:p>
      <w:pPr>
        <w:spacing w:after="0" w:line="205" w:lineRule="exact"/>
        <w:rPr>
          <w:rFonts w:ascii="Arial" w:cs="Arial" w:eastAsia="Arial" w:hAnsi="Arial"/>
          <w:sz w:val="16"/>
          <w:szCs w:val="16"/>
          <w:color w:val="auto"/>
        </w:rPr>
      </w:pPr>
    </w:p>
    <w:p>
      <w:pPr>
        <w:ind w:left="889" w:hanging="584"/>
        <w:spacing w:after="0"/>
        <w:tabs>
          <w:tab w:leader="none" w:pos="88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Formulation of the plan and its procedures</w:t>
      </w:r>
    </w:p>
    <w:p>
      <w:pPr>
        <w:spacing w:after="0" w:line="205" w:lineRule="exact"/>
        <w:rPr>
          <w:rFonts w:ascii="Arial" w:cs="Arial" w:eastAsia="Arial" w:hAnsi="Arial"/>
          <w:sz w:val="16"/>
          <w:szCs w:val="16"/>
          <w:color w:val="auto"/>
        </w:rPr>
      </w:pPr>
    </w:p>
    <w:p>
      <w:pPr>
        <w:ind w:left="889" w:hanging="584"/>
        <w:spacing w:after="0"/>
        <w:tabs>
          <w:tab w:leader="none" w:pos="88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Formulation of the assimilation plan</w:t>
      </w:r>
    </w:p>
    <w:p>
      <w:pPr>
        <w:spacing w:after="0" w:line="205" w:lineRule="exact"/>
        <w:rPr>
          <w:rFonts w:ascii="Arial" w:cs="Arial" w:eastAsia="Arial" w:hAnsi="Arial"/>
          <w:sz w:val="16"/>
          <w:szCs w:val="16"/>
          <w:color w:val="auto"/>
        </w:rPr>
      </w:pPr>
    </w:p>
    <w:p>
      <w:pPr>
        <w:ind w:left="889" w:hanging="584"/>
        <w:spacing w:after="0"/>
        <w:tabs>
          <w:tab w:leader="none" w:pos="889" w:val="left"/>
        </w:tabs>
        <w:numPr>
          <w:ilvl w:val="0"/>
          <w:numId w:val="302"/>
        </w:numPr>
        <w:rPr>
          <w:rFonts w:ascii="Arial" w:cs="Arial" w:eastAsia="Arial" w:hAnsi="Arial"/>
          <w:sz w:val="16"/>
          <w:szCs w:val="16"/>
          <w:color w:val="auto"/>
        </w:rPr>
      </w:pPr>
      <w:r>
        <w:rPr>
          <w:rFonts w:ascii="Arial" w:cs="Arial" w:eastAsia="Arial" w:hAnsi="Arial"/>
          <w:sz w:val="16"/>
          <w:szCs w:val="16"/>
          <w:color w:val="auto"/>
        </w:rPr>
        <w:t>Ongoing monitoring</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6"/>
          <w:szCs w:val="16"/>
          <w:color w:val="auto"/>
        </w:rPr>
        <w:t>This Plan was approved by the Audit Committee on March 21, 2012 and by the Board of Directors on March 22, 2012.</w:t>
      </w:r>
    </w:p>
    <w:p>
      <w:pPr>
        <w:spacing w:after="0" w:line="202" w:lineRule="exact"/>
        <w:rPr>
          <w:sz w:val="20"/>
          <w:szCs w:val="20"/>
          <w:color w:val="auto"/>
        </w:rPr>
      </w:pPr>
    </w:p>
    <w:p>
      <w:pPr>
        <w:ind w:left="589"/>
        <w:spacing w:after="0"/>
        <w:tabs>
          <w:tab w:leader="none" w:pos="1308" w:val="left"/>
        </w:tabs>
        <w:rPr>
          <w:sz w:val="20"/>
          <w:szCs w:val="20"/>
          <w:color w:val="auto"/>
        </w:rPr>
      </w:pPr>
      <w:r>
        <w:rPr>
          <w:rFonts w:ascii="Arial" w:cs="Arial" w:eastAsia="Arial" w:hAnsi="Arial"/>
          <w:sz w:val="16"/>
          <w:szCs w:val="16"/>
          <w:b w:val="1"/>
          <w:bCs w:val="1"/>
          <w:color w:val="auto"/>
        </w:rPr>
        <w:t>4.1.1.2</w:t>
      </w:r>
      <w:r>
        <w:rPr>
          <w:sz w:val="20"/>
          <w:szCs w:val="20"/>
          <w:color w:val="auto"/>
        </w:rPr>
        <w:tab/>
      </w:r>
      <w:r>
        <w:rPr>
          <w:rFonts w:ascii="Arial" w:cs="Arial" w:eastAsia="Arial" w:hAnsi="Arial"/>
          <w:sz w:val="14"/>
          <w:szCs w:val="14"/>
          <w:b w:val="1"/>
          <w:bCs w:val="1"/>
          <w:color w:val="auto"/>
        </w:rPr>
        <w:t>Implementation of the plan</w:t>
      </w:r>
    </w:p>
    <w:p>
      <w:pPr>
        <w:spacing w:after="0" w:line="210" w:lineRule="exact"/>
        <w:rPr>
          <w:sz w:val="20"/>
          <w:szCs w:val="20"/>
          <w:color w:val="auto"/>
        </w:rPr>
      </w:pPr>
    </w:p>
    <w:p>
      <w:pPr>
        <w:jc w:val="both"/>
        <w:ind w:left="9"/>
        <w:spacing w:after="0" w:line="268" w:lineRule="auto"/>
        <w:rPr>
          <w:sz w:val="20"/>
          <w:szCs w:val="20"/>
          <w:color w:val="auto"/>
        </w:rPr>
      </w:pPr>
      <w:r>
        <w:rPr>
          <w:rFonts w:ascii="Arial" w:cs="Arial" w:eastAsia="Arial" w:hAnsi="Arial"/>
          <w:sz w:val="16"/>
          <w:szCs w:val="16"/>
          <w:color w:val="auto"/>
        </w:rPr>
        <w:t>The Responsible Body shall oversee the enforcement plan and ensure that it is executed by way of receiving periodic reports from the Enforcement Officer and management, discussing them same and examining the means of action employed by the Company as arising therefrom. The Audit Committee shall ensure that the Audit Committee and management review the need to update and refresh the plan once a year.</w:t>
      </w:r>
    </w:p>
    <w:p>
      <w:pPr>
        <w:spacing w:after="0" w:line="163" w:lineRule="exact"/>
        <w:rPr>
          <w:sz w:val="20"/>
          <w:szCs w:val="20"/>
          <w:color w:val="auto"/>
        </w:rPr>
      </w:pPr>
    </w:p>
    <w:p>
      <w:pPr>
        <w:jc w:val="both"/>
        <w:ind w:left="9"/>
        <w:spacing w:after="0" w:line="283" w:lineRule="auto"/>
        <w:rPr>
          <w:sz w:val="20"/>
          <w:szCs w:val="20"/>
          <w:color w:val="auto"/>
        </w:rPr>
      </w:pPr>
      <w:r>
        <w:rPr>
          <w:rFonts w:ascii="Arial" w:cs="Arial" w:eastAsia="Arial" w:hAnsi="Arial"/>
          <w:sz w:val="16"/>
          <w:szCs w:val="16"/>
          <w:color w:val="auto"/>
        </w:rPr>
        <w:t xml:space="preserve">The implementation of the plan shall be performed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through ongoing reporting as specified above and through the assimilation plan as the same is specified in Chapter 11 of this plan.</w:t>
      </w:r>
    </w:p>
    <w:p>
      <w:pPr>
        <w:spacing w:after="0" w:line="147" w:lineRule="exact"/>
        <w:rPr>
          <w:sz w:val="20"/>
          <w:szCs w:val="20"/>
          <w:color w:val="auto"/>
        </w:rPr>
      </w:pPr>
    </w:p>
    <w:p>
      <w:pPr>
        <w:ind w:left="589"/>
        <w:spacing w:after="0"/>
        <w:tabs>
          <w:tab w:leader="none" w:pos="1308" w:val="left"/>
        </w:tabs>
        <w:rPr>
          <w:sz w:val="20"/>
          <w:szCs w:val="20"/>
          <w:color w:val="auto"/>
        </w:rPr>
      </w:pPr>
      <w:r>
        <w:rPr>
          <w:rFonts w:ascii="Arial" w:cs="Arial" w:eastAsia="Arial" w:hAnsi="Arial"/>
          <w:sz w:val="16"/>
          <w:szCs w:val="16"/>
          <w:b w:val="1"/>
          <w:bCs w:val="1"/>
          <w:color w:val="auto"/>
        </w:rPr>
        <w:t>4.1.1.3</w:t>
      </w:r>
      <w:r>
        <w:rPr>
          <w:sz w:val="20"/>
          <w:szCs w:val="20"/>
          <w:color w:val="auto"/>
        </w:rPr>
        <w:tab/>
      </w:r>
      <w:r>
        <w:rPr>
          <w:rFonts w:ascii="Arial" w:cs="Arial" w:eastAsia="Arial" w:hAnsi="Arial"/>
          <w:sz w:val="14"/>
          <w:szCs w:val="14"/>
          <w:b w:val="1"/>
          <w:bCs w:val="1"/>
          <w:color w:val="auto"/>
        </w:rPr>
        <w:t>Supervision of the enforcement plan</w:t>
      </w:r>
    </w:p>
    <w:p>
      <w:pPr>
        <w:spacing w:after="0" w:line="210" w:lineRule="exact"/>
        <w:rPr>
          <w:sz w:val="20"/>
          <w:szCs w:val="20"/>
          <w:color w:val="auto"/>
        </w:rPr>
      </w:pPr>
    </w:p>
    <w:p>
      <w:pPr>
        <w:jc w:val="both"/>
        <w:ind w:left="9"/>
        <w:spacing w:after="0" w:line="283" w:lineRule="auto"/>
        <w:rPr>
          <w:sz w:val="20"/>
          <w:szCs w:val="20"/>
          <w:color w:val="auto"/>
        </w:rPr>
      </w:pPr>
      <w:r>
        <w:rPr>
          <w:rFonts w:ascii="Arial" w:cs="Arial" w:eastAsia="Arial" w:hAnsi="Arial"/>
          <w:sz w:val="16"/>
          <w:szCs w:val="16"/>
          <w:color w:val="auto"/>
        </w:rPr>
        <w:t>The Responsible Body, i.e. the Audit Committee, shall supervise the plan’s performance. To this end, the internal auditor’s audit plan for 2013, includes follow-up of the implementation of the administrative enforcement plan.</w:t>
      </w:r>
    </w:p>
    <w:p>
      <w:pPr>
        <w:spacing w:after="0" w:line="147" w:lineRule="exact"/>
        <w:rPr>
          <w:sz w:val="20"/>
          <w:szCs w:val="20"/>
          <w:color w:val="auto"/>
        </w:rPr>
      </w:pPr>
    </w:p>
    <w:p>
      <w:pPr>
        <w:ind w:left="589"/>
        <w:spacing w:after="0"/>
        <w:tabs>
          <w:tab w:leader="none" w:pos="1308" w:val="left"/>
        </w:tabs>
        <w:rPr>
          <w:sz w:val="20"/>
          <w:szCs w:val="20"/>
          <w:color w:val="auto"/>
        </w:rPr>
      </w:pPr>
      <w:r>
        <w:rPr>
          <w:rFonts w:ascii="Arial" w:cs="Arial" w:eastAsia="Arial" w:hAnsi="Arial"/>
          <w:sz w:val="16"/>
          <w:szCs w:val="16"/>
          <w:b w:val="1"/>
          <w:bCs w:val="1"/>
          <w:color w:val="auto"/>
        </w:rPr>
        <w:t>4.1.1.4</w:t>
      </w:r>
      <w:r>
        <w:rPr>
          <w:sz w:val="20"/>
          <w:szCs w:val="20"/>
          <w:color w:val="auto"/>
        </w:rPr>
        <w:tab/>
      </w:r>
      <w:r>
        <w:rPr>
          <w:rFonts w:ascii="Arial" w:cs="Arial" w:eastAsia="Arial" w:hAnsi="Arial"/>
          <w:sz w:val="14"/>
          <w:szCs w:val="14"/>
          <w:b w:val="1"/>
          <w:bCs w:val="1"/>
          <w:color w:val="auto"/>
        </w:rPr>
        <w:t>Handling violations of the enforcement proceedings</w:t>
      </w:r>
    </w:p>
    <w:p>
      <w:pPr>
        <w:spacing w:after="0" w:line="210" w:lineRule="exact"/>
        <w:rPr>
          <w:sz w:val="20"/>
          <w:szCs w:val="20"/>
          <w:color w:val="auto"/>
        </w:rPr>
      </w:pPr>
    </w:p>
    <w:p>
      <w:pPr>
        <w:jc w:val="both"/>
        <w:ind w:left="9"/>
        <w:spacing w:after="0" w:line="268" w:lineRule="auto"/>
        <w:rPr>
          <w:sz w:val="20"/>
          <w:szCs w:val="20"/>
          <w:color w:val="auto"/>
        </w:rPr>
      </w:pPr>
      <w:r>
        <w:rPr>
          <w:rFonts w:ascii="Arial" w:cs="Arial" w:eastAsia="Arial" w:hAnsi="Arial"/>
          <w:sz w:val="16"/>
          <w:szCs w:val="16"/>
          <w:color w:val="auto"/>
        </w:rPr>
        <w:t>The Responsible Body shall ensure that the provisions of the enforcement procedures are applied in practice. In addition, the Responsible Body shall ensure that violations of the plan will be appropriately handled, the deficiencies corrected, conclusions drawn, and in the appropriate cases, measures taken against the violating parties.</w:t>
      </w:r>
    </w:p>
    <w:p>
      <w:pPr>
        <w:spacing w:after="0" w:line="162" w:lineRule="exact"/>
        <w:rPr>
          <w:sz w:val="20"/>
          <w:szCs w:val="20"/>
          <w:color w:val="auto"/>
        </w:rPr>
      </w:pPr>
    </w:p>
    <w:p>
      <w:pPr>
        <w:ind w:left="9"/>
        <w:spacing w:after="0"/>
        <w:tabs>
          <w:tab w:leader="none" w:pos="608" w:val="left"/>
        </w:tabs>
        <w:rPr>
          <w:sz w:val="20"/>
          <w:szCs w:val="20"/>
          <w:color w:val="auto"/>
        </w:rPr>
      </w:pPr>
      <w:r>
        <w:rPr>
          <w:rFonts w:ascii="Arial" w:cs="Arial" w:eastAsia="Arial" w:hAnsi="Arial"/>
          <w:sz w:val="16"/>
          <w:szCs w:val="16"/>
          <w:color w:val="auto"/>
        </w:rPr>
        <w:t>(</w:t>
      </w:r>
      <w:r>
        <w:rPr>
          <w:rFonts w:ascii="Arial" w:cs="Arial" w:eastAsia="Arial" w:hAnsi="Arial"/>
          <w:sz w:val="22"/>
          <w:szCs w:val="22"/>
          <w:color w:val="auto"/>
          <w:vertAlign w:val="superscript"/>
        </w:rPr>
        <w:t>*</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Relevant quotations from the minutes of the Board of Directors and Audit Committee are attached hereto, marked as Annex A.</w:t>
      </w:r>
    </w:p>
    <w:p>
      <w:pPr>
        <w:spacing w:after="0" w:line="138" w:lineRule="exact"/>
        <w:rPr>
          <w:sz w:val="20"/>
          <w:szCs w:val="20"/>
          <w:color w:val="auto"/>
        </w:rPr>
      </w:pPr>
    </w:p>
    <w:p>
      <w:pPr>
        <w:ind w:left="504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66675</wp:posOffset>
            </wp:positionV>
            <wp:extent cx="724979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829"/>
          </w:cols>
          <w:pgMar w:left="811" w:top="318" w:right="259" w:bottom="1440" w:gutter="0" w:footer="0" w:header="0"/>
        </w:sectPr>
      </w:pPr>
    </w:p>
    <w:bookmarkStart w:id="340" w:name="page341"/>
    <w:bookmarkEnd w:id="340"/>
    <w:p>
      <w:pPr>
        <w:jc w:val="both"/>
        <w:spacing w:after="0" w:line="283" w:lineRule="auto"/>
        <w:rPr>
          <w:sz w:val="20"/>
          <w:szCs w:val="20"/>
          <w:color w:val="auto"/>
        </w:rPr>
      </w:pPr>
      <w:r>
        <w:rPr>
          <w:rFonts w:ascii="Arial" w:cs="Arial" w:eastAsia="Arial" w:hAnsi="Arial"/>
          <w:sz w:val="16"/>
          <w:szCs w:val="16"/>
          <w:color w:val="auto"/>
        </w:rPr>
        <w:t>The manner of contact and reporting is specified in Chapter 7 of this plan and was approved by the Audit Committee and Board of Directors as part of the plan’s approval. The Company shall approve in each procedure separately, insofar as necessary, the required sanctions and disciplinary action.</w:t>
      </w:r>
    </w:p>
    <w:p>
      <w:pPr>
        <w:spacing w:after="0" w:line="147"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6"/>
          <w:szCs w:val="16"/>
          <w:b w:val="1"/>
          <w:bCs w:val="1"/>
          <w:color w:val="auto"/>
        </w:rPr>
        <w:t>4.1.1.5</w:t>
      </w:r>
      <w:r>
        <w:rPr>
          <w:sz w:val="20"/>
          <w:szCs w:val="20"/>
          <w:color w:val="auto"/>
        </w:rPr>
        <w:tab/>
      </w:r>
      <w:r>
        <w:rPr>
          <w:rFonts w:ascii="Arial" w:cs="Arial" w:eastAsia="Arial" w:hAnsi="Arial"/>
          <w:sz w:val="14"/>
          <w:szCs w:val="14"/>
          <w:b w:val="1"/>
          <w:bCs w:val="1"/>
          <w:color w:val="auto"/>
        </w:rPr>
        <w:t>Reporting to the Board of Directors and the Audit Committee</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Audit Committee as the Responsible Body or a body authorized thereby shall report as needed and at least annually to the Board of Directors on the implementation of the enforcement plan and related issues at the Committee’s discretion.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report to the Board of Directors may include but is not limited to supervision of the implementation of the plan through demanding periodic reports on the approval of the enforcement plan, updating the plan and its procedures, appointing relevant bodies, and the results of the supervision of the implementation and effectiveness of the plan.</w:t>
      </w:r>
    </w:p>
    <w:p>
      <w:pPr>
        <w:spacing w:after="0" w:line="15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4.1.2</w:t>
      </w:r>
      <w:r>
        <w:rPr>
          <w:sz w:val="20"/>
          <w:szCs w:val="20"/>
          <w:color w:val="auto"/>
        </w:rPr>
        <w:tab/>
      </w:r>
      <w:r>
        <w:rPr>
          <w:rFonts w:ascii="Arial" w:cs="Arial" w:eastAsia="Arial" w:hAnsi="Arial"/>
          <w:sz w:val="14"/>
          <w:szCs w:val="14"/>
          <w:b w:val="1"/>
          <w:bCs w:val="1"/>
          <w:color w:val="auto"/>
        </w:rPr>
        <w:t>Responsibility of the CEO/management – steering committee</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ISA’s Document provided that the CEO is the officer with supervisory responsibility to ensure the compliance of the Company and its employees with the securities laws through the shaping of the internal enforcement mechanisms.</w:t>
      </w:r>
    </w:p>
    <w:p>
      <w:pPr>
        <w:spacing w:after="0" w:line="1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Management is responsible for the shaping and formulation of the enforcement plan and its presentation for the Audit Committee’s approval. In addition it is responsible for the ongoing implementation of the plan.</w:t>
      </w:r>
    </w:p>
    <w:p>
      <w:pPr>
        <w:spacing w:after="0" w:line="1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Management shall act through the Enforcement Officer, Adv. Norman Kotler, as appointed on February 5, 2012, and through the Chief Financial &amp; Operating Officer, Philip Serlin, CPA.</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part of the fulfillment of such obligation, the CEO has appointed a </w:t>
      </w:r>
      <w:r>
        <w:rPr>
          <w:rFonts w:ascii="Arial" w:cs="Arial" w:eastAsia="Arial" w:hAnsi="Arial"/>
          <w:sz w:val="16"/>
          <w:szCs w:val="16"/>
          <w:b w:val="1"/>
          <w:bCs w:val="1"/>
          <w:u w:val="single" w:color="auto"/>
          <w:color w:val="auto"/>
        </w:rPr>
        <w:t>steering committee</w:t>
      </w:r>
      <w:r>
        <w:rPr>
          <w:rFonts w:ascii="Arial" w:cs="Arial" w:eastAsia="Arial" w:hAnsi="Arial"/>
          <w:sz w:val="16"/>
          <w:szCs w:val="16"/>
          <w:color w:val="auto"/>
        </w:rPr>
        <w:t xml:space="preserve"> to shape the internal enforcement mechanisms. The steering committee includes the following: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&amp; Operating Officer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Executive Director of Finance and Reporting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Internal Enforcement Officer</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steering committee is responsible for shaping the enforcement mechanisms, performing the compliance survey, writing the enforcement and assimilation plan and obtaining the suitable approvals from the relevant bodies.</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4.1.3</w:t>
      </w:r>
      <w:r>
        <w:rPr>
          <w:sz w:val="20"/>
          <w:szCs w:val="20"/>
          <w:color w:val="auto"/>
        </w:rPr>
        <w:tab/>
      </w:r>
      <w:r>
        <w:rPr>
          <w:rFonts w:ascii="Arial" w:cs="Arial" w:eastAsia="Arial" w:hAnsi="Arial"/>
          <w:sz w:val="14"/>
          <w:szCs w:val="14"/>
          <w:b w:val="1"/>
          <w:bCs w:val="1"/>
          <w:color w:val="auto"/>
        </w:rPr>
        <w:t>Responsibility of the Chief Financial &amp; Operating Officer</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Chief Financial &amp; Operating Officer, as management’s representative, is responsible for leading and managing the process of writing the enforcement plan and determining the mechanisms included therein.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Such power includes review and approval of the compliance survey, the enforcement plan and the procedures included therein.</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Chief Financial &amp; Operating Officer as the direct supervisor of the Enforcement Officer shall supervise his activity as the officer responsible for internal enforcement.</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4.1.4</w:t>
      </w:r>
      <w:r>
        <w:rPr>
          <w:sz w:val="20"/>
          <w:szCs w:val="20"/>
          <w:color w:val="auto"/>
        </w:rPr>
        <w:tab/>
      </w:r>
      <w:r>
        <w:rPr>
          <w:rFonts w:ascii="Arial" w:cs="Arial" w:eastAsia="Arial" w:hAnsi="Arial"/>
          <w:sz w:val="14"/>
          <w:szCs w:val="14"/>
          <w:b w:val="1"/>
          <w:bCs w:val="1"/>
          <w:color w:val="auto"/>
        </w:rPr>
        <w:t>Responsibility of the General Counsel and Internal Enforcement Officer</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General Counsel of the Company, as the officer in charge of the compliance culture and proper corporate governance in the Company and as the officer responsible for the compliance of the Company, its officers, managers and employee with the laws and regulations that apply to them, is involved in shaping, implementing and ensuring the compliance with the enforcement plan and examining the suitability of the mechanisms set forth in the enforcement plan and its procedures to the laws that apply to the Company.</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General Counsel shall take an active part in the deliberations of the steering committee of which he is a member, and by virtue of his appointment as the Internal Enforcement Officer (also to be referred to in this plan as the “Officer”) at the Company shall act to fulfill his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Responsibility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The Officer shall in practice lead the implementation of the enforcement plan. Powers shall be conferred on the Officer, enabling him to carry out the processes and mechanisms included in the enforcement plan and that are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specified in the standards in the ISA Document and in Chapter 6 of this plan, “Appointment of the Enforcement Officer”.</w:t>
      </w:r>
    </w:p>
    <w:p>
      <w:pPr>
        <w:spacing w:after="0" w:line="163"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4979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820"/>
          </w:cols>
          <w:pgMar w:left="820" w:top="321" w:right="259" w:bottom="1440" w:gutter="0" w:footer="0" w:header="0"/>
        </w:sectPr>
      </w:pPr>
    </w:p>
    <w:bookmarkStart w:id="341" w:name="page342"/>
    <w:bookmarkEnd w:id="341"/>
    <w:p>
      <w:pPr>
        <w:spacing w:after="0"/>
        <w:rPr>
          <w:sz w:val="20"/>
          <w:szCs w:val="20"/>
          <w:color w:val="auto"/>
        </w:rPr>
      </w:pPr>
      <w:r>
        <w:rPr>
          <w:rFonts w:ascii="Arial" w:cs="Arial" w:eastAsia="Arial" w:hAnsi="Arial"/>
          <w:sz w:val="16"/>
          <w:szCs w:val="16"/>
          <w:color w:val="auto"/>
        </w:rPr>
        <w:t>The Officer’s responsibilities and the acts for the implementation of the enforcement plan are specified in the assimilation plan in Chapter 11.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For any question or query on the issue of the enforcement plan, please contact the Officer: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Adv. Norman Kotler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normank@biolinerx.com</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Tel. 02-5489139</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Determination of a work plan for the fulfillment of all of his obligations pursuant to this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be responsible to add as an annex</w:t>
      </w:r>
    </w:p>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4.1.5</w:t>
      </w:r>
      <w:r>
        <w:rPr>
          <w:sz w:val="20"/>
          <w:szCs w:val="20"/>
          <w:color w:val="auto"/>
        </w:rPr>
        <w:tab/>
      </w:r>
      <w:r>
        <w:rPr>
          <w:rFonts w:ascii="Arial" w:cs="Arial" w:eastAsia="Arial" w:hAnsi="Arial"/>
          <w:sz w:val="14"/>
          <w:szCs w:val="14"/>
          <w:b w:val="1"/>
          <w:bCs w:val="1"/>
          <w:color w:val="auto"/>
        </w:rPr>
        <w:t>Internal auditor’s responsibility</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The Internal Audit Law, 5752-1992, provides that the internal auditor of the Company is, </w:t>
      </w:r>
      <w:r>
        <w:rPr>
          <w:rFonts w:ascii="Arial" w:cs="Arial" w:eastAsia="Arial" w:hAnsi="Arial"/>
          <w:sz w:val="15"/>
          <w:szCs w:val="15"/>
          <w:i w:val="1"/>
          <w:iCs w:val="1"/>
          <w:color w:val="auto"/>
        </w:rPr>
        <w:t>inter alia</w:t>
      </w:r>
      <w:r>
        <w:rPr>
          <w:rFonts w:ascii="Arial" w:cs="Arial" w:eastAsia="Arial" w:hAnsi="Arial"/>
          <w:sz w:val="15"/>
          <w:szCs w:val="15"/>
          <w:color w:val="auto"/>
        </w:rPr>
        <w:t>, the body responsible for the examination of issues such as: the propriety of the actions of the Company and the officers, the fulfillment of the provisions that are binding on the Company and the carrying out of decision-making processes according to proper procedures and, consequently, contributes to the Company’s compliance and enforcement mechanisms.</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accordance with his or her in-depth familiarity with internal control at the Company, the internal auditor shall take an active part in the deliberations and shaping of the enforcement plan insofar as will be required.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supervision:</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One of the roles of the internal auditor in the context of an enforcement plan is supervising the activity of the Officer and the enforcement plan (as defined in the ISA Document).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order to perform such role, the auditor shall set include a periodic audit in his or her work plan, which may include:</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Examining the relevance and effectiveness of the enforcement plan, the effectiveness of the Officer’s actions, examining the compliance with the enforcement plan and its procedures once every four years, handling irregular cases that were identified, completing the acts required in the enforcement plan within the required timelines.</w:t>
      </w:r>
    </w:p>
    <w:p>
      <w:pPr>
        <w:spacing w:after="0" w:line="163"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4979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820"/>
          </w:cols>
          <w:pgMar w:left="820" w:top="321" w:right="259" w:bottom="1440" w:gutter="0" w:footer="0" w:header="0"/>
        </w:sectPr>
      </w:pPr>
    </w:p>
    <w:bookmarkStart w:id="342" w:name="page343"/>
    <w:bookmarkEnd w:id="342"/>
    <w:p>
      <w:pPr>
        <w:ind w:left="581" w:hanging="581"/>
        <w:spacing w:after="0"/>
        <w:tabs>
          <w:tab w:leader="none" w:pos="581"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Guiding principles/issues addressed</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BioLine is a dual-listed company that is listed on the Tel Aviv Stock Exchange and on NASDAQ in the U.S.</w:t>
      </w:r>
    </w:p>
    <w:p>
      <w:pPr>
        <w:spacing w:after="0" w:line="202" w:lineRule="exact"/>
        <w:rPr>
          <w:sz w:val="20"/>
          <w:szCs w:val="20"/>
          <w:color w:val="auto"/>
        </w:rPr>
      </w:pPr>
    </w:p>
    <w:p>
      <w:pPr>
        <w:jc w:val="both"/>
        <w:ind w:left="1"/>
        <w:spacing w:after="0" w:line="288" w:lineRule="auto"/>
        <w:rPr>
          <w:sz w:val="20"/>
          <w:szCs w:val="20"/>
          <w:color w:val="auto"/>
        </w:rPr>
      </w:pPr>
      <w:r>
        <w:rPr>
          <w:rFonts w:ascii="Arial" w:cs="Arial" w:eastAsia="Arial" w:hAnsi="Arial"/>
          <w:sz w:val="16"/>
          <w:szCs w:val="16"/>
          <w:color w:val="auto"/>
        </w:rPr>
        <w:t>The Company’s reporting obligations derive mainly from the requirements of the U.S.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reports deriving from its compliance with SEC’s requirements are also published in the ISA’s reporting system.</w:t>
      </w:r>
    </w:p>
    <w:p>
      <w:pPr>
        <w:spacing w:after="0" w:line="147"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Pursuant to an examination of the violations in the Fifth and Seventh Schedules to the Law, and an examination of the relevance to the Company by the General Counsel and the Officer, the following issues were found to be relevant to the enforcement plan.</w:t>
      </w:r>
    </w:p>
    <w:p>
      <w:pPr>
        <w:spacing w:after="0" w:line="147"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Prospectus/annual report process</w:t>
      </w:r>
    </w:p>
    <w:p>
      <w:pPr>
        <w:spacing w:after="0" w:line="210" w:lineRule="exact"/>
        <w:rPr>
          <w:sz w:val="20"/>
          <w:szCs w:val="20"/>
          <w:color w:val="auto"/>
        </w:rPr>
      </w:pPr>
    </w:p>
    <w:p>
      <w:pPr>
        <w:jc w:val="both"/>
        <w:ind w:left="1"/>
        <w:spacing w:after="0" w:line="294" w:lineRule="auto"/>
        <w:rPr>
          <w:sz w:val="20"/>
          <w:szCs w:val="20"/>
          <w:color w:val="auto"/>
        </w:rPr>
      </w:pPr>
      <w:r>
        <w:rPr>
          <w:rFonts w:ascii="Arial" w:cs="Arial" w:eastAsia="Arial" w:hAnsi="Arial"/>
          <w:sz w:val="15"/>
          <w:szCs w:val="15"/>
          <w:color w:val="auto"/>
        </w:rPr>
        <w:t>Corporations publish a prospectus as part of the process of offering securities or bonds. In addition, under U.S. law, the Company is required to file an annual report with the SEC. The process of preparation of the annual report is similar to the one related to the preparation of a prospectus. The purpose of the prospectus and the annual report is to provide to the general public and to the reasonable investor in particular information that is essential to the decision to purchase the Company’s securities.</w:t>
      </w:r>
    </w:p>
    <w:p>
      <w:pPr>
        <w:spacing w:after="0" w:line="145"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In view of the Company’s dual listing, it is obligated to institute a process with regard to a prospectus or annual report (and which is relevant to the process at the main stock exchange) upon the completion of which, the Company shall be able to publish a full, reliable and up-to-date prospectus or report that is approved by any and all relevant bodies and meets all of the regulatory requirements.</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process shall be regulated in the context of a procedure or a checklist, specifying the acts that are required and which shall be updated from time to time and as necessary.</w:t>
      </w:r>
    </w:p>
    <w:p>
      <w:pPr>
        <w:spacing w:after="0" w:line="225"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b w:val="1"/>
          <w:bCs w:val="1"/>
          <w:color w:val="auto"/>
        </w:rPr>
        <w:t>Reports to the SEC and ISA</w:t>
      </w:r>
    </w:p>
    <w:p>
      <w:pPr>
        <w:spacing w:after="0" w:line="210"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The purpose of the reports to the ISA is to update the investors and supervisory bodies on the Company’s condition and on developments or changes in its activity that may be relevant to the investing public. The Company’s reports are based on the reports to the SEC and which are required thereby.</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All of the reports must include full, reliable and current information and to fulfill any and all relevant regulatory requirements.</w:t>
      </w:r>
    </w:p>
    <w:p>
      <w:pPr>
        <w:spacing w:after="0" w:line="206"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A reporting obligation exists in various cases which affects the content and manner of reporting. This plan deals with three issues that arise from the obligations that apply as a result of the Fifth and Seventh Schedules</w:t>
      </w:r>
    </w:p>
    <w:p>
      <w:pPr>
        <w:spacing w:after="0" w:line="147" w:lineRule="exact"/>
        <w:rPr>
          <w:sz w:val="20"/>
          <w:szCs w:val="20"/>
          <w:color w:val="auto"/>
        </w:rPr>
      </w:pPr>
    </w:p>
    <w:p>
      <w:pPr>
        <w:jc w:val="both"/>
        <w:ind w:left="581"/>
        <w:spacing w:after="0" w:line="324" w:lineRule="auto"/>
        <w:rPr>
          <w:sz w:val="20"/>
          <w:szCs w:val="20"/>
          <w:color w:val="auto"/>
        </w:rPr>
      </w:pPr>
      <w:r>
        <w:rPr>
          <w:rFonts w:ascii="Arial" w:cs="Arial" w:eastAsia="Arial" w:hAnsi="Arial"/>
          <w:sz w:val="15"/>
          <w:szCs w:val="15"/>
          <w:b w:val="1"/>
          <w:bCs w:val="1"/>
          <w:color w:val="auto"/>
        </w:rPr>
        <w:t xml:space="preserve">5.2.1 Periodic reports – </w:t>
      </w:r>
      <w:r>
        <w:rPr>
          <w:rFonts w:ascii="Arial" w:cs="Arial" w:eastAsia="Arial" w:hAnsi="Arial"/>
          <w:sz w:val="15"/>
          <w:szCs w:val="15"/>
          <w:color w:val="auto"/>
        </w:rPr>
        <w:t>In addition to an extensive annual report, a public company is required to release financial statements on a quarterly basis.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case, the structure and content of the reports are audited and supervised according to international accounting standards and the rules of the SEC.</w:t>
      </w:r>
    </w:p>
    <w:p>
      <w:pPr>
        <w:spacing w:after="0" w:line="123" w:lineRule="exact"/>
        <w:rPr>
          <w:sz w:val="20"/>
          <w:szCs w:val="20"/>
          <w:color w:val="auto"/>
        </w:rPr>
      </w:pPr>
    </w:p>
    <w:p>
      <w:pPr>
        <w:jc w:val="both"/>
        <w:ind w:left="581"/>
        <w:spacing w:after="0" w:line="268" w:lineRule="auto"/>
        <w:rPr>
          <w:sz w:val="20"/>
          <w:szCs w:val="20"/>
          <w:color w:val="auto"/>
        </w:rPr>
      </w:pPr>
      <w:r>
        <w:rPr>
          <w:rFonts w:ascii="Arial" w:cs="Arial" w:eastAsia="Arial" w:hAnsi="Arial"/>
          <w:sz w:val="16"/>
          <w:szCs w:val="16"/>
          <w:color w:val="auto"/>
        </w:rPr>
        <w:t>Establishing an internal procedure regarding periodic reporting will assist the Company in minimizing the risks related to the deadline for and appropriateness of the periodic reporting, and the fulfillment and enforcement thereof will assist in the prevention of failures on the part of employees and officers with regard to the subject, directly or indirectly.</w:t>
      </w:r>
    </w:p>
    <w:p>
      <w:pPr>
        <w:spacing w:after="0" w:line="159" w:lineRule="exact"/>
        <w:rPr>
          <w:sz w:val="20"/>
          <w:szCs w:val="20"/>
          <w:color w:val="auto"/>
        </w:rPr>
      </w:pPr>
    </w:p>
    <w:p>
      <w:pPr>
        <w:jc w:val="both"/>
        <w:ind w:left="581"/>
        <w:spacing w:after="0" w:line="288" w:lineRule="auto"/>
        <w:rPr>
          <w:sz w:val="20"/>
          <w:szCs w:val="20"/>
          <w:color w:val="auto"/>
        </w:rPr>
      </w:pPr>
      <w:r>
        <w:rPr>
          <w:rFonts w:ascii="Arial" w:cs="Arial" w:eastAsia="Arial" w:hAnsi="Arial"/>
          <w:sz w:val="15"/>
          <w:szCs w:val="15"/>
          <w:b w:val="1"/>
          <w:bCs w:val="1"/>
          <w:color w:val="auto"/>
        </w:rPr>
        <w:t xml:space="preserve">5.2.2 Immediate reports </w:t>
      </w:r>
      <w:r>
        <w:rPr>
          <w:rFonts w:ascii="Arial" w:cs="Arial" w:eastAsia="Arial" w:hAnsi="Arial"/>
          <w:sz w:val="15"/>
          <w:szCs w:val="15"/>
          <w:color w:val="auto"/>
        </w:rPr>
        <w:t>– BioLine, as a dual public company, is required to immediately report (according to SEC’s reporting rules) material events which</w:t>
      </w:r>
      <w:r>
        <w:rPr>
          <w:rFonts w:ascii="Arial" w:cs="Arial" w:eastAsia="Arial" w:hAnsi="Arial"/>
          <w:sz w:val="15"/>
          <w:szCs w:val="15"/>
          <w:b w:val="1"/>
          <w:bCs w:val="1"/>
          <w:color w:val="auto"/>
        </w:rPr>
        <w:t xml:space="preserve"> </w:t>
      </w:r>
      <w:r>
        <w:rPr>
          <w:rFonts w:ascii="Arial" w:cs="Arial" w:eastAsia="Arial" w:hAnsi="Arial"/>
          <w:sz w:val="15"/>
          <w:szCs w:val="15"/>
          <w:color w:val="auto"/>
        </w:rPr>
        <w:t>may have an effect on the price of the Company’s securities. The identification of the need to report, the decision on the need to report, the weighing of conflicting interests, the timing and content of the report, requires the Company to have an orderly process, which includes the identification of information which may have to be reported, the consultation with regard to the need to report, and the actual reporting, all within the timeframes prescribed in by applicable regulations.</w:t>
      </w:r>
    </w:p>
    <w:p>
      <w:pPr>
        <w:spacing w:after="0" w:line="150" w:lineRule="exact"/>
        <w:rPr>
          <w:sz w:val="20"/>
          <w:szCs w:val="20"/>
          <w:color w:val="auto"/>
        </w:rPr>
      </w:pPr>
    </w:p>
    <w:p>
      <w:pPr>
        <w:jc w:val="both"/>
        <w:ind w:left="581"/>
        <w:spacing w:after="0" w:line="283" w:lineRule="auto"/>
        <w:rPr>
          <w:sz w:val="20"/>
          <w:szCs w:val="20"/>
          <w:color w:val="auto"/>
        </w:rPr>
      </w:pPr>
      <w:r>
        <w:rPr>
          <w:rFonts w:ascii="Arial" w:cs="Arial" w:eastAsia="Arial" w:hAnsi="Arial"/>
          <w:sz w:val="16"/>
          <w:szCs w:val="16"/>
          <w:color w:val="auto"/>
        </w:rPr>
        <w:t>The purpose of establishing a process and determining rules of activity and conduct is to provide current, accurate and full reporting to the SEC, the ISA and the public, on issues that are regulated in the securities laws and the regulations thereunder.</w:t>
      </w:r>
    </w:p>
    <w:p>
      <w:pPr>
        <w:spacing w:after="0" w:line="151" w:lineRule="exact"/>
        <w:rPr>
          <w:sz w:val="20"/>
          <w:szCs w:val="20"/>
          <w:color w:val="auto"/>
        </w:rPr>
      </w:pPr>
    </w:p>
    <w:p>
      <w:pPr>
        <w:jc w:val="both"/>
        <w:ind w:left="581"/>
        <w:spacing w:after="0" w:line="268" w:lineRule="auto"/>
        <w:rPr>
          <w:sz w:val="20"/>
          <w:szCs w:val="20"/>
          <w:color w:val="auto"/>
        </w:rPr>
      </w:pPr>
      <w:r>
        <w:rPr>
          <w:rFonts w:ascii="Arial" w:cs="Arial" w:eastAsia="Arial" w:hAnsi="Arial"/>
          <w:sz w:val="16"/>
          <w:szCs w:val="16"/>
          <w:color w:val="auto"/>
        </w:rPr>
        <w:t>Establishing an internal procedure regarding immediate reports will assist the Company in minimizing the risks related to the deadline for and appropriateness of the periodic reporting, and the fulfillment and enforcement thereof will assist in the prevention of failures on the part of employees and officers with regard to the subject, directly or indirectly.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513" w:right="259" w:bottom="1440" w:gutter="0" w:footer="0" w:header="0"/>
        </w:sectPr>
      </w:pPr>
    </w:p>
    <w:bookmarkStart w:id="343" w:name="page344"/>
    <w:bookmarkEnd w:id="343"/>
    <w:p>
      <w:pPr>
        <w:spacing w:after="0"/>
        <w:tabs>
          <w:tab w:leader="none" w:pos="56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Prohibition on the use of inside information</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Inside information is “information on developments in the company, changes in its condition, expected developments or changes, or other information about the company, which is unknown to the public and which, were it to become known to the public, would result in a material change in the price of the Company’s security or the price of another security of which the Company’s security is a basic asset.” It was determined in the legislation that the use of inside information for the purpose of a securities transaction or its transmission to another, are prohibited by law.</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Each corporation is required to adopt rules and guidelines in order to fulfill Chapter H1 of the Securities Law including all of its provisions, as well as the U.S. laws which relate to such issue, all in order to prevent the use of inside information by the Company’s employees and other bodies.</w:t>
      </w:r>
    </w:p>
    <w:p>
      <w:pPr>
        <w:spacing w:after="0" w:line="1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It is necessary to put in place a process to cover the identification of the sensitive information, clarify the prohibition to use the same and assimilate it among any and all persons who come into contact with such information.</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Establishing an internal procedure regarding the use of inside information will assist the Company in minimizing the risks related to the deadline for and appropriateness of the periodic reporting, and the fulfillment and enforcement thereof will assist in the prevention of failures on the part of employees and officers with regard to the subject, directly or indirectly.</w:t>
      </w:r>
    </w:p>
    <w:p>
      <w:pPr>
        <w:spacing w:after="0" w:line="15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4"/>
          <w:szCs w:val="14"/>
          <w:b w:val="1"/>
          <w:bCs w:val="1"/>
          <w:color w:val="auto"/>
        </w:rPr>
        <w:t>Transactions with interested parties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 xml:space="preserve">Interested party transactions are transactions entered into between one of the interested parties of the company (or between a company affiliated with that party or a person related to it) and the company. Such transactions contain a potential for a conflict of interests that is higher than in ordinary transactions. Therefore, applicable laws and regulations set forth conditions to the approval of such type of transactions, </w:t>
      </w:r>
      <w:r>
        <w:rPr>
          <w:rFonts w:ascii="Arial" w:cs="Arial" w:eastAsia="Arial" w:hAnsi="Arial"/>
          <w:sz w:val="15"/>
          <w:szCs w:val="15"/>
          <w:i w:val="1"/>
          <w:iCs w:val="1"/>
          <w:color w:val="auto"/>
        </w:rPr>
        <w:t>inter alia</w:t>
      </w:r>
      <w:r>
        <w:rPr>
          <w:rFonts w:ascii="Arial" w:cs="Arial" w:eastAsia="Arial" w:hAnsi="Arial"/>
          <w:sz w:val="15"/>
          <w:szCs w:val="15"/>
          <w:color w:val="auto"/>
        </w:rPr>
        <w:t>, the manner of approval thereof by various organs of the corporation (including, under circumstances set forth in the law, an approval by a general meeting of a majority of the shareholders of the company from among the those shareholders who do not have a personal interest in relation to the transaction), and the disclosure to the public of the terms and conditions of the transaction.</w:t>
      </w:r>
    </w:p>
    <w:p>
      <w:pPr>
        <w:spacing w:after="0" w:line="1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view of the regulatory requirements concerning the identification of such transactions, the manner of approval thereof and reporting thereon, a controlled process should be put in place concerning the subject, in order to reduce the related risks and assist in the prevention of failures in the matter.</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5.5</w:t>
      </w:r>
      <w:r>
        <w:rPr>
          <w:sz w:val="20"/>
          <w:szCs w:val="20"/>
          <w:color w:val="auto"/>
        </w:rPr>
        <w:tab/>
      </w:r>
      <w:r>
        <w:rPr>
          <w:rFonts w:ascii="Arial" w:cs="Arial" w:eastAsia="Arial" w:hAnsi="Arial"/>
          <w:sz w:val="14"/>
          <w:szCs w:val="14"/>
          <w:b w:val="1"/>
          <w:bCs w:val="1"/>
          <w:color w:val="auto"/>
        </w:rPr>
        <w:t>Procedure for period end closing</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accordance with the Companies Law, 5759-1999, the Securities Law and U.S. securities laws, public companies must abide by all disclosure rules and prepare proper financial statements covering all accounting operations. Companies must therefore operate in accordance with orderly and well-defined work procedures, and generate reports conform to accepted accounting practices, according to the provisions of the law. The procedure for period end closing, which is in the advanced stage of drafting, intended to set in order the preparation of the Company’s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44" w:name="page345"/>
    <w:bookmarkEnd w:id="344"/>
    <w:p>
      <w:pPr>
        <w:ind w:left="581" w:hanging="581"/>
        <w:spacing w:after="0"/>
        <w:tabs>
          <w:tab w:leader="none" w:pos="581" w:val="left"/>
        </w:tabs>
        <w:numPr>
          <w:ilvl w:val="0"/>
          <w:numId w:val="304"/>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 an Internal Enforcement Officer</w:t>
      </w:r>
    </w:p>
    <w:p>
      <w:pPr>
        <w:spacing w:after="0" w:line="205" w:lineRule="exact"/>
        <w:rPr>
          <w:rFonts w:ascii="Arial" w:cs="Arial" w:eastAsia="Arial" w:hAnsi="Arial"/>
          <w:sz w:val="16"/>
          <w:szCs w:val="16"/>
          <w:b w:val="1"/>
          <w:bCs w:val="1"/>
          <w:color w:val="auto"/>
        </w:rPr>
      </w:pPr>
    </w:p>
    <w:p>
      <w:pPr>
        <w:ind w:left="1"/>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6.1</w:t>
      </w:r>
      <w:r>
        <w:rPr>
          <w:rFonts w:ascii="Arial" w:cs="Arial" w:eastAsia="Arial" w:hAnsi="Arial"/>
          <w:sz w:val="14"/>
          <w:szCs w:val="14"/>
          <w:b w:val="1"/>
          <w:bCs w:val="1"/>
          <w:color w:val="auto"/>
        </w:rPr>
        <w:t>Appointment of an Officer</w:t>
      </w:r>
    </w:p>
    <w:p>
      <w:pPr>
        <w:spacing w:after="0" w:line="210"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The Officer shall have the skills, knowledge and experience that are appropriate for his position and areas of responsibility and shall be a manager in the Company who is familiar with the Company’s activity and the business and regulatory environment in which it operates.</w:t>
      </w:r>
    </w:p>
    <w:p>
      <w:pPr>
        <w:spacing w:after="0" w:line="151"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The Company’s management and the Audit Committee shall ensure that the Officer is given the powers and provided with suitable resources such that they will enable him to fulfill his duties and exercise his powers (as will be specified below) in an optimal manner.</w:t>
      </w:r>
    </w:p>
    <w:p>
      <w:pPr>
        <w:spacing w:after="0" w:line="147"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4"/>
          <w:szCs w:val="14"/>
          <w:b w:val="1"/>
          <w:bCs w:val="1"/>
          <w:color w:val="auto"/>
        </w:rPr>
        <w:t>The appointment and approval (and change) process</w:t>
      </w:r>
    </w:p>
    <w:p>
      <w:pPr>
        <w:spacing w:after="0" w:line="210" w:lineRule="exact"/>
        <w:rPr>
          <w:sz w:val="20"/>
          <w:szCs w:val="20"/>
          <w:color w:val="auto"/>
        </w:rPr>
      </w:pPr>
    </w:p>
    <w:p>
      <w:pPr>
        <w:jc w:val="both"/>
        <w:ind w:left="1"/>
        <w:spacing w:after="0" w:line="275" w:lineRule="auto"/>
        <w:rPr>
          <w:sz w:val="20"/>
          <w:szCs w:val="20"/>
          <w:color w:val="auto"/>
        </w:rPr>
      </w:pPr>
      <w:r>
        <w:rPr>
          <w:rFonts w:ascii="Arial" w:cs="Arial" w:eastAsia="Arial" w:hAnsi="Arial"/>
          <w:sz w:val="16"/>
          <w:szCs w:val="16"/>
          <w:color w:val="auto"/>
        </w:rPr>
        <w:t>The candidacy of the Officer shall be presented to the Audit Committee together with management’s recommendation to appoint him as the Officer, after the presentation of his skills and experience. For the purpose of management and implementation of the internal enforcement plan, on February 5, 2012, the Audit Committee appointed Adv. Norman Kotler for the position of Internal Enforcement Officer.</w:t>
      </w:r>
      <w:r>
        <w:rPr>
          <w:rFonts w:ascii="Arial" w:cs="Arial" w:eastAsia="Arial" w:hAnsi="Arial"/>
          <w:sz w:val="22"/>
          <w:szCs w:val="22"/>
          <w:color w:val="auto"/>
          <w:vertAlign w:val="superscript"/>
        </w:rPr>
        <w:t>1</w:t>
      </w:r>
    </w:p>
    <w:p>
      <w:pPr>
        <w:spacing w:after="0" w:line="68"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As set forth in the ISA Document, it was determined that the appointment of a new officer and/or removal of the Officer from his position require the management’s recommendation and the approval of the Audit Committee.</w:t>
      </w:r>
    </w:p>
    <w:p>
      <w:pPr>
        <w:spacing w:after="0" w:line="147"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6.3</w:t>
      </w:r>
      <w:r>
        <w:rPr>
          <w:sz w:val="20"/>
          <w:szCs w:val="20"/>
          <w:color w:val="auto"/>
        </w:rPr>
        <w:tab/>
      </w:r>
      <w:r>
        <w:rPr>
          <w:rFonts w:ascii="Arial" w:cs="Arial" w:eastAsia="Arial" w:hAnsi="Arial"/>
          <w:sz w:val="14"/>
          <w:szCs w:val="14"/>
          <w:b w:val="1"/>
          <w:bCs w:val="1"/>
          <w:color w:val="auto"/>
        </w:rPr>
        <w:t>Powers</w:t>
      </w:r>
    </w:p>
    <w:p>
      <w:pPr>
        <w:spacing w:after="0" w:line="210"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The Officer’s first and foremost authority is to implement the internal enforcement plan and lead the actual acts of enforcement pursuant to the plan,the requirements of the Law and the recommendations of the ISA and/or any other relevant body.</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Officer’s powers include but are not limited to the powers listed in the ISA Document:</w:t>
      </w:r>
    </w:p>
    <w:p>
      <w:pPr>
        <w:spacing w:after="0" w:line="202" w:lineRule="exact"/>
        <w:rPr>
          <w:sz w:val="20"/>
          <w:szCs w:val="20"/>
          <w:color w:val="auto"/>
        </w:rPr>
      </w:pPr>
    </w:p>
    <w:p>
      <w:pPr>
        <w:ind w:left="581"/>
        <w:spacing w:after="0"/>
        <w:tabs>
          <w:tab w:leader="none" w:pos="1140" w:val="left"/>
        </w:tabs>
        <w:rPr>
          <w:sz w:val="20"/>
          <w:szCs w:val="20"/>
          <w:color w:val="auto"/>
        </w:rPr>
      </w:pPr>
      <w:r>
        <w:rPr>
          <w:rFonts w:ascii="Arial" w:cs="Arial" w:eastAsia="Arial" w:hAnsi="Arial"/>
          <w:sz w:val="16"/>
          <w:szCs w:val="16"/>
          <w:b w:val="1"/>
          <w:bCs w:val="1"/>
          <w:color w:val="auto"/>
        </w:rPr>
        <w:t>6.3.1</w:t>
      </w:r>
      <w:r>
        <w:rPr>
          <w:sz w:val="20"/>
          <w:szCs w:val="20"/>
          <w:color w:val="auto"/>
        </w:rPr>
        <w:tab/>
      </w:r>
      <w:r>
        <w:rPr>
          <w:rFonts w:ascii="Arial" w:cs="Arial" w:eastAsia="Arial" w:hAnsi="Arial"/>
          <w:sz w:val="14"/>
          <w:szCs w:val="14"/>
          <w:b w:val="1"/>
          <w:bCs w:val="1"/>
          <w:color w:val="auto"/>
        </w:rPr>
        <w:t>Ongoing supervision:</w:t>
      </w:r>
    </w:p>
    <w:p>
      <w:pPr>
        <w:spacing w:after="0" w:line="210" w:lineRule="exact"/>
        <w:rPr>
          <w:sz w:val="20"/>
          <w:szCs w:val="20"/>
          <w:color w:val="auto"/>
        </w:rPr>
      </w:pPr>
    </w:p>
    <w:p>
      <w:pPr>
        <w:ind w:left="581"/>
        <w:spacing w:after="0"/>
        <w:rPr>
          <w:sz w:val="20"/>
          <w:szCs w:val="20"/>
          <w:color w:val="auto"/>
        </w:rPr>
      </w:pPr>
      <w:r>
        <w:rPr>
          <w:rFonts w:ascii="Arial" w:cs="Arial" w:eastAsia="Arial" w:hAnsi="Arial"/>
          <w:sz w:val="15"/>
          <w:szCs w:val="15"/>
          <w:color w:val="auto"/>
        </w:rPr>
        <w:t>The Company, through the Officer, shall ensure on an ongoing basis that the plan is actually implemented in order to achieve its goals as specified above.</w:t>
      </w:r>
    </w:p>
    <w:p>
      <w:pPr>
        <w:spacing w:after="0" w:line="217" w:lineRule="exact"/>
        <w:rPr>
          <w:sz w:val="20"/>
          <w:szCs w:val="20"/>
          <w:color w:val="auto"/>
        </w:rPr>
      </w:pPr>
    </w:p>
    <w:p>
      <w:pPr>
        <w:ind w:left="581"/>
        <w:spacing w:after="0"/>
        <w:rPr>
          <w:sz w:val="20"/>
          <w:szCs w:val="20"/>
          <w:color w:val="auto"/>
        </w:rPr>
      </w:pPr>
      <w:r>
        <w:rPr>
          <w:rFonts w:ascii="Arial" w:cs="Arial" w:eastAsia="Arial" w:hAnsi="Arial"/>
          <w:sz w:val="16"/>
          <w:szCs w:val="16"/>
          <w:color w:val="auto"/>
        </w:rPr>
        <w:t>Such supervision shall be performed through:</w:t>
      </w:r>
    </w:p>
    <w:p>
      <w:pPr>
        <w:spacing w:after="0" w:line="206"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u w:val="single" w:color="auto"/>
          <w:color w:val="auto"/>
        </w:rPr>
        <w:t>Formulation of periodic reports</w:t>
      </w:r>
      <w:r>
        <w:rPr>
          <w:rFonts w:ascii="Arial" w:cs="Arial" w:eastAsia="Arial" w:hAnsi="Arial"/>
          <w:sz w:val="16"/>
          <w:szCs w:val="16"/>
          <w:color w:val="auto"/>
        </w:rPr>
        <w:t xml:space="preserve"> which include the means and actions that were taken in order to ensure the implementation of the plan, suspicionsof violations that were raised and how they were addressed, examination of relevance, updates and progress of assimilation of the plan, etc.</w:t>
      </w:r>
    </w:p>
    <w:p>
      <w:pPr>
        <w:spacing w:after="0" w:line="151"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u w:val="single" w:color="auto"/>
          <w:color w:val="auto"/>
        </w:rPr>
        <w:t>Presentation of the reports</w:t>
      </w:r>
      <w:r>
        <w:rPr>
          <w:rFonts w:ascii="Arial" w:cs="Arial" w:eastAsia="Arial" w:hAnsi="Arial"/>
          <w:sz w:val="16"/>
          <w:szCs w:val="16"/>
          <w:color w:val="auto"/>
        </w:rPr>
        <w:t xml:space="preserve"> to the Company’s management and/or Audit Committee and/or Board of Directors and deliberation on the data reported by the forum to be determined.</w:t>
      </w:r>
    </w:p>
    <w:p>
      <w:pPr>
        <w:spacing w:after="0" w:line="151" w:lineRule="exact"/>
        <w:rPr>
          <w:sz w:val="20"/>
          <w:szCs w:val="20"/>
          <w:color w:val="auto"/>
        </w:rPr>
      </w:pPr>
    </w:p>
    <w:p>
      <w:pPr>
        <w:ind w:left="581"/>
        <w:spacing w:after="0"/>
        <w:rPr>
          <w:sz w:val="20"/>
          <w:szCs w:val="20"/>
          <w:color w:val="auto"/>
        </w:rPr>
      </w:pPr>
      <w:r>
        <w:rPr>
          <w:rFonts w:ascii="Arial" w:cs="Arial" w:eastAsia="Arial" w:hAnsi="Arial"/>
          <w:sz w:val="16"/>
          <w:szCs w:val="16"/>
          <w:u w:val="single" w:color="auto"/>
          <w:color w:val="auto"/>
        </w:rPr>
        <w:t>Reporting of issues requiring immediate attention</w:t>
      </w:r>
      <w:r>
        <w:rPr>
          <w:rFonts w:ascii="Arial" w:cs="Arial" w:eastAsia="Arial" w:hAnsi="Arial"/>
          <w:sz w:val="16"/>
          <w:szCs w:val="16"/>
          <w:color w:val="auto"/>
        </w:rPr>
        <w:t xml:space="preserve"> to the Company’s management and/or Audit Committee and/or Board of Directors.</w:t>
      </w:r>
    </w:p>
    <w:p>
      <w:pPr>
        <w:spacing w:after="0" w:line="206"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u w:val="single" w:color="auto"/>
          <w:color w:val="auto"/>
        </w:rPr>
        <w:t>Documentation of the processes related to formulation of the plan</w:t>
      </w:r>
      <w:r>
        <w:rPr>
          <w:rFonts w:ascii="Arial" w:cs="Arial" w:eastAsia="Arial" w:hAnsi="Arial"/>
          <w:sz w:val="16"/>
          <w:szCs w:val="16"/>
          <w:color w:val="auto"/>
        </w:rPr>
        <w:t>, and the means that were instituted to implement the plan and to handle violations, as well as documentation, provision of documents for inspection and preservation of documents pursuant to the provisions of the Law.</w:t>
      </w:r>
    </w:p>
    <w:p>
      <w:pPr>
        <w:spacing w:after="0" w:line="147" w:lineRule="exact"/>
        <w:rPr>
          <w:sz w:val="20"/>
          <w:szCs w:val="20"/>
          <w:color w:val="auto"/>
        </w:rPr>
      </w:pPr>
    </w:p>
    <w:p>
      <w:pPr>
        <w:ind w:left="581"/>
        <w:spacing w:after="0"/>
        <w:tabs>
          <w:tab w:leader="none" w:pos="1140" w:val="left"/>
        </w:tabs>
        <w:rPr>
          <w:sz w:val="20"/>
          <w:szCs w:val="20"/>
          <w:color w:val="auto"/>
        </w:rPr>
      </w:pPr>
      <w:r>
        <w:rPr>
          <w:rFonts w:ascii="Arial" w:cs="Arial" w:eastAsia="Arial" w:hAnsi="Arial"/>
          <w:sz w:val="16"/>
          <w:szCs w:val="16"/>
          <w:b w:val="1"/>
          <w:bCs w:val="1"/>
          <w:color w:val="auto"/>
        </w:rPr>
        <w:t>6.3.2</w:t>
      </w:r>
      <w:r>
        <w:rPr>
          <w:sz w:val="20"/>
          <w:szCs w:val="20"/>
          <w:color w:val="auto"/>
        </w:rPr>
        <w:tab/>
      </w:r>
      <w:r>
        <w:rPr>
          <w:rFonts w:ascii="Arial" w:cs="Arial" w:eastAsia="Arial" w:hAnsi="Arial"/>
          <w:sz w:val="14"/>
          <w:szCs w:val="14"/>
          <w:b w:val="1"/>
          <w:bCs w:val="1"/>
          <w:color w:val="auto"/>
        </w:rPr>
        <w:t>Investigating suspected violations:</w:t>
      </w:r>
    </w:p>
    <w:p>
      <w:pPr>
        <w:spacing w:after="0" w:line="210" w:lineRule="exact"/>
        <w:rPr>
          <w:sz w:val="20"/>
          <w:szCs w:val="20"/>
          <w:color w:val="auto"/>
        </w:rPr>
      </w:pPr>
    </w:p>
    <w:p>
      <w:pPr>
        <w:ind w:left="581"/>
        <w:spacing w:after="0" w:line="318" w:lineRule="auto"/>
        <w:rPr>
          <w:sz w:val="20"/>
          <w:szCs w:val="20"/>
          <w:color w:val="auto"/>
        </w:rPr>
      </w:pPr>
      <w:r>
        <w:rPr>
          <w:rFonts w:ascii="Arial" w:cs="Arial" w:eastAsia="Arial" w:hAnsi="Arial"/>
          <w:sz w:val="15"/>
          <w:szCs w:val="15"/>
          <w:color w:val="auto"/>
        </w:rPr>
        <w:t>In any case of a suspected violation brought to his knowledge, the Officer shall act to investigate the facts together with a special-purpose team to be appointed by the Chief Financial &amp; Operating Officer, and if it transpires that there was a failure and a violation has occurred, he shall examine the reasons for the failure.</w:t>
      </w:r>
    </w:p>
    <w:p>
      <w:pPr>
        <w:spacing w:after="0" w:line="123" w:lineRule="exact"/>
        <w:rPr>
          <w:sz w:val="20"/>
          <w:szCs w:val="20"/>
          <w:color w:val="auto"/>
        </w:rPr>
      </w:pPr>
    </w:p>
    <w:p>
      <w:pPr>
        <w:ind w:left="581"/>
        <w:spacing w:after="0"/>
        <w:tabs>
          <w:tab w:leader="none" w:pos="1140" w:val="left"/>
        </w:tabs>
        <w:rPr>
          <w:sz w:val="20"/>
          <w:szCs w:val="20"/>
          <w:color w:val="auto"/>
        </w:rPr>
      </w:pPr>
      <w:r>
        <w:rPr>
          <w:rFonts w:ascii="Arial" w:cs="Arial" w:eastAsia="Arial" w:hAnsi="Arial"/>
          <w:sz w:val="16"/>
          <w:szCs w:val="16"/>
          <w:b w:val="1"/>
          <w:bCs w:val="1"/>
          <w:color w:val="auto"/>
        </w:rPr>
        <w:t>6.3.3</w:t>
      </w:r>
      <w:r>
        <w:rPr>
          <w:sz w:val="20"/>
          <w:szCs w:val="20"/>
          <w:color w:val="auto"/>
        </w:rPr>
        <w:tab/>
      </w:r>
      <w:r>
        <w:rPr>
          <w:rFonts w:ascii="Arial" w:cs="Arial" w:eastAsia="Arial" w:hAnsi="Arial"/>
          <w:sz w:val="14"/>
          <w:szCs w:val="14"/>
          <w:b w:val="1"/>
          <w:bCs w:val="1"/>
          <w:color w:val="auto"/>
        </w:rPr>
        <w:t>Remedying the violation:</w:t>
      </w:r>
    </w:p>
    <w:p>
      <w:pPr>
        <w:spacing w:after="0" w:line="210"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color w:val="auto"/>
        </w:rPr>
        <w:t>The Officer shall act to remedy the discovered violation or failure as soon as possible and in accordance with the guidelines and approvals of the relevant bodies (the committee, managers and officers that are affected by the change, etc.)</w:t>
      </w:r>
    </w:p>
    <w:p>
      <w:pPr>
        <w:spacing w:after="0" w:line="147" w:lineRule="exact"/>
        <w:rPr>
          <w:sz w:val="20"/>
          <w:szCs w:val="20"/>
          <w:color w:val="auto"/>
        </w:rPr>
      </w:pPr>
    </w:p>
    <w:p>
      <w:pPr>
        <w:ind w:left="581"/>
        <w:spacing w:after="0"/>
        <w:tabs>
          <w:tab w:leader="none" w:pos="1140" w:val="left"/>
        </w:tabs>
        <w:rPr>
          <w:sz w:val="20"/>
          <w:szCs w:val="20"/>
          <w:color w:val="auto"/>
        </w:rPr>
      </w:pPr>
      <w:r>
        <w:rPr>
          <w:rFonts w:ascii="Arial" w:cs="Arial" w:eastAsia="Arial" w:hAnsi="Arial"/>
          <w:sz w:val="16"/>
          <w:szCs w:val="16"/>
          <w:b w:val="1"/>
          <w:bCs w:val="1"/>
          <w:color w:val="auto"/>
        </w:rPr>
        <w:t>6.3.4</w:t>
      </w:r>
      <w:r>
        <w:rPr>
          <w:sz w:val="20"/>
          <w:szCs w:val="20"/>
          <w:color w:val="auto"/>
        </w:rPr>
        <w:tab/>
      </w:r>
      <w:r>
        <w:rPr>
          <w:rFonts w:ascii="Arial" w:cs="Arial" w:eastAsia="Arial" w:hAnsi="Arial"/>
          <w:sz w:val="14"/>
          <w:szCs w:val="14"/>
          <w:b w:val="1"/>
          <w:bCs w:val="1"/>
          <w:color w:val="auto"/>
        </w:rPr>
        <w:t>Reporting the violation:</w:t>
      </w:r>
    </w:p>
    <w:p>
      <w:pPr>
        <w:spacing w:after="0" w:line="210"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color w:val="auto"/>
        </w:rPr>
        <w:t>The Officer shall report the failure to the CEO, Chief Financial &amp; Operating Officer, and according to the severity of the case, also to the chairman of the Audit Committee/Board of Directors, all according to the reporting requirements in this plan.</w:t>
      </w:r>
    </w:p>
    <w:p>
      <w:pPr>
        <w:spacing w:after="0" w:line="151"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color w:val="auto"/>
        </w:rPr>
        <w:t>Insofar as the CEO and/or Chief Financial &amp; Operating Officer are involved in the failure, the Officer shall contact the chairman of the Audit Committee. Insofar as the members of the Committee are involved in the matter, the Officer shall contact the internal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157480</wp:posOffset>
            </wp:positionV>
            <wp:extent cx="742315"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42315" cy="7620"/>
                    </a:xfrm>
                    <a:prstGeom prst="rect">
                      <a:avLst/>
                    </a:prstGeom>
                    <a:noFill/>
                  </pic:spPr>
                </pic:pic>
              </a:graphicData>
            </a:graphic>
          </wp:anchor>
        </w:drawing>
      </w:r>
    </w:p>
    <w:p>
      <w:pPr>
        <w:spacing w:after="0" w:line="300" w:lineRule="exact"/>
        <w:rPr>
          <w:sz w:val="20"/>
          <w:szCs w:val="20"/>
          <w:color w:val="auto"/>
        </w:rPr>
      </w:pPr>
    </w:p>
    <w:p>
      <w:pPr>
        <w:ind w:left="1"/>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See quote from the minutes of an Audit Committee meeting dated February 5, 2012, which appears in Annex 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317" w:right="259" w:bottom="1440" w:gutter="0" w:footer="0" w:header="0"/>
        </w:sectPr>
      </w:pPr>
    </w:p>
    <w:bookmarkStart w:id="345" w:name="page346"/>
    <w:bookmarkEnd w:id="345"/>
    <w:p>
      <w:pPr>
        <w:ind w:left="581"/>
        <w:spacing w:after="0"/>
        <w:tabs>
          <w:tab w:leader="none" w:pos="1140" w:val="left"/>
        </w:tabs>
        <w:rPr>
          <w:sz w:val="20"/>
          <w:szCs w:val="20"/>
          <w:color w:val="auto"/>
        </w:rPr>
      </w:pPr>
      <w:r>
        <w:rPr>
          <w:rFonts w:ascii="Arial" w:cs="Arial" w:eastAsia="Arial" w:hAnsi="Arial"/>
          <w:sz w:val="16"/>
          <w:szCs w:val="16"/>
          <w:b w:val="1"/>
          <w:bCs w:val="1"/>
          <w:color w:val="auto"/>
        </w:rPr>
        <w:t>6.3.5</w:t>
      </w:r>
      <w:r>
        <w:rPr>
          <w:sz w:val="20"/>
          <w:szCs w:val="20"/>
          <w:color w:val="auto"/>
        </w:rPr>
        <w:tab/>
      </w:r>
      <w:r>
        <w:rPr>
          <w:rFonts w:ascii="Arial" w:cs="Arial" w:eastAsia="Arial" w:hAnsi="Arial"/>
          <w:sz w:val="14"/>
          <w:szCs w:val="14"/>
          <w:b w:val="1"/>
          <w:bCs w:val="1"/>
          <w:color w:val="auto"/>
        </w:rPr>
        <w:t>Preventing the recurrence of the violation</w:t>
      </w:r>
    </w:p>
    <w:p>
      <w:pPr>
        <w:spacing w:after="0" w:line="210" w:lineRule="exact"/>
        <w:rPr>
          <w:sz w:val="20"/>
          <w:szCs w:val="20"/>
          <w:color w:val="auto"/>
        </w:rPr>
      </w:pPr>
    </w:p>
    <w:p>
      <w:pPr>
        <w:jc w:val="both"/>
        <w:ind w:left="581"/>
        <w:spacing w:after="0" w:line="263" w:lineRule="auto"/>
        <w:rPr>
          <w:sz w:val="20"/>
          <w:szCs w:val="20"/>
          <w:color w:val="auto"/>
        </w:rPr>
      </w:pPr>
      <w:r>
        <w:rPr>
          <w:rFonts w:ascii="Arial" w:cs="Arial" w:eastAsia="Arial" w:hAnsi="Arial"/>
          <w:sz w:val="16"/>
          <w:szCs w:val="16"/>
          <w:color w:val="auto"/>
        </w:rPr>
        <w:t>The Officer shall introduce new procedures or amendments to existing procedures, as well as controls over them, and approve the same with the relevant bodies. For the sake of clarity, by virtue of his position as the General Counsel of the Company, and for the purpose of performing his role as the Officer, the Officer shall have direct access at all times to any and all offices and documents of the Company and to any and all records and information at the Company, all as required, in his discretion, for his work.</w:t>
      </w:r>
    </w:p>
    <w:p>
      <w:pPr>
        <w:spacing w:after="0" w:line="168" w:lineRule="exact"/>
        <w:rPr>
          <w:sz w:val="20"/>
          <w:szCs w:val="20"/>
          <w:color w:val="auto"/>
        </w:rPr>
      </w:pPr>
    </w:p>
    <w:p>
      <w:pPr>
        <w:jc w:val="both"/>
        <w:ind w:left="581"/>
        <w:spacing w:after="0" w:line="283" w:lineRule="auto"/>
        <w:rPr>
          <w:sz w:val="20"/>
          <w:szCs w:val="20"/>
          <w:color w:val="auto"/>
        </w:rPr>
      </w:pPr>
      <w:r>
        <w:rPr>
          <w:rFonts w:ascii="Arial" w:cs="Arial" w:eastAsia="Arial" w:hAnsi="Arial"/>
          <w:sz w:val="16"/>
          <w:szCs w:val="16"/>
          <w:color w:val="auto"/>
        </w:rPr>
        <w:t>Naturally, any and all inquiries and actions performed at the Company as part of the enforcement plan shall be performed in accordance with the law and without harming or disrupting any investigation or inquiry by law of which the Company is aware.</w:t>
      </w:r>
    </w:p>
    <w:p>
      <w:pPr>
        <w:spacing w:after="0" w:line="151" w:lineRule="exact"/>
        <w:rPr>
          <w:sz w:val="20"/>
          <w:szCs w:val="20"/>
          <w:color w:val="auto"/>
        </w:rPr>
      </w:pPr>
    </w:p>
    <w:p>
      <w:pPr>
        <w:ind w:left="581"/>
        <w:spacing w:after="0"/>
        <w:rPr>
          <w:sz w:val="20"/>
          <w:szCs w:val="20"/>
          <w:color w:val="auto"/>
        </w:rPr>
      </w:pPr>
      <w:r>
        <w:rPr>
          <w:rFonts w:ascii="Arial" w:cs="Arial" w:eastAsia="Arial" w:hAnsi="Arial"/>
          <w:sz w:val="16"/>
          <w:szCs w:val="16"/>
          <w:color w:val="auto"/>
        </w:rPr>
        <w:t>In any case of doubt whether or not an issue is within the Officer’s jurisdiction, the Officer or any other party shall consult with the Audit Committee.</w:t>
      </w:r>
    </w:p>
    <w:p>
      <w:pPr>
        <w:spacing w:after="0" w:line="202"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4"/>
          <w:szCs w:val="14"/>
          <w:b w:val="1"/>
          <w:bCs w:val="1"/>
          <w:color w:val="auto"/>
        </w:rPr>
        <w:t>Supervision over the Officer</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5"/>
          <w:szCs w:val="15"/>
          <w:color w:val="auto"/>
        </w:rPr>
        <w:t>As stated above, and as will be further specified below, the Audit Committee is responsible for the appointment and the termination of the appointment of the Officer.</w:t>
      </w: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Chief Financial &amp; Operating Officer is the direct supervisor of the General Counsel and Officer, and authority is conferred on him accordingly.</w:t>
      </w:r>
    </w:p>
    <w:p>
      <w:pPr>
        <w:spacing w:after="0" w:line="206" w:lineRule="exact"/>
        <w:rPr>
          <w:sz w:val="20"/>
          <w:szCs w:val="20"/>
          <w:color w:val="auto"/>
        </w:rPr>
      </w:pPr>
    </w:p>
    <w:p>
      <w:pPr>
        <w:ind w:left="1"/>
        <w:spacing w:after="0" w:line="318" w:lineRule="auto"/>
        <w:rPr>
          <w:sz w:val="20"/>
          <w:szCs w:val="20"/>
          <w:color w:val="auto"/>
        </w:rPr>
      </w:pPr>
      <w:r>
        <w:rPr>
          <w:rFonts w:ascii="Arial" w:cs="Arial" w:eastAsia="Arial" w:hAnsi="Arial"/>
          <w:sz w:val="15"/>
          <w:szCs w:val="15"/>
          <w:color w:val="auto"/>
        </w:rPr>
        <w:t>The supervision over the Officer’s activity and the implementation of the enforcement plan is within the responsibility of the internal auditor in the context of his or her ongoing work and at the request of the Audit Committee (such supervision shall be performed pursuant to the audit plan to be approved by the Audit Committee).</w:t>
      </w:r>
    </w:p>
    <w:p>
      <w:pPr>
        <w:spacing w:after="0" w:line="123"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6.5</w:t>
      </w:r>
      <w:r>
        <w:rPr>
          <w:sz w:val="20"/>
          <w:szCs w:val="20"/>
          <w:color w:val="auto"/>
        </w:rPr>
        <w:tab/>
      </w:r>
      <w:r>
        <w:rPr>
          <w:rFonts w:ascii="Arial" w:cs="Arial" w:eastAsia="Arial" w:hAnsi="Arial"/>
          <w:sz w:val="14"/>
          <w:szCs w:val="14"/>
          <w:b w:val="1"/>
          <w:bCs w:val="1"/>
          <w:color w:val="auto"/>
        </w:rPr>
        <w:t>Officer’s reporting responsibility</w:t>
      </w:r>
    </w:p>
    <w:p>
      <w:pPr>
        <w:spacing w:after="0" w:line="210" w:lineRule="exact"/>
        <w:rPr>
          <w:sz w:val="20"/>
          <w:szCs w:val="20"/>
          <w:color w:val="auto"/>
        </w:rPr>
      </w:pPr>
    </w:p>
    <w:p>
      <w:pPr>
        <w:ind w:left="1"/>
        <w:spacing w:after="0" w:line="283" w:lineRule="auto"/>
        <w:rPr>
          <w:sz w:val="20"/>
          <w:szCs w:val="20"/>
          <w:color w:val="auto"/>
        </w:rPr>
      </w:pPr>
      <w:r>
        <w:rPr>
          <w:rFonts w:ascii="Arial" w:cs="Arial" w:eastAsia="Arial" w:hAnsi="Arial"/>
          <w:sz w:val="16"/>
          <w:szCs w:val="16"/>
          <w:color w:val="auto"/>
        </w:rPr>
        <w:t>The Officer shall report a failure to the CEO, Chief Financial &amp; Operating Officer, and according to the severity of the case, also to the chairman of the Audit Committee/Board of Directors, all according to the reporting requirements in this plan.</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report to the Chief Financial &amp; Operating Officer shall be performed after an initial inquiry proceeding by the Officer that shall include an initial factual inquiry.</w:t>
      </w:r>
    </w:p>
    <w:p>
      <w:pPr>
        <w:spacing w:after="0" w:line="206" w:lineRule="exact"/>
        <w:rPr>
          <w:sz w:val="20"/>
          <w:szCs w:val="20"/>
          <w:color w:val="auto"/>
        </w:rPr>
      </w:pPr>
    </w:p>
    <w:p>
      <w:pPr>
        <w:ind w:left="1"/>
        <w:spacing w:after="0" w:line="283" w:lineRule="auto"/>
        <w:rPr>
          <w:sz w:val="20"/>
          <w:szCs w:val="20"/>
          <w:color w:val="auto"/>
        </w:rPr>
      </w:pPr>
      <w:r>
        <w:rPr>
          <w:rFonts w:ascii="Arial" w:cs="Arial" w:eastAsia="Arial" w:hAnsi="Arial"/>
          <w:sz w:val="16"/>
          <w:szCs w:val="16"/>
          <w:color w:val="auto"/>
        </w:rPr>
        <w:t>The report to the Chief Financial &amp; Operating Officer shall be performed no later than two working days after having first learned of the suspected violation, and in any event, no later than four days from the date on which the report shall have been made to him.</w:t>
      </w:r>
    </w:p>
    <w:p>
      <w:pPr>
        <w:spacing w:after="0" w:line="151" w:lineRule="exact"/>
        <w:rPr>
          <w:sz w:val="20"/>
          <w:szCs w:val="20"/>
          <w:color w:val="auto"/>
        </w:rPr>
      </w:pPr>
    </w:p>
    <w:p>
      <w:pPr>
        <w:ind w:left="1"/>
        <w:spacing w:after="0" w:line="283" w:lineRule="auto"/>
        <w:rPr>
          <w:sz w:val="20"/>
          <w:szCs w:val="20"/>
          <w:color w:val="auto"/>
        </w:rPr>
      </w:pPr>
      <w:r>
        <w:rPr>
          <w:rFonts w:ascii="Arial" w:cs="Arial" w:eastAsia="Arial" w:hAnsi="Arial"/>
          <w:sz w:val="16"/>
          <w:szCs w:val="16"/>
          <w:color w:val="auto"/>
        </w:rPr>
        <w:t>Insofar as the Chief Financial &amp; Operating Officer and/or CEO are involved in the failing, the Officer shall contact the chairman of the Board of Directors or the Audit Committee. Insofar as members of the Audit Committee are involved in the matter, the Officer shall contact the internal auditor.</w:t>
      </w:r>
    </w:p>
    <w:p>
      <w:pPr>
        <w:spacing w:after="0" w:line="147" w:lineRule="exact"/>
        <w:rPr>
          <w:sz w:val="20"/>
          <w:szCs w:val="20"/>
          <w:color w:val="auto"/>
        </w:rPr>
      </w:pPr>
    </w:p>
    <w:p>
      <w:pPr>
        <w:ind w:left="581" w:hanging="581"/>
        <w:spacing w:after="0"/>
        <w:tabs>
          <w:tab w:leader="none" w:pos="581"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Contact and reporting</w:t>
      </w:r>
    </w:p>
    <w:p>
      <w:pPr>
        <w:spacing w:after="0" w:line="206"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7.1</w:t>
      </w:r>
      <w:r>
        <w:rPr>
          <w:sz w:val="20"/>
          <w:szCs w:val="20"/>
          <w:color w:val="auto"/>
        </w:rPr>
        <w:tab/>
      </w:r>
      <w:r>
        <w:rPr>
          <w:rFonts w:ascii="Arial" w:cs="Arial" w:eastAsia="Arial" w:hAnsi="Arial"/>
          <w:sz w:val="14"/>
          <w:szCs w:val="14"/>
          <w:b w:val="1"/>
          <w:bCs w:val="1"/>
          <w:color w:val="auto"/>
        </w:rPr>
        <w:t>Possibilities of contact and reporting in the event of a suspected violation</w:t>
      </w:r>
    </w:p>
    <w:p>
      <w:pPr>
        <w:spacing w:after="0" w:line="210" w:lineRule="exact"/>
        <w:rPr>
          <w:sz w:val="20"/>
          <w:szCs w:val="20"/>
          <w:color w:val="auto"/>
        </w:rPr>
      </w:pPr>
    </w:p>
    <w:p>
      <w:pPr>
        <w:ind w:left="1"/>
        <w:spacing w:after="0" w:line="318" w:lineRule="auto"/>
        <w:rPr>
          <w:sz w:val="20"/>
          <w:szCs w:val="20"/>
          <w:color w:val="auto"/>
        </w:rPr>
      </w:pPr>
      <w:r>
        <w:rPr>
          <w:rFonts w:ascii="Arial" w:cs="Arial" w:eastAsia="Arial" w:hAnsi="Arial"/>
          <w:sz w:val="15"/>
          <w:szCs w:val="15"/>
          <w:color w:val="auto"/>
        </w:rPr>
        <w:t>According to requirements and expectations, the Company has set forth internal mechanisms which enable the officers, directors, employees and service providers of the Company to report and warn about deficiencies and failures in relation to the fulfillment of the provisions of the securities laws or violations of the plan.</w:t>
      </w:r>
    </w:p>
    <w:p>
      <w:pPr>
        <w:spacing w:after="0" w:line="127" w:lineRule="exact"/>
        <w:rPr>
          <w:sz w:val="20"/>
          <w:szCs w:val="20"/>
          <w:color w:val="auto"/>
        </w:rPr>
      </w:pPr>
    </w:p>
    <w:p>
      <w:pPr>
        <w:ind w:left="1"/>
        <w:spacing w:after="0" w:line="283" w:lineRule="auto"/>
        <w:rPr>
          <w:sz w:val="20"/>
          <w:szCs w:val="20"/>
          <w:color w:val="auto"/>
        </w:rPr>
      </w:pPr>
      <w:r>
        <w:rPr>
          <w:rFonts w:ascii="Arial" w:cs="Arial" w:eastAsia="Arial" w:hAnsi="Arial"/>
          <w:sz w:val="16"/>
          <w:szCs w:val="16"/>
          <w:color w:val="auto"/>
        </w:rPr>
        <w:t>The reporting mechanisms for administrative enforcement issues shall be identical to those prevailing at the Company (reporting mechanisms upon a breach of the code of ethics, contacting and reporting to the internal auditor, etc.).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318" w:right="259" w:bottom="1440" w:gutter="0" w:footer="0" w:header="0"/>
        </w:sectPr>
      </w:pPr>
    </w:p>
    <w:bookmarkStart w:id="346" w:name="page347"/>
    <w:bookmarkEnd w:id="346"/>
    <w:p>
      <w:pPr>
        <w:ind w:left="1160" w:hanging="576"/>
        <w:spacing w:after="0"/>
        <w:tabs>
          <w:tab w:leader="none" w:pos="1160"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Employees, officers and directors</w:t>
      </w:r>
    </w:p>
    <w:p>
      <w:pPr>
        <w:spacing w:after="0" w:line="210" w:lineRule="exact"/>
        <w:rPr>
          <w:sz w:val="20"/>
          <w:szCs w:val="20"/>
          <w:color w:val="auto"/>
        </w:rPr>
      </w:pPr>
    </w:p>
    <w:p>
      <w:pPr>
        <w:ind w:left="580"/>
        <w:spacing w:after="0" w:line="283" w:lineRule="auto"/>
        <w:rPr>
          <w:sz w:val="20"/>
          <w:szCs w:val="20"/>
          <w:color w:val="auto"/>
        </w:rPr>
      </w:pPr>
      <w:r>
        <w:rPr>
          <w:rFonts w:ascii="Arial" w:cs="Arial" w:eastAsia="Arial" w:hAnsi="Arial"/>
          <w:sz w:val="16"/>
          <w:szCs w:val="16"/>
          <w:color w:val="auto"/>
        </w:rPr>
        <w:t>In any case of a suspected violation or improper conduct, the Company’s employees, officers and directors have the possibility (and sometimes the obligation) to contact their direct supervisor, the internal auditor and/or the chairman of the Audit Committee.</w:t>
      </w:r>
    </w:p>
    <w:p>
      <w:pPr>
        <w:sectPr>
          <w:pgSz w:w="11900" w:h="16838" w:orient="portrait"/>
          <w:cols w:equalWidth="0" w:num="1">
            <w:col w:w="11400"/>
          </w:cols>
          <w:pgMar w:left="240" w:top="318" w:right="259" w:bottom="1440" w:gutter="0" w:footer="0" w:header="0"/>
        </w:sectPr>
      </w:pPr>
    </w:p>
    <w:p>
      <w:pPr>
        <w:spacing w:after="0" w:line="1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Internal Auditor, Linur Dloomy, CPA</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Audit Committee Chairperson, Nurit Binyamini</w:t>
      </w:r>
    </w:p>
    <w:p>
      <w:pPr>
        <w:spacing w:after="0" w:line="200" w:lineRule="exact"/>
        <w:rPr>
          <w:sz w:val="20"/>
          <w:szCs w:val="20"/>
          <w:color w:val="auto"/>
        </w:rPr>
      </w:pPr>
    </w:p>
    <w:p>
      <w:pPr>
        <w:sectPr>
          <w:pgSz w:w="11900" w:h="16838" w:orient="portrait"/>
          <w:cols w:equalWidth="0" w:num="2">
            <w:col w:w="5320" w:space="720"/>
            <w:col w:w="5360"/>
          </w:cols>
          <w:pgMar w:left="240" w:top="318" w:right="259" w:bottom="1440" w:gutter="0" w:footer="0" w:header="0"/>
          <w:type w:val="continuous"/>
        </w:sectPr>
      </w:pP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E-mail: ldloomy@deloitte.co.il</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5"/>
          <w:szCs w:val="15"/>
          <w:color w:val="auto"/>
        </w:rPr>
        <w:t>E-mail: Nurit378@gmail.com</w:t>
      </w:r>
    </w:p>
    <w:p>
      <w:pPr>
        <w:spacing w:after="0" w:line="200" w:lineRule="exact"/>
        <w:rPr>
          <w:sz w:val="20"/>
          <w:szCs w:val="20"/>
          <w:color w:val="auto"/>
        </w:rPr>
      </w:pPr>
    </w:p>
    <w:p>
      <w:pPr>
        <w:sectPr>
          <w:pgSz w:w="11900" w:h="16838" w:orient="portrait"/>
          <w:cols w:equalWidth="0" w:num="2">
            <w:col w:w="5320" w:space="720"/>
            <w:col w:w="5360"/>
          </w:cols>
          <w:pgMar w:left="240" w:top="318" w:right="259" w:bottom="1440" w:gutter="0" w:footer="0" w:header="0"/>
          <w:type w:val="continuous"/>
        </w:sectPr>
      </w:pPr>
    </w:p>
    <w:p>
      <w:pPr>
        <w:spacing w:after="0" w:line="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Tel. 052-5838635</w:t>
      </w:r>
    </w:p>
    <w:p>
      <w:pPr>
        <w:spacing w:after="0" w:line="20" w:lineRule="exact"/>
        <w:rPr>
          <w:sz w:val="20"/>
          <w:szCs w:val="20"/>
          <w:color w:val="auto"/>
        </w:rPr>
      </w:pPr>
      <w:r>
        <w:rPr>
          <w:sz w:val="20"/>
          <w:szCs w:val="20"/>
          <w:color w:val="auto"/>
        </w:rPr>
        <w:br w:type="column"/>
      </w:r>
    </w:p>
    <w:p>
      <w:pPr>
        <w:jc w:val="center"/>
        <w:ind w:right="4480"/>
        <w:spacing w:after="0"/>
        <w:rPr>
          <w:sz w:val="20"/>
          <w:szCs w:val="20"/>
          <w:color w:val="auto"/>
        </w:rPr>
      </w:pPr>
      <w:r>
        <w:rPr>
          <w:rFonts w:ascii="Arial" w:cs="Arial" w:eastAsia="Arial" w:hAnsi="Arial"/>
          <w:sz w:val="14"/>
          <w:szCs w:val="14"/>
          <w:color w:val="auto"/>
        </w:rPr>
        <w:t>052-6440745</w:t>
      </w:r>
    </w:p>
    <w:p>
      <w:pPr>
        <w:spacing w:after="0" w:line="200" w:lineRule="exact"/>
        <w:rPr>
          <w:sz w:val="20"/>
          <w:szCs w:val="20"/>
          <w:color w:val="auto"/>
        </w:rPr>
      </w:pPr>
    </w:p>
    <w:p>
      <w:pPr>
        <w:sectPr>
          <w:pgSz w:w="11900" w:h="16838" w:orient="portrait"/>
          <w:cols w:equalWidth="0" w:num="2">
            <w:col w:w="5320" w:space="720"/>
            <w:col w:w="5360"/>
          </w:cols>
          <w:pgMar w:left="240" w:top="318" w:right="259" w:bottom="1440" w:gutter="0" w:footer="0" w:header="0"/>
          <w:type w:val="continuous"/>
        </w:sectPr>
      </w:pPr>
    </w:p>
    <w:p>
      <w:pPr>
        <w:spacing w:after="0" w:line="25" w:lineRule="exact"/>
        <w:rPr>
          <w:sz w:val="20"/>
          <w:szCs w:val="20"/>
          <w:color w:val="auto"/>
        </w:rPr>
      </w:pPr>
    </w:p>
    <w:p>
      <w:pPr>
        <w:ind w:left="1160" w:hanging="576"/>
        <w:spacing w:after="0"/>
        <w:tabs>
          <w:tab w:leader="none" w:pos="1160"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Service providers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Officer is responsible for adding a method of reporting by external parties.</w:t>
      </w:r>
    </w:p>
    <w:p>
      <w:pPr>
        <w:spacing w:after="0" w:line="20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order that all relevant parties shall be aware of their reporting obligation and of the various possibilities of reporting a possible suspected violation, this information shall be passed on to all relevant parties in the context of this document, the training programs, the Company’s website, engagement agreements, employment documents, etc.</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of the relevant parties shall be familiar with the existence of the enforcement plan, the main parts of the plan and where it may be inspected, as well as the method of reporting and the rights of the reporting party (anonymity/confidentiality/favorable consideration in the event that he is the violating party, etc.).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confirm that once a year the aforesaid information is communicated to relevant bodies in an initiated manner (for example a dedicated e-mail)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confirm that the manner of approaching him is available at all times.</w:t>
      </w:r>
    </w:p>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intentionally omitted</w:t>
      </w:r>
      <w:r>
        <w:rPr>
          <w:rFonts w:ascii="Arial" w:cs="Arial" w:eastAsia="Arial" w:hAnsi="Arial"/>
          <w:sz w:val="14"/>
          <w:szCs w:val="14"/>
          <w:b w:val="1"/>
          <w:bCs w:val="1"/>
          <w:color w:val="auto"/>
        </w:rPr>
        <w:t>]</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7.3</w:t>
      </w:r>
      <w:r>
        <w:rPr>
          <w:sz w:val="20"/>
          <w:szCs w:val="20"/>
          <w:color w:val="auto"/>
        </w:rPr>
        <w:tab/>
      </w:r>
      <w:r>
        <w:rPr>
          <w:rFonts w:ascii="Arial" w:cs="Arial" w:eastAsia="Arial" w:hAnsi="Arial"/>
          <w:sz w:val="15"/>
          <w:szCs w:val="15"/>
          <w:b w:val="1"/>
          <w:bCs w:val="1"/>
          <w:color w:val="auto"/>
        </w:rPr>
        <w:t>External reporting</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There are situations in which a violation or a suspected violation of the securities laws requires reporting to the competent authorities (the ISA or the Israeli Police, as the case may require).</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Even in those cases in which there is no reporting obligation, voluntary disclosure should be considered, since the ISA Document states that the ISA’s enforcement considerations in exercising its powers in respect of corporations and individuals include the factors of voluntary disclosure by the corporation and the corporation’s cooperation with the ISA.</w:t>
      </w:r>
    </w:p>
    <w:p>
      <w:pPr>
        <w:spacing w:after="0" w:line="16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Situations where there is a legal obligation to report to the ISA include among others situations in which an item was published which may mislead a reasonable investor or trading was done based on inside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In all situations in which there is no reporting obligation, the Officer shall discuss the need to report with the Chief Financial &amp; Operating Officer and outside legal advisors.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Their conclusion and the considerations that led thereto shall be brought for deliberation by the Audit Committee which shall be convened for such purpose.</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General Counsel together with the Chief Financial &amp; Operating Officer shall report to the competent authorities in accordance with the Company’s decision and soon after the date of the decision.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type w:val="continuous"/>
        </w:sectPr>
      </w:pPr>
    </w:p>
    <w:bookmarkStart w:id="347" w:name="page348"/>
    <w:bookmarkEnd w:id="347"/>
    <w:p>
      <w:pPr>
        <w:ind w:left="581" w:hanging="581"/>
        <w:spacing w:after="0"/>
        <w:tabs>
          <w:tab w:leader="none" w:pos="581" w:val="left"/>
        </w:tabs>
        <w:numPr>
          <w:ilvl w:val="0"/>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Sanctions in events of violation and failure to report</w:t>
      </w:r>
    </w:p>
    <w:p>
      <w:pPr>
        <w:spacing w:after="0" w:line="210"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As mentioned above, one of the functions of an enforcement plan is to encourage an organizational culture of compliance with, and respect for, the law. The ISA Document makes clear that “a culture of compliance means that the corporation is obligated to prevent violations of the law and to handle violations and violating parties with the appropriate measures.”</w:t>
      </w:r>
    </w:p>
    <w:p>
      <w:pPr>
        <w:spacing w:after="0" w:line="159"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4"/>
          <w:szCs w:val="14"/>
          <w:b w:val="1"/>
          <w:bCs w:val="1"/>
          <w:color w:val="auto"/>
        </w:rPr>
        <w:t>Determination of sanctions in events of violation</w:t>
      </w:r>
    </w:p>
    <w:p>
      <w:pPr>
        <w:spacing w:after="0" w:line="210"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In view of the ISA determination that “the Company shall institute suitable measures against violating parties, including, in appropriate cases, disciplinary action in respect of anyone violating the provisions of the securities laws or the provisions of the enforcement plan”, the Company shall set forth in each procedure separately, insofar as necessary, the disciplinary action that is required.</w:t>
      </w:r>
    </w:p>
    <w:p>
      <w:pPr>
        <w:spacing w:after="0" w:line="159" w:lineRule="exact"/>
        <w:rPr>
          <w:sz w:val="20"/>
          <w:szCs w:val="20"/>
          <w:color w:val="auto"/>
        </w:rPr>
      </w:pPr>
    </w:p>
    <w:p>
      <w:pPr>
        <w:ind w:left="581" w:hanging="581"/>
        <w:spacing w:after="0"/>
        <w:tabs>
          <w:tab w:leader="none" w:pos="581"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Findings of a mapping of the existing situation</w:t>
      </w:r>
    </w:p>
    <w:p>
      <w:pPr>
        <w:spacing w:after="0" w:line="210" w:lineRule="exact"/>
        <w:rPr>
          <w:sz w:val="20"/>
          <w:szCs w:val="20"/>
          <w:color w:val="auto"/>
        </w:rPr>
      </w:pPr>
    </w:p>
    <w:p>
      <w:pPr>
        <w:ind w:left="1"/>
        <w:spacing w:after="0" w:line="283" w:lineRule="auto"/>
        <w:rPr>
          <w:sz w:val="20"/>
          <w:szCs w:val="20"/>
          <w:color w:val="auto"/>
        </w:rPr>
      </w:pPr>
      <w:r>
        <w:rPr>
          <w:rFonts w:ascii="Arial" w:cs="Arial" w:eastAsia="Arial" w:hAnsi="Arial"/>
          <w:sz w:val="16"/>
          <w:szCs w:val="16"/>
          <w:color w:val="auto"/>
        </w:rPr>
        <w:t>Pursuant to Chapter 7 in the ISA Document: “Adjustment of the plan to the corporation and the unique circumstances thereof, after the performance of a compliance survey in the area of the securities laws”.</w:t>
      </w:r>
    </w:p>
    <w:p>
      <w:pPr>
        <w:spacing w:after="0" w:line="151" w:lineRule="exact"/>
        <w:rPr>
          <w:sz w:val="20"/>
          <w:szCs w:val="20"/>
          <w:color w:val="auto"/>
        </w:rPr>
      </w:pPr>
    </w:p>
    <w:p>
      <w:pPr>
        <w:ind w:left="1"/>
        <w:spacing w:after="0" w:line="283" w:lineRule="auto"/>
        <w:rPr>
          <w:sz w:val="20"/>
          <w:szCs w:val="20"/>
          <w:color w:val="auto"/>
        </w:rPr>
      </w:pPr>
      <w:r>
        <w:rPr>
          <w:rFonts w:ascii="Arial" w:cs="Arial" w:eastAsia="Arial" w:hAnsi="Arial"/>
          <w:sz w:val="16"/>
          <w:szCs w:val="16"/>
          <w:color w:val="auto"/>
        </w:rPr>
        <w:t>A summary of the first survey that was performed by Deloitte – Brightman Almagor Zohar, the Company’s consultants for the enforcement plan project, is available in the Officer’s files.</w:t>
      </w:r>
    </w:p>
    <w:p>
      <w:pPr>
        <w:spacing w:after="0" w:line="147" w:lineRule="exact"/>
        <w:rPr>
          <w:sz w:val="20"/>
          <w:szCs w:val="20"/>
          <w:color w:val="auto"/>
        </w:rPr>
      </w:pPr>
    </w:p>
    <w:p>
      <w:pPr>
        <w:ind w:left="581" w:hanging="581"/>
        <w:spacing w:after="0"/>
        <w:tabs>
          <w:tab w:leader="none" w:pos="581"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Relevant procedures</w:t>
      </w:r>
    </w:p>
    <w:p>
      <w:pPr>
        <w:spacing w:after="0" w:line="210" w:lineRule="exact"/>
        <w:rPr>
          <w:sz w:val="20"/>
          <w:szCs w:val="20"/>
          <w:color w:val="auto"/>
        </w:rPr>
      </w:pPr>
    </w:p>
    <w:p>
      <w:pPr>
        <w:jc w:val="both"/>
        <w:ind w:left="1"/>
        <w:spacing w:after="0" w:line="263" w:lineRule="auto"/>
        <w:rPr>
          <w:sz w:val="20"/>
          <w:szCs w:val="20"/>
          <w:color w:val="auto"/>
        </w:rPr>
      </w:pPr>
      <w:r>
        <w:rPr>
          <w:rFonts w:ascii="Arial" w:cs="Arial" w:eastAsia="Arial" w:hAnsi="Arial"/>
          <w:sz w:val="16"/>
          <w:szCs w:val="16"/>
          <w:color w:val="auto"/>
        </w:rPr>
        <w:t>Pursuant to the compliance survey, the Company has formulated the internal procedures that are specified below, while considering the Company’s structure, its unique features, and the potential risks and deficiencies in the area of the compliance with the securities laws to which it is exposed. The role of the procedures is to regulate and determine rules of activity and conduct, the purpose of which is to prevent violations of securities laws as well as to create work processes which will address and control such processes.</w:t>
      </w:r>
    </w:p>
    <w:p>
      <w:pPr>
        <w:spacing w:after="0" w:line="164"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4"/>
          <w:szCs w:val="14"/>
          <w:b w:val="1"/>
          <w:bCs w:val="1"/>
          <w:color w:val="auto"/>
        </w:rPr>
        <w:t>Statement of Company Policy – Securities Trades by BioLineRx Ltd. personnel</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4"/>
          <w:szCs w:val="14"/>
          <w:color w:val="auto"/>
        </w:rPr>
        <w:t>The draft procedure was approved by the Board of Directors on May 15, 2012. The procedure in its final form was approved by the Company’s management on June 6, 2012.</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Chief Financial and Operating Officer was appointed as the officer responsible for the procedure.</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procedure is relevant to all of the Company’s employees and to those who come into contact with information which may constitute inside information.</w:t>
      </w:r>
    </w:p>
    <w:p>
      <w:pPr>
        <w:spacing w:after="0" w:line="202"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4"/>
          <w:szCs w:val="14"/>
          <w:b w:val="1"/>
          <w:bCs w:val="1"/>
          <w:color w:val="auto"/>
        </w:rPr>
        <w:t>Transactions involving interested and related parties</w:t>
      </w:r>
    </w:p>
    <w:p>
      <w:pPr>
        <w:spacing w:after="0" w:line="210"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The procedure was approved for the first time in December 2010. An amendment to the procedure was approved by the Company’s management on July 3, 2012 and by the Audit Committee and Board of Directors in November 2012.</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Executive Director of Finance and Reporting and the General Counsel were appointed as the officers responsible for the procedure.</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procedure is mainly relevant to directors, other officers, the finance department and the General Counsel.</w:t>
      </w:r>
    </w:p>
    <w:p>
      <w:pPr>
        <w:spacing w:after="0" w:line="202"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4"/>
          <w:szCs w:val="14"/>
          <w:b w:val="1"/>
          <w:bCs w:val="1"/>
          <w:color w:val="auto"/>
        </w:rPr>
        <w:t xml:space="preserve">Procedure for prospectus/annual report/other reports to the SEC and ISA </w:t>
      </w:r>
      <w:r>
        <w:rPr>
          <w:rFonts w:ascii="Arial" w:cs="Arial" w:eastAsia="Arial" w:hAnsi="Arial"/>
          <w:sz w:val="14"/>
          <w:szCs w:val="14"/>
          <w:color w:val="auto"/>
        </w:rPr>
        <w:t>(Disclosure Controls)</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procedure was approved by Company management in September 2012 and by the Audit Committee and Board of Directors in November 2012.</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Chief Financial and Operating Officer and the General Counsel were appointed as the officers responsible for the procedure.</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procedure is relevant primarily to the Finance Department and the General Counsel</w:t>
      </w:r>
    </w:p>
    <w:p>
      <w:pPr>
        <w:spacing w:after="0" w:line="202" w:lineRule="exact"/>
        <w:rPr>
          <w:sz w:val="20"/>
          <w:szCs w:val="20"/>
          <w:color w:val="auto"/>
        </w:rPr>
      </w:pPr>
    </w:p>
    <w:p>
      <w:pPr>
        <w:ind w:left="1"/>
        <w:spacing w:after="0"/>
        <w:tabs>
          <w:tab w:leader="none" w:pos="560"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4"/>
          <w:szCs w:val="14"/>
          <w:b w:val="1"/>
          <w:bCs w:val="1"/>
          <w:color w:val="auto"/>
        </w:rPr>
        <w:t>Period end closing procedure</w:t>
      </w:r>
    </w:p>
    <w:p>
      <w:pPr>
        <w:spacing w:after="0" w:line="210" w:lineRule="exact"/>
        <w:rPr>
          <w:sz w:val="20"/>
          <w:szCs w:val="20"/>
          <w:color w:val="auto"/>
        </w:rPr>
      </w:pPr>
    </w:p>
    <w:p>
      <w:pPr>
        <w:ind w:left="721"/>
        <w:spacing w:after="0"/>
        <w:rPr>
          <w:sz w:val="20"/>
          <w:szCs w:val="20"/>
          <w:color w:val="auto"/>
        </w:rPr>
      </w:pPr>
      <w:r>
        <w:rPr>
          <w:rFonts w:ascii="Arial" w:cs="Arial" w:eastAsia="Arial" w:hAnsi="Arial"/>
          <w:sz w:val="16"/>
          <w:szCs w:val="16"/>
          <w:color w:val="auto"/>
        </w:rPr>
        <w:t>(in progress)</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Approved on ____________</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Appointed as procedure officer: Manager of Reporting and Control</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procedure is relevant to the Chief Financial and Operating Officer and the Finance Department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318" w:right="259" w:bottom="1440" w:gutter="0" w:footer="0" w:header="0"/>
        </w:sectPr>
      </w:pPr>
    </w:p>
    <w:bookmarkStart w:id="348" w:name="page349"/>
    <w:bookmarkEnd w:id="348"/>
    <w:p>
      <w:pPr>
        <w:ind w:left="581" w:hanging="581"/>
        <w:spacing w:after="0"/>
        <w:tabs>
          <w:tab w:leader="none" w:pos="581"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Assimilation plan</w:t>
      </w:r>
    </w:p>
    <w:p>
      <w:pPr>
        <w:spacing w:after="0" w:line="205"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11.1</w:t>
      </w:r>
      <w:r>
        <w:rPr>
          <w:rFonts w:ascii="Arial" w:cs="Arial" w:eastAsia="Arial" w:hAnsi="Arial"/>
          <w:sz w:val="14"/>
          <w:szCs w:val="14"/>
          <w:b w:val="1"/>
          <w:bCs w:val="1"/>
          <w:color w:val="auto"/>
        </w:rPr>
        <w:t>Background</w:t>
      </w:r>
    </w:p>
    <w:p>
      <w:pPr>
        <w:spacing w:after="0" w:line="209" w:lineRule="exact"/>
        <w:rPr>
          <w:rFonts w:ascii="Arial" w:cs="Arial" w:eastAsia="Arial" w:hAnsi="Arial"/>
          <w:sz w:val="16"/>
          <w:szCs w:val="16"/>
          <w:b w:val="1"/>
          <w:bCs w:val="1"/>
          <w:color w:val="auto"/>
        </w:rPr>
      </w:pPr>
    </w:p>
    <w:p>
      <w:pPr>
        <w:ind w:left="581" w:right="1620"/>
        <w:spacing w:after="0" w:line="580" w:lineRule="auto"/>
        <w:rPr>
          <w:rFonts w:ascii="Arial" w:cs="Arial" w:eastAsia="Arial" w:hAnsi="Arial"/>
          <w:sz w:val="16"/>
          <w:szCs w:val="16"/>
          <w:b w:val="1"/>
          <w:bCs w:val="1"/>
          <w:color w:val="auto"/>
        </w:rPr>
      </w:pPr>
      <w:r>
        <w:rPr>
          <w:rFonts w:ascii="Arial" w:cs="Arial" w:eastAsia="Arial" w:hAnsi="Arial"/>
          <w:sz w:val="14"/>
          <w:szCs w:val="14"/>
          <w:color w:val="auto"/>
        </w:rPr>
        <w:t>An enforcement plan is a mechanism to encourage compliance which is binding on all of a company’s employees, managers and officers. This document is not intended just for display and the familiarity with its content and the implementation hereof are material to the Company.</w:t>
      </w:r>
    </w:p>
    <w:p>
      <w:pPr>
        <w:spacing w:after="0" w:line="1" w:lineRule="exact"/>
        <w:rPr>
          <w:rFonts w:ascii="Arial" w:cs="Arial" w:eastAsia="Arial" w:hAnsi="Arial"/>
          <w:sz w:val="16"/>
          <w:szCs w:val="16"/>
          <w:b w:val="1"/>
          <w:bCs w:val="1"/>
          <w:color w:val="auto"/>
        </w:rPr>
      </w:pPr>
    </w:p>
    <w:p>
      <w:pPr>
        <w:ind w:left="581"/>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Therefore, the Company examined various possible mechanisms for the purpose of assimilation of the enforcement plan and the procedures related hereto, and established the selected mechanisms in an assimilation plan that is brought below.</w:t>
      </w:r>
    </w:p>
    <w:p>
      <w:pPr>
        <w:spacing w:after="0" w:line="146" w:lineRule="exact"/>
        <w:rPr>
          <w:rFonts w:ascii="Arial" w:cs="Arial" w:eastAsia="Arial" w:hAnsi="Arial"/>
          <w:sz w:val="16"/>
          <w:szCs w:val="16"/>
          <w:b w:val="1"/>
          <w:bCs w:val="1"/>
          <w:color w:val="auto"/>
        </w:rPr>
      </w:pPr>
    </w:p>
    <w:p>
      <w:pPr>
        <w:ind w:left="581"/>
        <w:spacing w:after="0" w:line="288"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purpose of the assimilation plan </w:t>
      </w:r>
      <w:r>
        <w:rPr>
          <w:rFonts w:ascii="Arial" w:cs="Arial" w:eastAsia="Arial" w:hAnsi="Arial"/>
          <w:sz w:val="16"/>
          <w:szCs w:val="16"/>
          <w:color w:val="auto"/>
        </w:rPr>
        <w:t>is to promote and ensure the commitment of all of the relevant parties to the plan, their knowledge of the main parts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actual implementation hereof in all of their activity.</w:t>
      </w:r>
    </w:p>
    <w:p>
      <w:pPr>
        <w:spacing w:after="0" w:line="142"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11.2</w:t>
      </w:r>
      <w:r>
        <w:rPr>
          <w:rFonts w:ascii="Arial" w:cs="Arial" w:eastAsia="Arial" w:hAnsi="Arial"/>
          <w:sz w:val="14"/>
          <w:szCs w:val="14"/>
          <w:b w:val="1"/>
          <w:bCs w:val="1"/>
          <w:color w:val="auto"/>
        </w:rPr>
        <w:t>Presentation of the enforcement plan</w:t>
      </w:r>
    </w:p>
    <w:p>
      <w:pPr>
        <w:spacing w:after="0" w:line="209" w:lineRule="exact"/>
        <w:rPr>
          <w:rFonts w:ascii="Arial" w:cs="Arial" w:eastAsia="Arial" w:hAnsi="Arial"/>
          <w:sz w:val="16"/>
          <w:szCs w:val="16"/>
          <w:b w:val="1"/>
          <w:bCs w:val="1"/>
          <w:color w:val="auto"/>
        </w:rPr>
      </w:pPr>
    </w:p>
    <w:p>
      <w:pPr>
        <w:jc w:val="both"/>
        <w:ind w:left="581"/>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After the completion of the enforcement plan and its approval by the relevant bodies, the plan shall be presented to all of the employees and managers at a Company meeting. At such meeting, the CEO of the Company shall present the main parts of the plan, the importance of compliance herewith, the role of the Enforcement Officer and the manner of publication of the plan.</w:t>
      </w:r>
    </w:p>
    <w:p>
      <w:pPr>
        <w:spacing w:after="0" w:line="162" w:lineRule="exact"/>
        <w:rPr>
          <w:rFonts w:ascii="Arial" w:cs="Arial" w:eastAsia="Arial" w:hAnsi="Arial"/>
          <w:sz w:val="16"/>
          <w:szCs w:val="16"/>
          <w:b w:val="1"/>
          <w:bCs w:val="1"/>
          <w:color w:val="auto"/>
        </w:rPr>
      </w:pPr>
    </w:p>
    <w:p>
      <w:pPr>
        <w:ind w:left="581"/>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Following the presentation of the plan, the plan and the procedures related hereto shall be posted on the Company’s website (path/link) and be sent via e-mail to the distribution list of all of the Company’s employees and managers.</w:t>
      </w:r>
    </w:p>
    <w:p>
      <w:pPr>
        <w:spacing w:after="0" w:line="150" w:lineRule="exact"/>
        <w:rPr>
          <w:rFonts w:ascii="Arial" w:cs="Arial" w:eastAsia="Arial" w:hAnsi="Arial"/>
          <w:sz w:val="16"/>
          <w:szCs w:val="16"/>
          <w:b w:val="1"/>
          <w:bCs w:val="1"/>
          <w:color w:val="auto"/>
        </w:rPr>
      </w:pPr>
    </w:p>
    <w:p>
      <w:pPr>
        <w:ind w:left="581"/>
        <w:spacing w:after="0"/>
        <w:rPr>
          <w:rFonts w:ascii="Arial" w:cs="Arial" w:eastAsia="Arial" w:hAnsi="Arial"/>
          <w:sz w:val="16"/>
          <w:szCs w:val="16"/>
          <w:b w:val="1"/>
          <w:bCs w:val="1"/>
          <w:color w:val="auto"/>
        </w:rPr>
      </w:pPr>
      <w:r>
        <w:rPr>
          <w:rFonts w:ascii="Arial" w:cs="Arial" w:eastAsia="Arial" w:hAnsi="Arial"/>
          <w:sz w:val="16"/>
          <w:szCs w:val="16"/>
          <w:color w:val="auto"/>
        </w:rPr>
        <w:t>A printed copy is to be kept at the offices of the Company’s CEO, Enforcement Officer and the Company’s auditor.</w:t>
      </w:r>
    </w:p>
    <w:p>
      <w:pPr>
        <w:spacing w:after="0" w:line="205" w:lineRule="exact"/>
        <w:rPr>
          <w:rFonts w:ascii="Arial" w:cs="Arial" w:eastAsia="Arial" w:hAnsi="Arial"/>
          <w:sz w:val="16"/>
          <w:szCs w:val="16"/>
          <w:b w:val="1"/>
          <w:bCs w:val="1"/>
          <w:color w:val="auto"/>
        </w:rPr>
      </w:pPr>
    </w:p>
    <w:p>
      <w:pPr>
        <w:jc w:val="both"/>
        <w:ind w:left="581"/>
        <w:spacing w:after="0" w:line="268" w:lineRule="auto"/>
        <w:rPr>
          <w:rFonts w:ascii="Arial" w:cs="Arial" w:eastAsia="Arial" w:hAnsi="Arial"/>
          <w:sz w:val="16"/>
          <w:szCs w:val="16"/>
          <w:b w:val="1"/>
          <w:bCs w:val="1"/>
          <w:color w:val="auto"/>
        </w:rPr>
      </w:pPr>
      <w:r>
        <w:rPr>
          <w:rFonts w:ascii="Arial" w:cs="Arial" w:eastAsia="Arial" w:hAnsi="Arial"/>
          <w:sz w:val="16"/>
          <w:szCs w:val="16"/>
          <w:color w:val="auto"/>
        </w:rPr>
        <w:t>The Enforcement Officer shall examine the need for updating the general documents of the Company (like, for example, disciplinary code, the employment agreements, code of conduct, etc., as well as specific related procedures – employee initiation procedure, inside information procedure, etc.) in order that they include a reference to the subject of administrative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6906895" cy="5740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06895" cy="574040"/>
                    </a:xfrm>
                    <a:prstGeom prst="rect">
                      <a:avLst/>
                    </a:prstGeom>
                    <a:noFill/>
                  </pic:spPr>
                </pic:pic>
              </a:graphicData>
            </a:graphic>
          </wp:anchor>
        </w:drawing>
      </w:r>
    </w:p>
    <w:p>
      <w:pPr>
        <w:spacing w:after="0" w:line="175" w:lineRule="exact"/>
        <w:rPr>
          <w:sz w:val="20"/>
          <w:szCs w:val="20"/>
          <w:color w:val="auto"/>
        </w:rPr>
      </w:pPr>
    </w:p>
    <w:p>
      <w:pPr>
        <w:ind w:left="21"/>
        <w:spacing w:after="0"/>
        <w:rPr>
          <w:sz w:val="20"/>
          <w:szCs w:val="20"/>
          <w:color w:val="auto"/>
        </w:rPr>
      </w:pPr>
      <w:r>
        <w:rPr>
          <w:rFonts w:ascii="Arial" w:cs="Arial" w:eastAsia="Arial" w:hAnsi="Arial"/>
          <w:sz w:val="16"/>
          <w:szCs w:val="16"/>
          <w:b w:val="1"/>
          <w:bCs w:val="1"/>
          <w:u w:val="single" w:color="auto"/>
          <w:color w:val="auto"/>
        </w:rPr>
        <w:t>From the ISA Document:</w:t>
      </w:r>
    </w:p>
    <w:p>
      <w:pPr>
        <w:spacing w:after="0" w:line="210" w:lineRule="exact"/>
        <w:rPr>
          <w:sz w:val="20"/>
          <w:szCs w:val="20"/>
          <w:color w:val="auto"/>
        </w:rPr>
      </w:pPr>
    </w:p>
    <w:p>
      <w:pPr>
        <w:ind w:left="21" w:right="600"/>
        <w:spacing w:after="0" w:line="283" w:lineRule="auto"/>
        <w:rPr>
          <w:sz w:val="20"/>
          <w:szCs w:val="20"/>
          <w:color w:val="auto"/>
        </w:rPr>
      </w:pPr>
      <w:r>
        <w:rPr>
          <w:rFonts w:ascii="Arial" w:cs="Arial" w:eastAsia="Arial" w:hAnsi="Arial"/>
          <w:sz w:val="16"/>
          <w:szCs w:val="16"/>
          <w:color w:val="auto"/>
        </w:rPr>
        <w:t>Measures shall be taken in order to ensure the commitment of all echelons of the corporation to the aforesaid procedures, for example, through the establishment of such commitment in the disciplinary code or employment agreements.</w:t>
      </w:r>
    </w:p>
    <w:p>
      <w:pPr>
        <w:spacing w:after="0" w:line="195" w:lineRule="exact"/>
        <w:rPr>
          <w:sz w:val="20"/>
          <w:szCs w:val="20"/>
          <w:color w:val="auto"/>
        </w:rPr>
      </w:pPr>
    </w:p>
    <w:p>
      <w:pPr>
        <w:ind w:left="581"/>
        <w:spacing w:after="0"/>
        <w:tabs>
          <w:tab w:leader="none" w:pos="1280" w:val="left"/>
        </w:tabs>
        <w:rPr>
          <w:sz w:val="20"/>
          <w:szCs w:val="20"/>
          <w:color w:val="auto"/>
        </w:rPr>
      </w:pPr>
      <w:r>
        <w:rPr>
          <w:rFonts w:ascii="Arial" w:cs="Arial" w:eastAsia="Arial" w:hAnsi="Arial"/>
          <w:sz w:val="16"/>
          <w:szCs w:val="16"/>
          <w:b w:val="1"/>
          <w:bCs w:val="1"/>
          <w:color w:val="auto"/>
        </w:rPr>
        <w:t>11.3</w:t>
      </w:r>
      <w:r>
        <w:rPr>
          <w:sz w:val="20"/>
          <w:szCs w:val="20"/>
          <w:color w:val="auto"/>
        </w:rPr>
        <w:tab/>
      </w:r>
      <w:r>
        <w:rPr>
          <w:rFonts w:ascii="Arial" w:cs="Arial" w:eastAsia="Arial" w:hAnsi="Arial"/>
          <w:sz w:val="14"/>
          <w:szCs w:val="14"/>
          <w:b w:val="1"/>
          <w:bCs w:val="1"/>
          <w:color w:val="auto"/>
        </w:rPr>
        <w:t>Implementation and assimilation of the enforcement plan</w:t>
      </w:r>
    </w:p>
    <w:p>
      <w:pPr>
        <w:spacing w:after="0" w:line="206" w:lineRule="exact"/>
        <w:rPr>
          <w:sz w:val="20"/>
          <w:szCs w:val="20"/>
          <w:color w:val="auto"/>
        </w:rPr>
      </w:pPr>
    </w:p>
    <w:p>
      <w:pPr>
        <w:ind w:left="581"/>
        <w:spacing w:after="0"/>
        <w:rPr>
          <w:sz w:val="20"/>
          <w:szCs w:val="20"/>
          <w:color w:val="auto"/>
        </w:rPr>
      </w:pPr>
      <w:r>
        <w:rPr>
          <w:rFonts w:ascii="Arial" w:cs="Arial" w:eastAsia="Arial" w:hAnsi="Arial"/>
          <w:sz w:val="16"/>
          <w:szCs w:val="16"/>
          <w:b w:val="1"/>
          <w:bCs w:val="1"/>
          <w:color w:val="auto"/>
        </w:rPr>
        <w:t>Publication of the enforcement plan</w:t>
      </w:r>
    </w:p>
    <w:p>
      <w:pPr>
        <w:spacing w:after="0" w:line="210" w:lineRule="exact"/>
        <w:rPr>
          <w:sz w:val="20"/>
          <w:szCs w:val="20"/>
          <w:color w:val="auto"/>
        </w:rPr>
      </w:pPr>
    </w:p>
    <w:p>
      <w:pPr>
        <w:ind w:left="581"/>
        <w:spacing w:after="0"/>
        <w:rPr>
          <w:sz w:val="20"/>
          <w:szCs w:val="20"/>
          <w:color w:val="auto"/>
        </w:rPr>
      </w:pPr>
      <w:r>
        <w:rPr>
          <w:rFonts w:ascii="Arial" w:cs="Arial" w:eastAsia="Arial" w:hAnsi="Arial"/>
          <w:sz w:val="16"/>
          <w:szCs w:val="16"/>
          <w:color w:val="auto"/>
        </w:rPr>
        <w:t>The enforcement plan shall be published on the Company’s portal/website and distributed via e-mail to all of the Company’s employees.</w:t>
      </w:r>
    </w:p>
    <w:p>
      <w:pPr>
        <w:spacing w:after="0" w:line="206" w:lineRule="exact"/>
        <w:rPr>
          <w:sz w:val="20"/>
          <w:szCs w:val="20"/>
          <w:color w:val="auto"/>
        </w:rPr>
      </w:pPr>
    </w:p>
    <w:p>
      <w:pPr>
        <w:ind w:left="581"/>
        <w:spacing w:after="0"/>
        <w:rPr>
          <w:sz w:val="20"/>
          <w:szCs w:val="20"/>
          <w:color w:val="auto"/>
        </w:rPr>
      </w:pPr>
      <w:r>
        <w:rPr>
          <w:rFonts w:ascii="Arial" w:cs="Arial" w:eastAsia="Arial" w:hAnsi="Arial"/>
          <w:sz w:val="16"/>
          <w:szCs w:val="16"/>
          <w:color w:val="auto"/>
        </w:rPr>
        <w:t>Following any updates of the enforcement plan, an e-mail shall be sent with a summary of the changes to all of the Company’s employees.</w:t>
      </w:r>
    </w:p>
    <w:p>
      <w:pPr>
        <w:spacing w:after="0" w:line="202" w:lineRule="exact"/>
        <w:rPr>
          <w:sz w:val="20"/>
          <w:szCs w:val="20"/>
          <w:color w:val="auto"/>
        </w:rPr>
      </w:pPr>
    </w:p>
    <w:p>
      <w:pPr>
        <w:ind w:left="581"/>
        <w:spacing w:after="0"/>
        <w:rPr>
          <w:sz w:val="20"/>
          <w:szCs w:val="20"/>
          <w:color w:val="auto"/>
        </w:rPr>
      </w:pPr>
      <w:r>
        <w:rPr>
          <w:rFonts w:ascii="Arial" w:cs="Arial" w:eastAsia="Arial" w:hAnsi="Arial"/>
          <w:sz w:val="16"/>
          <w:szCs w:val="16"/>
          <w:b w:val="1"/>
          <w:bCs w:val="1"/>
          <w:color w:val="auto"/>
        </w:rPr>
        <w:t>Team/forum of assimilation of the administrative enforcement plan</w:t>
      </w:r>
    </w:p>
    <w:p>
      <w:pPr>
        <w:spacing w:after="0" w:line="210"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color w:val="auto"/>
        </w:rPr>
        <w:t>The steering committee referred to in Section 4.1.2 shall arrange for the implementation of the internal enforcement assimilation plan and the approval of any updates or modifications that will be performed.</w:t>
      </w:r>
    </w:p>
    <w:p>
      <w:pPr>
        <w:spacing w:after="0" w:line="147" w:lineRule="exact"/>
        <w:rPr>
          <w:sz w:val="20"/>
          <w:szCs w:val="20"/>
          <w:color w:val="auto"/>
        </w:rPr>
      </w:pPr>
    </w:p>
    <w:p>
      <w:pPr>
        <w:ind w:left="581"/>
        <w:spacing w:after="0"/>
        <w:rPr>
          <w:sz w:val="20"/>
          <w:szCs w:val="20"/>
          <w:color w:val="auto"/>
        </w:rPr>
      </w:pPr>
      <w:r>
        <w:rPr>
          <w:rFonts w:ascii="Arial" w:cs="Arial" w:eastAsia="Arial" w:hAnsi="Arial"/>
          <w:sz w:val="16"/>
          <w:szCs w:val="16"/>
          <w:b w:val="1"/>
          <w:bCs w:val="1"/>
          <w:color w:val="auto"/>
        </w:rPr>
        <w:t>New employee</w:t>
      </w:r>
    </w:p>
    <w:p>
      <w:pPr>
        <w:spacing w:after="0" w:line="210"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color w:val="auto"/>
        </w:rPr>
        <w:t>Each new employee, upon his or her arrival at the Company and in the context of the employee’s initiation process as conducted by HR, shall be given access to the enforcement plan, be required to read the main parts hereof and sign that he or she has read the plan.</w:t>
      </w:r>
    </w:p>
    <w:p>
      <w:pPr>
        <w:spacing w:after="0" w:line="151" w:lineRule="exact"/>
        <w:rPr>
          <w:sz w:val="20"/>
          <w:szCs w:val="20"/>
          <w:color w:val="auto"/>
        </w:rPr>
      </w:pPr>
    </w:p>
    <w:p>
      <w:pPr>
        <w:ind w:left="581"/>
        <w:spacing w:after="0" w:line="283" w:lineRule="auto"/>
        <w:rPr>
          <w:sz w:val="20"/>
          <w:szCs w:val="20"/>
          <w:color w:val="auto"/>
        </w:rPr>
      </w:pPr>
      <w:r>
        <w:rPr>
          <w:rFonts w:ascii="Arial" w:cs="Arial" w:eastAsia="Arial" w:hAnsi="Arial"/>
          <w:sz w:val="16"/>
          <w:szCs w:val="16"/>
          <w:color w:val="auto"/>
        </w:rPr>
        <w:t>During the first month of his employment, the new employee will be required to participate in training by the Internal Enforcement Officer on the subject of administrative enforcement.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512" w:right="259"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b w:val="1"/>
          <w:bCs w:val="1"/>
          <w:color w:val="auto"/>
        </w:rPr>
        <w:t>New officer</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Each new officer shall participate in a talk with the Administrative Enforcement Officer at which the internal enforcement plan will be presented to him. At the end of the meeting, the officer shall sign a document in which he declares that he has read the plan and undertakes to comply with all provisions hereof that are relevant to him. The officer shall also receive a copy of the plan via e-mail or a link to its location on the Company’s website.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Assimilation and periodic communication – Company employees and managers</w:t>
      </w:r>
    </w:p>
    <w:p>
      <w:pPr>
        <w:spacing w:after="0" w:line="210" w:lineRule="exact"/>
        <w:rPr>
          <w:sz w:val="20"/>
          <w:szCs w:val="20"/>
          <w:color w:val="auto"/>
        </w:rPr>
      </w:pPr>
    </w:p>
    <w:p>
      <w:pPr>
        <w:jc w:val="both"/>
        <w:spacing w:after="0" w:line="358" w:lineRule="auto"/>
        <w:rPr>
          <w:sz w:val="20"/>
          <w:szCs w:val="20"/>
          <w:color w:val="auto"/>
        </w:rPr>
      </w:pPr>
      <w:r>
        <w:rPr>
          <w:rFonts w:ascii="Arial" w:cs="Arial" w:eastAsia="Arial" w:hAnsi="Arial"/>
          <w:sz w:val="14"/>
          <w:szCs w:val="14"/>
          <w:color w:val="auto"/>
        </w:rPr>
        <w:t>In order to ensure that all employees are aware of the obligations that apply to them by virtue of the Improvement of Internal Enforcement Proceedings in the ISA Law and the enforcement plan, a training session procedure shall be assimilated for all of the Company’s employees and managers as well as the Company’s officers.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Alternatives:</w:t>
      </w:r>
    </w:p>
    <w:p>
      <w:pPr>
        <w:spacing w:after="0" w:line="206" w:lineRule="exact"/>
        <w:rPr>
          <w:sz w:val="20"/>
          <w:szCs w:val="20"/>
          <w:color w:val="auto"/>
        </w:rPr>
      </w:pPr>
    </w:p>
    <w:p>
      <w:pPr>
        <w:ind w:left="580" w:hanging="284"/>
        <w:spacing w:after="0" w:line="283" w:lineRule="auto"/>
        <w:tabs>
          <w:tab w:leader="none" w:pos="5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Frontal training sessions shall be held by the Officer on behalf of the Company or by an outside body. The training sessions shall be performed at least once a year. The training sessions shall include a review of the enforcement plan, possible violations and reporting methods.</w:t>
      </w:r>
    </w:p>
    <w:p>
      <w:pPr>
        <w:spacing w:after="0" w:line="150" w:lineRule="exact"/>
        <w:rPr>
          <w:rFonts w:ascii="Arial" w:cs="Arial" w:eastAsia="Arial" w:hAnsi="Arial"/>
          <w:sz w:val="16"/>
          <w:szCs w:val="16"/>
          <w:color w:val="auto"/>
        </w:rPr>
      </w:pPr>
    </w:p>
    <w:p>
      <w:pPr>
        <w:jc w:val="both"/>
        <w:ind w:left="580" w:hanging="284"/>
        <w:spacing w:after="0" w:line="268" w:lineRule="auto"/>
        <w:tabs>
          <w:tab w:leader="none" w:pos="5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Written training sessions. At least once a year the Officer shall send a presentation via e-mail to the employees that will include an employee guide – a review of the enforcement plan, possible violations and reporting methods. The employee shall be required to send a return e-mail to the Officer in which he confirms that he has read the content of the guide and undertakes to act according thereto.</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course presentation shall be attached as an annex.</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Each employee shall complete the course at least once a year.</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Every November the Officer shall distribute a request via e-mail to all of the Company’s employees and managers to complete the course within one month from the e-mail’s distribution date.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Toward the expiration of such period (about one week before the target date) the Officer shall distribute a reminder e-mail to all of the Company’s employees and managers. At the end of the period the Officer shall examine the response rate. In each case where an employee/manager shall have failed to fulfill the request, the Officer shall send an e-mail to the aforesaid employees and their managers, informing that they are required to complete the course and the proficiency test within 5 working days. Employees and managers who will fail to fulfill such demand shall be liable for sanctions by the Company pursuant to Chapter 8 of the enforcement plan.</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Enforcement Officer shall confirm that 100% of the Company’s employees and managers have participated in the course over the year. At the end of the year, the Enforcement Officer shall issue a report with regard to the administrative enforcement which shall include the percentage of the employees who shall have participated in training in such year.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course shall be maintained and updated by the Enforcement Officer pursuant to changes in the enforcement plan and/or the assimilation plan.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Assimilation and periodic communication – officers/Board of Directors</w:t>
      </w:r>
    </w:p>
    <w:p>
      <w:pPr>
        <w:spacing w:after="0" w:line="21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officers and Board of Directors shall participate in frontal training sessions held by the Officer on behalf of the Company or an outside body. The training sessions shall be held at least once a year. The training sessions shall include a review of the enforcement plan, possible violations, reporting methods.</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Enforcement Officer shall confirm that 100% of the Company’s officers/Board of Directors have participated in frontal training sessions over the year and if not, he shall arrange to make up the missing sessions towards the end of the year.</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11.4</w:t>
      </w:r>
      <w:r>
        <w:rPr>
          <w:sz w:val="20"/>
          <w:szCs w:val="20"/>
          <w:color w:val="auto"/>
        </w:rPr>
        <w:tab/>
      </w:r>
      <w:r>
        <w:rPr>
          <w:rFonts w:ascii="Arial" w:cs="Arial" w:eastAsia="Arial" w:hAnsi="Arial"/>
          <w:sz w:val="14"/>
          <w:szCs w:val="14"/>
          <w:b w:val="1"/>
          <w:bCs w:val="1"/>
          <w:color w:val="auto"/>
        </w:rPr>
        <w:t>Implementation and assimilation of the related procedures in the enforcement plan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Enforcement Officer, in collaboration with the relevant bodies (such as HR), shall map the populations that are relevant to the procedures related to the enforcement plan and determine which employees are required to participate in an assimilation process for each of the procedures (the “</w:t>
      </w:r>
      <w:r>
        <w:rPr>
          <w:rFonts w:ascii="Arial" w:cs="Arial" w:eastAsia="Arial" w:hAnsi="Arial"/>
          <w:sz w:val="16"/>
          <w:szCs w:val="16"/>
          <w:b w:val="1"/>
          <w:bCs w:val="1"/>
          <w:color w:val="auto"/>
        </w:rPr>
        <w:t>Mapping and Classification</w:t>
      </w:r>
      <w:r>
        <w:rPr>
          <w:rFonts w:ascii="Arial" w:cs="Arial" w:eastAsia="Arial" w:hAnsi="Arial"/>
          <w:sz w:val="16"/>
          <w:szCs w:val="16"/>
          <w:color w:val="auto"/>
        </w:rPr>
        <w:t xml:space="preserve"> </w:t>
      </w:r>
      <w:r>
        <w:rPr>
          <w:rFonts w:ascii="Arial" w:cs="Arial" w:eastAsia="Arial" w:hAnsi="Arial"/>
          <w:sz w:val="16"/>
          <w:szCs w:val="16"/>
          <w:b w:val="1"/>
          <w:bCs w:val="1"/>
          <w:color w:val="auto"/>
        </w:rPr>
        <w:t>Process</w:t>
      </w:r>
      <w:r>
        <w:rPr>
          <w:rFonts w:ascii="Arial" w:cs="Arial" w:eastAsia="Arial" w:hAnsi="Arial"/>
          <w:sz w:val="16"/>
          <w:szCs w:val="16"/>
          <w:color w:val="auto"/>
        </w:rPr>
        <w:t>”).</w:t>
      </w:r>
    </w:p>
    <w:p>
      <w:pPr>
        <w:spacing w:after="0" w:line="163"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4979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820"/>
          </w:cols>
          <w:pgMar w:left="820" w:top="318" w:right="259" w:bottom="1440" w:gutter="0" w:footer="0" w:header="0"/>
        </w:sectPr>
      </w:pPr>
    </w:p>
    <w:bookmarkStart w:id="350" w:name="page351"/>
    <w:bookmarkEnd w:id="350"/>
    <w:p>
      <w:pPr>
        <w:spacing w:after="0"/>
        <w:rPr>
          <w:sz w:val="20"/>
          <w:szCs w:val="20"/>
          <w:color w:val="auto"/>
        </w:rPr>
      </w:pPr>
      <w:r>
        <w:rPr>
          <w:rFonts w:ascii="Arial" w:cs="Arial" w:eastAsia="Arial" w:hAnsi="Arial"/>
          <w:sz w:val="16"/>
          <w:szCs w:val="16"/>
          <w:u w:val="single" w:color="auto"/>
          <w:color w:val="auto"/>
        </w:rPr>
        <w:t>Such process shall be performed at least once a year</w:t>
      </w:r>
      <w:r>
        <w:rPr>
          <w:rFonts w:ascii="Arial" w:cs="Arial" w:eastAsia="Arial" w:hAnsi="Arial"/>
          <w:sz w:val="16"/>
          <w:szCs w:val="16"/>
          <w:color w:val="auto"/>
        </w:rPr>
        <w:t>.</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According to the Mapping and Classification Process, the employee shall receive the procedures that are relevant to his areas of responsibility and be required to sign a document whereby he understands their content and is committed to act according thereto. After the signing by him, the direct supervisor and the Officer shall sign in confirmation and receipt of the document. The Enforcement Officer shall also monitor the employees’ aforesaid signatures of the procedures to confirm that they comply with the Mapping and Classification Process and that all of the relevant employees have signed their commitment to all of the procedures that are relevant to their functions and areas of responsibility.</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steering committee responsible for the implementation of the enforcement plan shall confirm that 100% of the employees have signed the procedures that were sent to them.</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11.5</w:t>
      </w:r>
      <w:r>
        <w:rPr>
          <w:sz w:val="20"/>
          <w:szCs w:val="20"/>
          <w:color w:val="auto"/>
        </w:rPr>
        <w:tab/>
      </w:r>
      <w:r>
        <w:rPr>
          <w:rFonts w:ascii="Arial" w:cs="Arial" w:eastAsia="Arial" w:hAnsi="Arial"/>
          <w:sz w:val="14"/>
          <w:szCs w:val="14"/>
          <w:b w:val="1"/>
          <w:bCs w:val="1"/>
          <w:color w:val="auto"/>
        </w:rPr>
        <w:t>Assimilation among parties external to the Company</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part of his work plan, the Officer shall define parties external to the Company that are obligated to comply with the enforcement plan and/or the related procedures, and have them sign the relevant procedures to attest that they have read and understood the obligations that apply to them by virtue of the Law, the enforcement plan and the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Existing engagements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Insofar as necessary, an annex to the contract shall be added to existing engagements in which the external party undertakes to information security and prevention of misuse of inside information in particular, and to the fulfillment of any and all regulatory obligations that apply to such party, including the Improvement of Internal Enforcement Proceedings in the ISA Law in general.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engagements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Any new engagements with an external party shall be performed after the signing by such party of a confidentiality and engagement agreements. As part of such agreements, the external party shall undertake to maintain information security, prevent misuse of inside information in particular, and in general fulfill any and all regulatory obligations that apply to such party including the Improvement of Internal Enforcement Proceedings in the ISA Law.</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11.6</w:t>
      </w:r>
      <w:r>
        <w:rPr>
          <w:sz w:val="20"/>
          <w:szCs w:val="20"/>
          <w:color w:val="auto"/>
        </w:rPr>
        <w:tab/>
      </w:r>
      <w:r>
        <w:rPr>
          <w:rFonts w:ascii="Arial" w:cs="Arial" w:eastAsia="Arial" w:hAnsi="Arial"/>
          <w:sz w:val="14"/>
          <w:szCs w:val="14"/>
          <w:b w:val="1"/>
          <w:bCs w:val="1"/>
          <w:color w:val="auto"/>
        </w:rPr>
        <w:t>Monitoring of and reporting on the assimilation of the enforcement plan and the related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Officer shall examine the fulfillment of the assimilation plan and report to the relevant bodies as set forth in Chapter 4 of the enforcement plan.</w:t>
      </w: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11.7</w:t>
      </w:r>
      <w:r>
        <w:rPr>
          <w:sz w:val="20"/>
          <w:szCs w:val="20"/>
          <w:color w:val="auto"/>
        </w:rPr>
        <w:tab/>
      </w:r>
      <w:r>
        <w:rPr>
          <w:rFonts w:ascii="Arial" w:cs="Arial" w:eastAsia="Arial" w:hAnsi="Arial"/>
          <w:sz w:val="14"/>
          <w:szCs w:val="14"/>
          <w:b w:val="1"/>
          <w:bCs w:val="1"/>
          <w:color w:val="auto"/>
        </w:rPr>
        <w:t>Assimilation acts pursuant to the updating of the enforcement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Once a year and as necessary the Officer shall examine the need for updating the assimilation plan as it is presented below.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plan’s update shall be approved by the steering committee in the course of a meeting that will be convened to deliberate on the matter.</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respect of each update of the enforcement plan, the Officer shall examine the need to inform all parties about the main changes or the full, updated enforcement plan and shall choose the best suited means of assimilation in order to communicate the changes and/or the updated enforcement plan.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addition, in respect of each change the Officer shall examine the need for updating the existing assimilation plan and assimilation tools.</w:t>
      </w: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The essential elements of the assimilation plan were approved by the Audit Committee and Board of Directors as part of the approval of the enforcement plan.</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66675</wp:posOffset>
            </wp:positionV>
            <wp:extent cx="724979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820"/>
          </w:cols>
          <w:pgMar w:left="820" w:top="322" w:right="259" w:bottom="1440" w:gutter="0" w:footer="0" w:header="0"/>
        </w:sectPr>
      </w:pPr>
    </w:p>
    <w:bookmarkStart w:id="351" w:name="page352"/>
    <w:bookmarkEnd w:id="351"/>
    <w:p>
      <w:pPr>
        <w:jc w:val="center"/>
        <w:spacing w:after="0"/>
        <w:rPr>
          <w:sz w:val="20"/>
          <w:szCs w:val="20"/>
          <w:color w:val="auto"/>
        </w:rPr>
      </w:pPr>
      <w:r>
        <w:rPr>
          <w:rFonts w:ascii="Arial" w:cs="Arial" w:eastAsia="Arial" w:hAnsi="Arial"/>
          <w:sz w:val="16"/>
          <w:szCs w:val="16"/>
          <w:b w:val="1"/>
          <w:bCs w:val="1"/>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Decisions of the Board of Directors and Audit Committee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decision from February 5, 2012:</w:t>
      </w:r>
    </w:p>
    <w:p>
      <w:pPr>
        <w:spacing w:after="0" w:line="206" w:lineRule="exact"/>
        <w:rPr>
          <w:sz w:val="20"/>
          <w:szCs w:val="20"/>
          <w:color w:val="auto"/>
        </w:rPr>
      </w:pPr>
    </w:p>
    <w:p>
      <w:pPr>
        <w:ind w:right="1240" w:firstLine="292"/>
        <w:spacing w:after="0" w:line="508" w:lineRule="auto"/>
        <w:rPr>
          <w:sz w:val="20"/>
          <w:szCs w:val="20"/>
          <w:color w:val="auto"/>
        </w:rPr>
      </w:pPr>
      <w:r>
        <w:rPr>
          <w:rFonts w:ascii="Arial" w:cs="Arial" w:eastAsia="Arial" w:hAnsi="Arial"/>
          <w:sz w:val="16"/>
          <w:szCs w:val="16"/>
          <w:color w:val="auto"/>
        </w:rPr>
        <w:t>“RESOLVED, that Norman Kotler, Adv., be appointed the person responsible for implementation of the Company’s Administrative Enforcement Plan.” Audit Committee decision from March 21, 2012:</w:t>
      </w:r>
    </w:p>
    <w:p>
      <w:pPr>
        <w:ind w:right="560" w:firstLine="292"/>
        <w:spacing w:after="0" w:line="508" w:lineRule="auto"/>
        <w:rPr>
          <w:sz w:val="20"/>
          <w:szCs w:val="20"/>
          <w:color w:val="auto"/>
        </w:rPr>
      </w:pPr>
      <w:r>
        <w:rPr>
          <w:rFonts w:ascii="Arial" w:cs="Arial" w:eastAsia="Arial" w:hAnsi="Arial"/>
          <w:sz w:val="16"/>
          <w:szCs w:val="16"/>
          <w:color w:val="auto"/>
        </w:rPr>
        <w:t>“RESOLVED, to approve the Administrative Enforcement Plan as presented to the Committee and to recommend approval of the Plan by the Board of Directors.” Board of Directors decision from March 22, 2012:</w:t>
      </w:r>
    </w:p>
    <w:p>
      <w:pPr>
        <w:ind w:left="280"/>
        <w:spacing w:after="0" w:line="283" w:lineRule="auto"/>
        <w:rPr>
          <w:sz w:val="20"/>
          <w:szCs w:val="20"/>
          <w:color w:val="auto"/>
        </w:rPr>
      </w:pPr>
      <w:r>
        <w:rPr>
          <w:rFonts w:ascii="Arial" w:cs="Arial" w:eastAsia="Arial" w:hAnsi="Arial"/>
          <w:sz w:val="16"/>
          <w:szCs w:val="16"/>
          <w:color w:val="auto"/>
        </w:rPr>
        <w:t>“RESOLVED, to approve the Administrative Enforcement Plan as presented to the Board, with such non-substantive changes that may be subsequently made after further review by management and Deloitte.”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decision from November 13, 2013:</w:t>
      </w:r>
    </w:p>
    <w:p>
      <w:pPr>
        <w:spacing w:after="0" w:line="206" w:lineRule="exact"/>
        <w:rPr>
          <w:sz w:val="20"/>
          <w:szCs w:val="20"/>
          <w:color w:val="auto"/>
        </w:rPr>
      </w:pPr>
    </w:p>
    <w:p>
      <w:pPr>
        <w:ind w:left="280"/>
        <w:spacing w:after="0" w:line="283" w:lineRule="auto"/>
        <w:rPr>
          <w:sz w:val="20"/>
          <w:szCs w:val="20"/>
          <w:color w:val="auto"/>
        </w:rPr>
      </w:pPr>
      <w:r>
        <w:rPr>
          <w:rFonts w:ascii="Arial" w:cs="Arial" w:eastAsia="Arial" w:hAnsi="Arial"/>
          <w:sz w:val="16"/>
          <w:szCs w:val="16"/>
          <w:color w:val="auto"/>
        </w:rPr>
        <w:t>“RESOLVED, to ratify the appointment and authorization of the Audit Committee as the “responsible entity” for supervising the implementation of the Company’s Internal Enforcement Plan beginning November 24,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0"/>
          </w:cols>
          <w:pgMar w:left="240" w:top="318" w:right="25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335915</wp:posOffset>
            </wp:positionV>
            <wp:extent cx="1948180" cy="3556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Vehicle Agreement</w:t>
      </w:r>
    </w:p>
    <w:p>
      <w:pPr>
        <w:spacing w:after="0" w:line="206" w:lineRule="exact"/>
        <w:rPr>
          <w:sz w:val="20"/>
          <w:szCs w:val="20"/>
          <w:color w:val="auto"/>
        </w:rPr>
      </w:pPr>
    </w:p>
    <w:p>
      <w:pPr>
        <w:jc w:val="both"/>
        <w:ind w:left="1"/>
        <w:spacing w:after="0" w:line="271" w:lineRule="auto"/>
        <w:rPr>
          <w:sz w:val="20"/>
          <w:szCs w:val="20"/>
          <w:color w:val="auto"/>
        </w:rPr>
      </w:pPr>
      <w:r>
        <w:rPr>
          <w:rFonts w:ascii="Arial" w:cs="Arial" w:eastAsia="Arial" w:hAnsi="Arial"/>
          <w:sz w:val="16"/>
          <w:szCs w:val="16"/>
          <w:color w:val="auto"/>
        </w:rPr>
        <w:t>This Vehicle Agreement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entered into on Click here to enter text. by and between </w:t>
      </w:r>
      <w:r>
        <w:rPr>
          <w:rFonts w:ascii="Arial" w:cs="Arial" w:eastAsia="Arial" w:hAnsi="Arial"/>
          <w:sz w:val="16"/>
          <w:szCs w:val="16"/>
          <w:b w:val="1"/>
          <w:bCs w:val="1"/>
          <w:color w:val="auto"/>
        </w:rPr>
        <w:t>BioLineRx Ltd.</w:t>
      </w:r>
      <w:r>
        <w:rPr>
          <w:rFonts w:ascii="Arial" w:cs="Arial" w:eastAsia="Arial" w:hAnsi="Arial"/>
          <w:sz w:val="16"/>
          <w:szCs w:val="16"/>
          <w:color w:val="auto"/>
        </w:rPr>
        <w:t>, a company organized under the laws of the State of Israel, with its offices at Modi’in Technology Park, 2 HaMa’ayan Street, Modi’in 7177871 (“</w:t>
      </w:r>
      <w:r>
        <w:rPr>
          <w:rFonts w:ascii="Arial" w:cs="Arial" w:eastAsia="Arial" w:hAnsi="Arial"/>
          <w:sz w:val="16"/>
          <w:szCs w:val="16"/>
          <w:b w:val="1"/>
          <w:bCs w:val="1"/>
          <w:color w:val="auto"/>
        </w:rPr>
        <w:t>BioLine</w:t>
      </w:r>
      <w:r>
        <w:rPr>
          <w:rFonts w:ascii="Arial" w:cs="Arial" w:eastAsia="Arial" w:hAnsi="Arial"/>
          <w:sz w:val="16"/>
          <w:szCs w:val="16"/>
          <w:color w:val="auto"/>
        </w:rPr>
        <w:t>”), and Click here to enter text., whose address is Click here to enter text.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6"/>
          <w:szCs w:val="16"/>
          <w:color w:val="auto"/>
        </w:rPr>
        <w:t>WHEREAS, BioLine has employed Employee pursuant to a certain Employment Agreement, dated Click here to enter text.; and</w:t>
      </w:r>
    </w:p>
    <w:p>
      <w:pPr>
        <w:spacing w:after="0" w:line="206" w:lineRule="exact"/>
        <w:rPr>
          <w:sz w:val="20"/>
          <w:szCs w:val="20"/>
          <w:color w:val="auto"/>
        </w:rPr>
      </w:pPr>
    </w:p>
    <w:p>
      <w:pPr>
        <w:jc w:val="both"/>
        <w:ind w:left="1"/>
        <w:spacing w:after="0" w:line="283" w:lineRule="auto"/>
        <w:rPr>
          <w:sz w:val="20"/>
          <w:szCs w:val="20"/>
          <w:color w:val="auto"/>
        </w:rPr>
      </w:pPr>
      <w:r>
        <w:rPr>
          <w:rFonts w:ascii="Arial" w:cs="Arial" w:eastAsia="Arial" w:hAnsi="Arial"/>
          <w:sz w:val="16"/>
          <w:szCs w:val="16"/>
          <w:color w:val="auto"/>
        </w:rPr>
        <w:t>WHEREAS, Employee has requested that BioLine provide him/her with a vehicle, and BioLine has agreed to provide Employee with a vehicle pursuant to the terms and conditions set forth herein.</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Therefore, the parties agree as follows:</w:t>
      </w:r>
    </w:p>
    <w:p>
      <w:pPr>
        <w:spacing w:after="0" w:line="206" w:lineRule="exact"/>
        <w:rPr>
          <w:sz w:val="20"/>
          <w:szCs w:val="20"/>
          <w:color w:val="auto"/>
        </w:rPr>
      </w:pPr>
    </w:p>
    <w:p>
      <w:pPr>
        <w:jc w:val="both"/>
        <w:ind w:left="301" w:hanging="301"/>
        <w:spacing w:after="0" w:line="278" w:lineRule="auto"/>
        <w:tabs>
          <w:tab w:leader="none" w:pos="301" w:val="left"/>
        </w:tabs>
        <w:numPr>
          <w:ilvl w:val="0"/>
          <w:numId w:val="313"/>
        </w:numPr>
        <w:rPr>
          <w:rFonts w:ascii="Arial" w:cs="Arial" w:eastAsia="Arial" w:hAnsi="Arial"/>
          <w:sz w:val="15"/>
          <w:szCs w:val="15"/>
          <w:color w:val="auto"/>
        </w:rPr>
      </w:pPr>
      <w:r>
        <w:rPr>
          <w:rFonts w:ascii="Arial" w:cs="Arial" w:eastAsia="Arial" w:hAnsi="Arial"/>
          <w:sz w:val="15"/>
          <w:szCs w:val="15"/>
          <w:color w:val="auto"/>
        </w:rPr>
        <w:t xml:space="preserve">BioLine shall provide Employee with the use of a vehicle selected by BioLine. BioLine shall have the sole discretion to determine the type of vehicle provided to Employee in accordance with the then current BioLine car policy. The vehicle, a detailed description of which appears in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 (the “</w:t>
      </w:r>
      <w:r>
        <w:rPr>
          <w:rFonts w:ascii="Arial" w:cs="Arial" w:eastAsia="Arial" w:hAnsi="Arial"/>
          <w:sz w:val="15"/>
          <w:szCs w:val="15"/>
          <w:b w:val="1"/>
          <w:bCs w:val="1"/>
          <w:color w:val="auto"/>
        </w:rPr>
        <w:t>Vehicle</w:t>
      </w:r>
      <w:r>
        <w:rPr>
          <w:rFonts w:ascii="Arial" w:cs="Arial" w:eastAsia="Arial" w:hAnsi="Arial"/>
          <w:sz w:val="15"/>
          <w:szCs w:val="15"/>
          <w:color w:val="auto"/>
        </w:rPr>
        <w:t>”), will be provided to Employee no later than Click here to enter text. (the “</w:t>
      </w:r>
      <w:r>
        <w:rPr>
          <w:rFonts w:ascii="Arial" w:cs="Arial" w:eastAsia="Arial" w:hAnsi="Arial"/>
          <w:sz w:val="15"/>
          <w:szCs w:val="15"/>
          <w:b w:val="1"/>
          <w:bCs w:val="1"/>
          <w:color w:val="auto"/>
        </w:rPr>
        <w:t>Effective Date</w:t>
      </w:r>
      <w:r>
        <w:rPr>
          <w:rFonts w:ascii="Arial" w:cs="Arial" w:eastAsia="Arial" w:hAnsi="Arial"/>
          <w:sz w:val="15"/>
          <w:szCs w:val="15"/>
          <w:color w:val="auto"/>
        </w:rPr>
        <w:t>”) and for a period of up to thirty-six (36) months from the calendar month following the Effective Date (the “</w:t>
      </w:r>
      <w:r>
        <w:rPr>
          <w:rFonts w:ascii="Arial" w:cs="Arial" w:eastAsia="Arial" w:hAnsi="Arial"/>
          <w:sz w:val="15"/>
          <w:szCs w:val="15"/>
          <w:b w:val="1"/>
          <w:bCs w:val="1"/>
          <w:color w:val="auto"/>
        </w:rPr>
        <w:t>Term</w:t>
      </w:r>
      <w:r>
        <w:rPr>
          <w:rFonts w:ascii="Arial" w:cs="Arial" w:eastAsia="Arial" w:hAnsi="Arial"/>
          <w:sz w:val="15"/>
          <w:szCs w:val="15"/>
          <w:color w:val="auto"/>
        </w:rPr>
        <w:t xml:space="preserve">”). Upon receipt of the Vehicle, Employee shall execute the Vehicle Receipt Form attached as </w:t>
      </w:r>
      <w:r>
        <w:rPr>
          <w:rFonts w:ascii="Arial" w:cs="Arial" w:eastAsia="Arial" w:hAnsi="Arial"/>
          <w:sz w:val="15"/>
          <w:szCs w:val="15"/>
          <w:b w:val="1"/>
          <w:bCs w:val="1"/>
          <w:color w:val="auto"/>
        </w:rPr>
        <w:t>Exhibit B</w:t>
      </w:r>
      <w:r>
        <w:rPr>
          <w:rFonts w:ascii="Arial" w:cs="Arial" w:eastAsia="Arial" w:hAnsi="Arial"/>
          <w:sz w:val="15"/>
          <w:szCs w:val="15"/>
          <w:color w:val="auto"/>
        </w:rPr>
        <w:t xml:space="preserve"> hereto. Notwithstanding the abovementioned, the Vehicle provided to Employee may have been leased to BioLine prior to the date hereof, in which event, the Term shall be amended accordingly, and this Agreement shall apply to the applicable Term. If Employee receives a vehicle for the interim period before the Effective Date (the “</w:t>
      </w:r>
      <w:r>
        <w:rPr>
          <w:rFonts w:ascii="Arial" w:cs="Arial" w:eastAsia="Arial" w:hAnsi="Arial"/>
          <w:sz w:val="15"/>
          <w:szCs w:val="15"/>
          <w:b w:val="1"/>
          <w:bCs w:val="1"/>
          <w:color w:val="auto"/>
        </w:rPr>
        <w:t>Temporary Vehicle</w:t>
      </w:r>
      <w:r>
        <w:rPr>
          <w:rFonts w:ascii="Arial" w:cs="Arial" w:eastAsia="Arial" w:hAnsi="Arial"/>
          <w:sz w:val="15"/>
          <w:szCs w:val="15"/>
          <w:color w:val="auto"/>
        </w:rPr>
        <w:t xml:space="preserve">”), the terms of this Agreement shall apply to the Temporary Vehicle in full. It is clarified, </w:t>
      </w:r>
      <w:r>
        <w:rPr>
          <w:rFonts w:ascii="Arial" w:cs="Arial" w:eastAsia="Arial" w:hAnsi="Arial"/>
          <w:sz w:val="15"/>
          <w:szCs w:val="15"/>
          <w:i w:val="1"/>
          <w:iCs w:val="1"/>
          <w:color w:val="auto"/>
        </w:rPr>
        <w:t>however</w:t>
      </w:r>
      <w:r>
        <w:rPr>
          <w:rFonts w:ascii="Arial" w:cs="Arial" w:eastAsia="Arial" w:hAnsi="Arial"/>
          <w:sz w:val="15"/>
          <w:szCs w:val="15"/>
          <w:color w:val="auto"/>
        </w:rPr>
        <w:t>, that the interim period shall not be considered part of the Term.</w:t>
      </w:r>
    </w:p>
    <w:p>
      <w:pPr>
        <w:spacing w:after="0" w:line="155" w:lineRule="exact"/>
        <w:rPr>
          <w:rFonts w:ascii="Arial" w:cs="Arial" w:eastAsia="Arial" w:hAnsi="Arial"/>
          <w:sz w:val="15"/>
          <w:szCs w:val="15"/>
          <w:color w:val="auto"/>
        </w:rPr>
      </w:pPr>
    </w:p>
    <w:p>
      <w:pPr>
        <w:ind w:left="301" w:hanging="301"/>
        <w:spacing w:after="0"/>
        <w:tabs>
          <w:tab w:leader="none" w:pos="301" w:val="left"/>
        </w:tabs>
        <w:numPr>
          <w:ilvl w:val="0"/>
          <w:numId w:val="313"/>
        </w:numPr>
        <w:rPr>
          <w:rFonts w:ascii="Arial" w:cs="Arial" w:eastAsia="Arial" w:hAnsi="Arial"/>
          <w:sz w:val="16"/>
          <w:szCs w:val="16"/>
          <w:color w:val="auto"/>
        </w:rPr>
      </w:pPr>
      <w:r>
        <w:rPr>
          <w:rFonts w:ascii="Arial" w:cs="Arial" w:eastAsia="Arial" w:hAnsi="Arial"/>
          <w:sz w:val="16"/>
          <w:szCs w:val="16"/>
          <w:b w:val="1"/>
          <w:bCs w:val="1"/>
          <w:color w:val="auto"/>
        </w:rPr>
        <w:t>Payments by Employee</w:t>
      </w:r>
    </w:p>
    <w:p>
      <w:pPr>
        <w:spacing w:after="0" w:line="205" w:lineRule="exact"/>
        <w:rPr>
          <w:rFonts w:ascii="Arial" w:cs="Arial" w:eastAsia="Arial" w:hAnsi="Arial"/>
          <w:sz w:val="16"/>
          <w:szCs w:val="16"/>
          <w:color w:val="auto"/>
        </w:rPr>
      </w:pPr>
    </w:p>
    <w:p>
      <w:pPr>
        <w:ind w:left="721" w:hanging="438"/>
        <w:spacing w:after="0" w:line="288" w:lineRule="auto"/>
        <w:rPr>
          <w:rFonts w:ascii="Arial" w:cs="Arial" w:eastAsia="Arial" w:hAnsi="Arial"/>
          <w:sz w:val="16"/>
          <w:szCs w:val="16"/>
          <w:color w:val="auto"/>
        </w:rPr>
      </w:pPr>
      <w:r>
        <w:rPr>
          <w:rFonts w:ascii="Arial" w:cs="Arial" w:eastAsia="Arial" w:hAnsi="Arial"/>
          <w:sz w:val="16"/>
          <w:szCs w:val="16"/>
          <w:color w:val="auto"/>
        </w:rPr>
        <w:t>2.1. Employee acknowledges that the benefit he/she receives from the Vehicle is taxable, and agrees to bear all taxes arising out of the use of the Vehicle (“</w:t>
      </w:r>
      <w:r>
        <w:rPr>
          <w:rFonts w:ascii="Arial" w:cs="Arial" w:eastAsia="Arial" w:hAnsi="Arial"/>
          <w:sz w:val="16"/>
          <w:szCs w:val="16"/>
          <w:b w:val="1"/>
          <w:bCs w:val="1"/>
          <w:color w:val="auto"/>
        </w:rPr>
        <w:t>Vehicle</w:t>
      </w:r>
      <w:r>
        <w:rPr>
          <w:rFonts w:ascii="Arial" w:cs="Arial" w:eastAsia="Arial" w:hAnsi="Arial"/>
          <w:sz w:val="16"/>
          <w:szCs w:val="16"/>
          <w:color w:val="auto"/>
        </w:rPr>
        <w:t xml:space="preserve"> </w:t>
      </w:r>
      <w:r>
        <w:rPr>
          <w:rFonts w:ascii="Arial" w:cs="Arial" w:eastAsia="Arial" w:hAnsi="Arial"/>
          <w:sz w:val="16"/>
          <w:szCs w:val="16"/>
          <w:b w:val="1"/>
          <w:bCs w:val="1"/>
          <w:color w:val="auto"/>
        </w:rPr>
        <w:t>Taxes</w:t>
      </w:r>
      <w:r>
        <w:rPr>
          <w:rFonts w:ascii="Arial" w:cs="Arial" w:eastAsia="Arial" w:hAnsi="Arial"/>
          <w:sz w:val="16"/>
          <w:szCs w:val="16"/>
          <w:color w:val="auto"/>
        </w:rPr>
        <w:t>”). Employee acknowledges that Vehicle Taxes will be withheld from his/her salary as required by law.</w:t>
      </w:r>
    </w:p>
    <w:p>
      <w:pPr>
        <w:spacing w:after="0" w:line="146" w:lineRule="exact"/>
        <w:rPr>
          <w:rFonts w:ascii="Arial" w:cs="Arial" w:eastAsia="Arial" w:hAnsi="Arial"/>
          <w:sz w:val="16"/>
          <w:szCs w:val="16"/>
          <w:color w:val="auto"/>
        </w:rPr>
      </w:pPr>
    </w:p>
    <w:p>
      <w:pPr>
        <w:ind w:left="721" w:hanging="438"/>
        <w:spacing w:after="0" w:line="283" w:lineRule="auto"/>
        <w:rPr>
          <w:rFonts w:ascii="Arial" w:cs="Arial" w:eastAsia="Arial" w:hAnsi="Arial"/>
          <w:sz w:val="16"/>
          <w:szCs w:val="16"/>
          <w:color w:val="auto"/>
        </w:rPr>
      </w:pPr>
      <w:r>
        <w:rPr>
          <w:rFonts w:ascii="Arial" w:cs="Arial" w:eastAsia="Arial" w:hAnsi="Arial"/>
          <w:sz w:val="16"/>
          <w:szCs w:val="16"/>
          <w:color w:val="auto"/>
        </w:rPr>
        <w:t>2.2. Vehicle Taxes may be increased according to changes from time to time in the applicable tax regulations, and Employee’s Salary will be reduced accordingly in the event of such regulatory changes.</w:t>
      </w:r>
    </w:p>
    <w:p>
      <w:pPr>
        <w:spacing w:after="0" w:line="151" w:lineRule="exact"/>
        <w:rPr>
          <w:sz w:val="20"/>
          <w:szCs w:val="20"/>
          <w:color w:val="auto"/>
        </w:rPr>
      </w:pPr>
    </w:p>
    <w:p>
      <w:pPr>
        <w:ind w:left="301"/>
        <w:spacing w:after="0"/>
        <w:tabs>
          <w:tab w:leader="none" w:pos="70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Employee shall be responsible for the following payments:</w:t>
      </w:r>
    </w:p>
    <w:p>
      <w:pPr>
        <w:spacing w:after="0" w:line="176" w:lineRule="exact"/>
        <w:rPr>
          <w:sz w:val="20"/>
          <w:szCs w:val="20"/>
          <w:color w:val="auto"/>
        </w:rPr>
      </w:pPr>
    </w:p>
    <w:p>
      <w:pPr>
        <w:ind w:left="721"/>
        <w:spacing w:after="0"/>
        <w:rPr>
          <w:sz w:val="20"/>
          <w:szCs w:val="20"/>
          <w:color w:val="auto"/>
        </w:rPr>
      </w:pPr>
      <w:r>
        <w:rPr>
          <w:rFonts w:ascii="Arial" w:cs="Arial" w:eastAsia="Arial" w:hAnsi="Arial"/>
          <w:sz w:val="16"/>
          <w:szCs w:val="16"/>
          <w:color w:val="auto"/>
        </w:rPr>
        <w:t>2.3.1. Fines and penalty payments including parking tickets and costs related to the imposing of a prohibited use notice (</w:t>
      </w:r>
      <w:r>
        <w:rPr>
          <w:rFonts w:ascii="Arial" w:cs="Arial" w:eastAsia="Arial" w:hAnsi="Arial"/>
          <w:sz w:val="16"/>
          <w:szCs w:val="16"/>
          <w:color w:val="auto"/>
        </w:rPr>
        <w:t>תילהנימ התבשה</w:t>
      </w:r>
      <w:r>
        <w:rPr>
          <w:rFonts w:ascii="Arial" w:cs="Arial" w:eastAsia="Arial" w:hAnsi="Arial"/>
          <w:sz w:val="16"/>
          <w:szCs w:val="16"/>
          <w:color w:val="auto"/>
        </w:rPr>
        <w:t>);</w:t>
      </w:r>
    </w:p>
    <w:p>
      <w:pPr>
        <w:spacing w:after="0" w:line="232" w:lineRule="exact"/>
        <w:rPr>
          <w:sz w:val="20"/>
          <w:szCs w:val="20"/>
          <w:color w:val="auto"/>
        </w:rPr>
      </w:pPr>
    </w:p>
    <w:p>
      <w:pPr>
        <w:jc w:val="both"/>
        <w:ind w:left="1161" w:hanging="437"/>
        <w:spacing w:after="0" w:line="265" w:lineRule="auto"/>
        <w:rPr>
          <w:sz w:val="20"/>
          <w:szCs w:val="20"/>
          <w:color w:val="auto"/>
        </w:rPr>
      </w:pPr>
      <w:r>
        <w:rPr>
          <w:rFonts w:ascii="Arial" w:cs="Arial" w:eastAsia="Arial" w:hAnsi="Arial"/>
          <w:sz w:val="16"/>
          <w:szCs w:val="16"/>
          <w:color w:val="auto"/>
        </w:rPr>
        <w:t>2.3.2. Fuel over the monthly limit specified in Exhibit A, as may be amended from time to time due to changes in the prices of fuel (the “</w:t>
      </w:r>
      <w:r>
        <w:rPr>
          <w:rFonts w:ascii="Arial" w:cs="Arial" w:eastAsia="Arial" w:hAnsi="Arial"/>
          <w:sz w:val="16"/>
          <w:szCs w:val="16"/>
          <w:b w:val="1"/>
          <w:bCs w:val="1"/>
          <w:color w:val="auto"/>
        </w:rPr>
        <w:t>Fuel Limit</w:t>
      </w:r>
      <w:r>
        <w:rPr>
          <w:rFonts w:ascii="Arial" w:cs="Arial" w:eastAsia="Arial" w:hAnsi="Arial"/>
          <w:sz w:val="16"/>
          <w:szCs w:val="16"/>
          <w:color w:val="auto"/>
        </w:rPr>
        <w:t>”). Employee will be charged once every six (6) months for use of fuel over the Fuel Limit, which will be calculated in accordance with Employee’s average use during the preceding six-month period (e.g., if Employee’s Fuel Limit is 1000 liters, and Employee’s average monthly use is 1100 liters, Employee will be charged for 600 liters (excess use of 100 multiplied by six months));</w:t>
      </w:r>
    </w:p>
    <w:p>
      <w:pPr>
        <w:spacing w:after="0" w:line="165" w:lineRule="exact"/>
        <w:rPr>
          <w:sz w:val="20"/>
          <w:szCs w:val="20"/>
          <w:color w:val="auto"/>
        </w:rPr>
      </w:pPr>
    </w:p>
    <w:p>
      <w:pPr>
        <w:jc w:val="both"/>
        <w:ind w:left="1161" w:hanging="437"/>
        <w:spacing w:after="0" w:line="283" w:lineRule="auto"/>
        <w:rPr>
          <w:sz w:val="20"/>
          <w:szCs w:val="20"/>
          <w:color w:val="auto"/>
        </w:rPr>
      </w:pPr>
      <w:r>
        <w:rPr>
          <w:rFonts w:ascii="Arial" w:cs="Arial" w:eastAsia="Arial" w:hAnsi="Arial"/>
          <w:sz w:val="16"/>
          <w:szCs w:val="16"/>
          <w:color w:val="auto"/>
        </w:rPr>
        <w:t>2.3.3. Fines imposed by the leasing company for mileage costs exceeding the annual limit specified in Exhibit A, as may be amended from time to time based on Employee’s place of residence (the “</w:t>
      </w:r>
      <w:r>
        <w:rPr>
          <w:rFonts w:ascii="Arial" w:cs="Arial" w:eastAsia="Arial" w:hAnsi="Arial"/>
          <w:sz w:val="16"/>
          <w:szCs w:val="16"/>
          <w:b w:val="1"/>
          <w:bCs w:val="1"/>
          <w:color w:val="auto"/>
        </w:rPr>
        <w:t>Mileage Limit</w:t>
      </w:r>
      <w:r>
        <w:rPr>
          <w:rFonts w:ascii="Arial" w:cs="Arial" w:eastAsia="Arial" w:hAnsi="Arial"/>
          <w:sz w:val="16"/>
          <w:szCs w:val="16"/>
          <w:color w:val="auto"/>
        </w:rPr>
        <w:t>”);</w:t>
      </w:r>
    </w:p>
    <w:p>
      <w:pPr>
        <w:spacing w:after="0" w:line="121" w:lineRule="exact"/>
        <w:rPr>
          <w:sz w:val="20"/>
          <w:szCs w:val="20"/>
          <w:color w:val="auto"/>
        </w:rPr>
      </w:pPr>
    </w:p>
    <w:p>
      <w:pPr>
        <w:ind w:left="721"/>
        <w:spacing w:after="0"/>
        <w:rPr>
          <w:sz w:val="20"/>
          <w:szCs w:val="20"/>
          <w:color w:val="auto"/>
        </w:rPr>
      </w:pPr>
      <w:r>
        <w:rPr>
          <w:rFonts w:ascii="Arial" w:cs="Arial" w:eastAsia="Arial" w:hAnsi="Arial"/>
          <w:sz w:val="16"/>
          <w:szCs w:val="16"/>
          <w:color w:val="auto"/>
        </w:rPr>
        <w:t>2.3.4. Highway 6 expenses (</w:t>
      </w:r>
      <w:r>
        <w:rPr>
          <w:rFonts w:ascii="Arial" w:cs="Arial" w:eastAsia="Arial" w:hAnsi="Arial"/>
          <w:sz w:val="16"/>
          <w:szCs w:val="16"/>
          <w:color w:val="auto"/>
        </w:rPr>
        <w:t>לקספ</w:t>
      </w:r>
      <w:r>
        <w:rPr>
          <w:rFonts w:ascii="Arial" w:cs="Arial" w:eastAsia="Arial" w:hAnsi="Arial"/>
          <w:sz w:val="16"/>
          <w:szCs w:val="16"/>
          <w:color w:val="auto"/>
        </w:rPr>
        <w:t>) and tolls, except for tolls related to business use, as set forth in Section 3.1 below;</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1267" w:right="259" w:bottom="1440" w:gutter="0" w:footer="0" w:header="0"/>
        </w:sectPr>
      </w:pPr>
    </w:p>
    <w:bookmarkStart w:id="353" w:name="page354"/>
    <w:bookmarkEnd w:id="353"/>
    <w:p>
      <w:pPr>
        <w:ind w:left="72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2.3.5. Tel Aviv Fast Lane expenses, except for tolls related to business use, as set forth in Section 3.1 below;</w:t>
      </w:r>
    </w:p>
    <w:p>
      <w:pPr>
        <w:spacing w:after="0" w:line="206" w:lineRule="exact"/>
        <w:rPr>
          <w:sz w:val="20"/>
          <w:szCs w:val="20"/>
          <w:color w:val="auto"/>
        </w:rPr>
      </w:pPr>
    </w:p>
    <w:p>
      <w:pPr>
        <w:ind w:left="1161" w:hanging="437"/>
        <w:spacing w:after="0" w:line="283" w:lineRule="auto"/>
        <w:rPr>
          <w:sz w:val="20"/>
          <w:szCs w:val="20"/>
          <w:color w:val="auto"/>
        </w:rPr>
      </w:pPr>
      <w:r>
        <w:rPr>
          <w:rFonts w:ascii="Arial" w:cs="Arial" w:eastAsia="Arial" w:hAnsi="Arial"/>
          <w:sz w:val="16"/>
          <w:szCs w:val="16"/>
          <w:color w:val="auto"/>
        </w:rPr>
        <w:t>2.3.6. Fines and expenses imposed by the leasing company for tolls related to travel on Highway 6 or the Tel Aviv Fast Lane that is not based on subscriptions arranged by Employee;</w:t>
      </w:r>
    </w:p>
    <w:p>
      <w:pPr>
        <w:spacing w:after="0" w:line="151" w:lineRule="exact"/>
        <w:rPr>
          <w:sz w:val="20"/>
          <w:szCs w:val="20"/>
          <w:color w:val="auto"/>
        </w:rPr>
      </w:pPr>
    </w:p>
    <w:p>
      <w:pPr>
        <w:ind w:left="721"/>
        <w:spacing w:after="0"/>
        <w:rPr>
          <w:sz w:val="20"/>
          <w:szCs w:val="20"/>
          <w:color w:val="auto"/>
        </w:rPr>
      </w:pPr>
      <w:r>
        <w:rPr>
          <w:rFonts w:ascii="Arial" w:cs="Arial" w:eastAsia="Arial" w:hAnsi="Arial"/>
          <w:sz w:val="16"/>
          <w:szCs w:val="16"/>
          <w:color w:val="auto"/>
        </w:rPr>
        <w:t>2.3.7. Insurance deductible, which will be borne by Employee if the damage was caused by Employee, as follows:</w:t>
      </w:r>
    </w:p>
    <w:p>
      <w:pPr>
        <w:spacing w:after="0" w:line="206" w:lineRule="exact"/>
        <w:rPr>
          <w:sz w:val="20"/>
          <w:szCs w:val="20"/>
          <w:color w:val="auto"/>
        </w:rPr>
      </w:pPr>
    </w:p>
    <w:p>
      <w:pPr>
        <w:ind w:left="1461" w:hanging="292"/>
        <w:spacing w:after="0"/>
        <w:tabs>
          <w:tab w:leader="none" w:pos="146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On the third occurrence of any such damage, Employee shall bear 30% of the insurance deductible.</w:t>
      </w:r>
    </w:p>
    <w:p>
      <w:pPr>
        <w:spacing w:after="0" w:line="205" w:lineRule="exact"/>
        <w:rPr>
          <w:rFonts w:ascii="Arial" w:cs="Arial" w:eastAsia="Arial" w:hAnsi="Arial"/>
          <w:sz w:val="16"/>
          <w:szCs w:val="16"/>
          <w:color w:val="auto"/>
        </w:rPr>
      </w:pPr>
    </w:p>
    <w:p>
      <w:pPr>
        <w:ind w:left="1461" w:hanging="292"/>
        <w:spacing w:after="0"/>
        <w:tabs>
          <w:tab w:leader="none" w:pos="146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From the fourth occurrence of any such damage and onwards, Employee shall bear 50% of the insurance deductible.</w:t>
      </w:r>
    </w:p>
    <w:p>
      <w:pPr>
        <w:spacing w:after="0" w:line="205" w:lineRule="exact"/>
        <w:rPr>
          <w:rFonts w:ascii="Arial" w:cs="Arial" w:eastAsia="Arial" w:hAnsi="Arial"/>
          <w:sz w:val="16"/>
          <w:szCs w:val="16"/>
          <w:color w:val="auto"/>
        </w:rPr>
      </w:pPr>
    </w:p>
    <w:p>
      <w:pPr>
        <w:jc w:val="both"/>
        <w:ind w:left="1461" w:hanging="292"/>
        <w:spacing w:after="0" w:line="268" w:lineRule="auto"/>
        <w:tabs>
          <w:tab w:leader="none" w:pos="146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Employee will be charged as provided above only if damage was reported to the leasing company in a timely manner. If damage was not reported in a timely manner, and as a result the leasing company charges BioLine for additional events of damage, Employee will bear the full cost of the insurance deductible.</w:t>
      </w:r>
    </w:p>
    <w:p>
      <w:pPr>
        <w:spacing w:after="0" w:line="163" w:lineRule="exact"/>
        <w:rPr>
          <w:sz w:val="20"/>
          <w:szCs w:val="20"/>
          <w:color w:val="auto"/>
        </w:rPr>
      </w:pPr>
    </w:p>
    <w:p>
      <w:pPr>
        <w:ind w:left="721"/>
        <w:spacing w:after="0"/>
        <w:rPr>
          <w:sz w:val="20"/>
          <w:szCs w:val="20"/>
          <w:color w:val="auto"/>
        </w:rPr>
      </w:pPr>
      <w:r>
        <w:rPr>
          <w:rFonts w:ascii="Arial" w:cs="Arial" w:eastAsia="Arial" w:hAnsi="Arial"/>
          <w:sz w:val="16"/>
          <w:szCs w:val="16"/>
          <w:color w:val="auto"/>
        </w:rPr>
        <w:t>2.3.8. Employee shall bear the cost of any flat tires, except for the first two (2) flat tires per year, as indicated in Section 3.1.1 below; and</w:t>
      </w:r>
    </w:p>
    <w:p>
      <w:pPr>
        <w:spacing w:after="0" w:line="206" w:lineRule="exact"/>
        <w:rPr>
          <w:sz w:val="20"/>
          <w:szCs w:val="20"/>
          <w:color w:val="auto"/>
        </w:rPr>
      </w:pPr>
    </w:p>
    <w:p>
      <w:pPr>
        <w:jc w:val="both"/>
        <w:ind w:left="1161" w:hanging="437"/>
        <w:spacing w:after="0" w:line="268" w:lineRule="auto"/>
        <w:rPr>
          <w:sz w:val="20"/>
          <w:szCs w:val="20"/>
          <w:color w:val="auto"/>
        </w:rPr>
      </w:pPr>
      <w:r>
        <w:rPr>
          <w:rFonts w:ascii="Arial" w:cs="Arial" w:eastAsia="Arial" w:hAnsi="Arial"/>
          <w:sz w:val="16"/>
          <w:szCs w:val="16"/>
          <w:color w:val="auto"/>
        </w:rPr>
        <w:t>2.3.9. It is Employee’s responsibility to ensure that the Vehicle has a full tank upon sending the Vehicle to maintenance and repairs. If the Vehicle’s tank is not full, and an extra charge is billed for fuel, Employee shall bear the extra fuel charge, provided however that BioLine may decide in its sole discretion to bear such expense if Employee could not have predicted the repair.</w:t>
      </w:r>
    </w:p>
    <w:p>
      <w:pPr>
        <w:spacing w:after="0" w:line="163" w:lineRule="exact"/>
        <w:rPr>
          <w:sz w:val="20"/>
          <w:szCs w:val="20"/>
          <w:color w:val="auto"/>
        </w:rPr>
      </w:pPr>
    </w:p>
    <w:p>
      <w:pPr>
        <w:jc w:val="both"/>
        <w:ind w:left="721" w:hanging="437"/>
        <w:spacing w:after="0" w:line="268" w:lineRule="auto"/>
        <w:tabs>
          <w:tab w:leader="none" w:pos="700" w:val="left"/>
        </w:tabs>
        <w:rPr>
          <w:sz w:val="20"/>
          <w:szCs w:val="20"/>
          <w:color w:val="auto"/>
        </w:rPr>
      </w:pPr>
      <w:r>
        <w:rPr>
          <w:rFonts w:ascii="Arial" w:cs="Arial" w:eastAsia="Arial" w:hAnsi="Arial"/>
          <w:sz w:val="16"/>
          <w:szCs w:val="16"/>
          <w:color w:val="auto"/>
        </w:rPr>
        <w:t>2.4.</w:t>
        <w:tab/>
        <w:t>Employee undertakes to pay, upon first demand, all fines and penalty payments, such as parking tickets, etc., within sixty (60) days of receipt of the ticket. If Employee does not pay the required fines, etc., BioLine may withhold such amount from his/her Salary, together with any late penalties or additional payments which may be assessed.</w:t>
      </w:r>
    </w:p>
    <w:p>
      <w:pPr>
        <w:spacing w:after="0" w:line="163" w:lineRule="exact"/>
        <w:rPr>
          <w:sz w:val="20"/>
          <w:szCs w:val="20"/>
          <w:color w:val="auto"/>
        </w:rPr>
      </w:pPr>
    </w:p>
    <w:p>
      <w:pPr>
        <w:jc w:val="both"/>
        <w:ind w:left="721" w:hanging="437"/>
        <w:spacing w:after="0" w:line="268" w:lineRule="auto"/>
        <w:tabs>
          <w:tab w:leader="none" w:pos="700" w:val="left"/>
        </w:tabs>
        <w:rPr>
          <w:sz w:val="20"/>
          <w:szCs w:val="20"/>
          <w:color w:val="auto"/>
        </w:rPr>
      </w:pPr>
      <w:r>
        <w:rPr>
          <w:rFonts w:ascii="Arial" w:cs="Arial" w:eastAsia="Arial" w:hAnsi="Arial"/>
          <w:sz w:val="16"/>
          <w:szCs w:val="16"/>
          <w:color w:val="auto"/>
        </w:rPr>
        <w:t>2.5.</w:t>
        <w:tab/>
        <w:t>Employee confirms and represents that he/she is the holder of the Vehicle as of the Effective Date. Consequently, Employee hereby agrees to the assignment of any tickets, fines, penalties, as well as traffic points (</w:t>
      </w:r>
      <w:r>
        <w:rPr>
          <w:rFonts w:ascii="Arial" w:cs="Arial" w:eastAsia="Arial" w:hAnsi="Arial"/>
          <w:sz w:val="16"/>
          <w:szCs w:val="16"/>
          <w:color w:val="auto"/>
        </w:rPr>
        <w:t>תודוקנ</w:t>
      </w:r>
      <w:r>
        <w:rPr>
          <w:rFonts w:ascii="Arial" w:cs="Arial" w:eastAsia="Arial" w:hAnsi="Arial"/>
          <w:sz w:val="16"/>
          <w:szCs w:val="16"/>
          <w:color w:val="auto"/>
        </w:rPr>
        <w:t xml:space="preserve">) to Employee, and authorizes BioLine to carry out such assignment vis-a-vis the competent authority if required. Employee has executed the Confirmation and Assignment deed attached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hereto.</w:t>
      </w:r>
    </w:p>
    <w:p>
      <w:pPr>
        <w:spacing w:after="0" w:line="159" w:lineRule="exact"/>
        <w:rPr>
          <w:sz w:val="20"/>
          <w:szCs w:val="20"/>
          <w:color w:val="auto"/>
        </w:rPr>
      </w:pPr>
    </w:p>
    <w:p>
      <w:pPr>
        <w:ind w:left="301" w:hanging="301"/>
        <w:spacing w:after="0"/>
        <w:tabs>
          <w:tab w:leader="none" w:pos="301" w:val="left"/>
        </w:tabs>
        <w:numPr>
          <w:ilvl w:val="0"/>
          <w:numId w:val="315"/>
        </w:numPr>
        <w:rPr>
          <w:rFonts w:ascii="Arial" w:cs="Arial" w:eastAsia="Arial" w:hAnsi="Arial"/>
          <w:sz w:val="16"/>
          <w:szCs w:val="16"/>
          <w:color w:val="auto"/>
        </w:rPr>
      </w:pPr>
      <w:r>
        <w:rPr>
          <w:rFonts w:ascii="Arial" w:cs="Arial" w:eastAsia="Arial" w:hAnsi="Arial"/>
          <w:sz w:val="16"/>
          <w:szCs w:val="16"/>
          <w:b w:val="1"/>
          <w:bCs w:val="1"/>
          <w:color w:val="auto"/>
        </w:rPr>
        <w:t>Payments by BioLine</w:t>
      </w:r>
    </w:p>
    <w:p>
      <w:pPr>
        <w:spacing w:after="0" w:line="206" w:lineRule="exact"/>
        <w:rPr>
          <w:sz w:val="20"/>
          <w:szCs w:val="20"/>
          <w:color w:val="auto"/>
        </w:rPr>
      </w:pPr>
    </w:p>
    <w:p>
      <w:pPr>
        <w:ind w:left="721" w:hanging="437"/>
        <w:spacing w:after="0" w:line="288" w:lineRule="auto"/>
        <w:tabs>
          <w:tab w:leader="none" w:pos="700" w:val="left"/>
        </w:tabs>
        <w:rPr>
          <w:sz w:val="20"/>
          <w:szCs w:val="20"/>
          <w:color w:val="auto"/>
        </w:rPr>
      </w:pPr>
      <w:r>
        <w:rPr>
          <w:rFonts w:ascii="Arial" w:cs="Arial" w:eastAsia="Arial" w:hAnsi="Arial"/>
          <w:sz w:val="16"/>
          <w:szCs w:val="16"/>
          <w:color w:val="auto"/>
        </w:rPr>
        <w:t>3.1.</w:t>
        <w:tab/>
        <w:t>BioLine shall pay or be responsible for the payment of the monthly leasing payment charged by the leasing company for the Vehicle (the “</w:t>
      </w:r>
      <w:r>
        <w:rPr>
          <w:rFonts w:ascii="Arial" w:cs="Arial" w:eastAsia="Arial" w:hAnsi="Arial"/>
          <w:sz w:val="16"/>
          <w:szCs w:val="16"/>
          <w:b w:val="1"/>
          <w:bCs w:val="1"/>
          <w:color w:val="auto"/>
        </w:rPr>
        <w:t>Lease Payment</w:t>
      </w:r>
      <w:r>
        <w:rPr>
          <w:rFonts w:ascii="Arial" w:cs="Arial" w:eastAsia="Arial" w:hAnsi="Arial"/>
          <w:sz w:val="16"/>
          <w:szCs w:val="16"/>
          <w:color w:val="auto"/>
        </w:rPr>
        <w:t>”), and for expenses related to the Vehicle, as follows:</w:t>
      </w:r>
    </w:p>
    <w:p>
      <w:pPr>
        <w:spacing w:after="0" w:line="147" w:lineRule="exact"/>
        <w:rPr>
          <w:sz w:val="20"/>
          <w:szCs w:val="20"/>
          <w:color w:val="auto"/>
        </w:rPr>
      </w:pPr>
    </w:p>
    <w:p>
      <w:pPr>
        <w:ind w:left="721"/>
        <w:spacing w:after="0"/>
        <w:rPr>
          <w:sz w:val="20"/>
          <w:szCs w:val="20"/>
          <w:color w:val="auto"/>
        </w:rPr>
      </w:pPr>
      <w:r>
        <w:rPr>
          <w:rFonts w:ascii="Arial" w:cs="Arial" w:eastAsia="Arial" w:hAnsi="Arial"/>
          <w:sz w:val="16"/>
          <w:szCs w:val="16"/>
          <w:color w:val="auto"/>
        </w:rPr>
        <w:t>3.1.1. Insurance, licensing fees, maintenance and repairs, and the repair cost of two (2) flat tires a year, in accordance with BioLine’s car policy;</w:t>
      </w:r>
    </w:p>
    <w:p>
      <w:pPr>
        <w:spacing w:after="0" w:line="206" w:lineRule="exact"/>
        <w:rPr>
          <w:sz w:val="20"/>
          <w:szCs w:val="20"/>
          <w:color w:val="auto"/>
        </w:rPr>
      </w:pPr>
    </w:p>
    <w:p>
      <w:pPr>
        <w:ind w:left="721"/>
        <w:spacing w:after="0"/>
        <w:rPr>
          <w:sz w:val="20"/>
          <w:szCs w:val="20"/>
          <w:color w:val="auto"/>
        </w:rPr>
      </w:pPr>
      <w:r>
        <w:rPr>
          <w:rFonts w:ascii="Arial" w:cs="Arial" w:eastAsia="Arial" w:hAnsi="Arial"/>
          <w:sz w:val="15"/>
          <w:szCs w:val="15"/>
          <w:color w:val="auto"/>
        </w:rPr>
        <w:t>3.1.2. Insurance deductible of 100% if the damage is caused by a third party, and the following portions of the insurance deductible if the damage is caused by</w:t>
      </w:r>
    </w:p>
    <w:p>
      <w:pPr>
        <w:spacing w:after="0" w:line="34" w:lineRule="exact"/>
        <w:rPr>
          <w:sz w:val="20"/>
          <w:szCs w:val="20"/>
          <w:color w:val="auto"/>
        </w:rPr>
      </w:pPr>
    </w:p>
    <w:p>
      <w:pPr>
        <w:ind w:left="1161"/>
        <w:spacing w:after="0"/>
        <w:rPr>
          <w:sz w:val="20"/>
          <w:szCs w:val="20"/>
          <w:color w:val="auto"/>
        </w:rPr>
      </w:pPr>
      <w:r>
        <w:rPr>
          <w:rFonts w:ascii="Arial" w:cs="Arial" w:eastAsia="Arial" w:hAnsi="Arial"/>
          <w:sz w:val="16"/>
          <w:szCs w:val="16"/>
          <w:color w:val="auto"/>
        </w:rPr>
        <w:t>Employee:</w:t>
      </w:r>
    </w:p>
    <w:p>
      <w:pPr>
        <w:spacing w:after="0" w:line="194" w:lineRule="exact"/>
        <w:rPr>
          <w:sz w:val="20"/>
          <w:szCs w:val="20"/>
          <w:color w:val="auto"/>
        </w:rPr>
      </w:pPr>
    </w:p>
    <w:p>
      <w:pPr>
        <w:ind w:left="1461" w:hanging="292"/>
        <w:spacing w:after="0"/>
        <w:tabs>
          <w:tab w:leader="none" w:pos="146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100% of the insurance deductible in the first two occurrences;</w:t>
      </w:r>
    </w:p>
    <w:p>
      <w:pPr>
        <w:spacing w:after="0" w:line="205" w:lineRule="exact"/>
        <w:rPr>
          <w:rFonts w:ascii="Arial" w:cs="Arial" w:eastAsia="Arial" w:hAnsi="Arial"/>
          <w:sz w:val="16"/>
          <w:szCs w:val="16"/>
          <w:color w:val="auto"/>
        </w:rPr>
      </w:pPr>
    </w:p>
    <w:p>
      <w:pPr>
        <w:ind w:left="1461" w:hanging="292"/>
        <w:spacing w:after="0"/>
        <w:tabs>
          <w:tab w:leader="none" w:pos="146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70% of the insurance deductible in the third occurrence;</w:t>
      </w:r>
    </w:p>
    <w:p>
      <w:pPr>
        <w:spacing w:after="0" w:line="205" w:lineRule="exact"/>
        <w:rPr>
          <w:rFonts w:ascii="Arial" w:cs="Arial" w:eastAsia="Arial" w:hAnsi="Arial"/>
          <w:sz w:val="16"/>
          <w:szCs w:val="16"/>
          <w:color w:val="auto"/>
        </w:rPr>
      </w:pPr>
    </w:p>
    <w:p>
      <w:pPr>
        <w:ind w:left="721" w:right="5340" w:firstLine="448"/>
        <w:spacing w:after="0" w:line="508" w:lineRule="auto"/>
        <w:tabs>
          <w:tab w:leader="none" w:pos="1453" w:val="left"/>
        </w:tabs>
        <w:numPr>
          <w:ilvl w:val="0"/>
          <w:numId w:val="316"/>
        </w:numPr>
        <w:rPr>
          <w:rFonts w:ascii="Arial" w:cs="Arial" w:eastAsia="Arial" w:hAnsi="Arial"/>
          <w:sz w:val="16"/>
          <w:szCs w:val="16"/>
          <w:color w:val="auto"/>
        </w:rPr>
      </w:pPr>
      <w:r>
        <w:rPr>
          <w:rFonts w:ascii="Arial" w:cs="Arial" w:eastAsia="Arial" w:hAnsi="Arial"/>
          <w:sz w:val="16"/>
          <w:szCs w:val="16"/>
          <w:color w:val="auto"/>
        </w:rPr>
        <w:t>50% of the insurance deductible in the fourth occurrence and onwards. 3.1.3. Fuel up to the Fuel Limit;</w:t>
      </w: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882" w:right="259" w:bottom="1440" w:gutter="0" w:footer="0" w:header="0"/>
        </w:sectPr>
      </w:pPr>
    </w:p>
    <w:bookmarkStart w:id="354" w:name="page355"/>
    <w:bookmarkEnd w:id="354"/>
    <w:p>
      <w:pPr>
        <w:ind w:left="72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3.1.4. Mileage costs up to the Mileage Limit;</w:t>
      </w:r>
    </w:p>
    <w:p>
      <w:pPr>
        <w:spacing w:after="0" w:line="206" w:lineRule="exact"/>
        <w:rPr>
          <w:sz w:val="20"/>
          <w:szCs w:val="20"/>
          <w:color w:val="auto"/>
        </w:rPr>
      </w:pPr>
    </w:p>
    <w:p>
      <w:pPr>
        <w:ind w:left="1161" w:hanging="437"/>
        <w:spacing w:after="0" w:line="307" w:lineRule="auto"/>
        <w:rPr>
          <w:sz w:val="20"/>
          <w:szCs w:val="20"/>
          <w:color w:val="auto"/>
        </w:rPr>
      </w:pPr>
      <w:r>
        <w:rPr>
          <w:rFonts w:ascii="Arial" w:cs="Arial" w:eastAsia="Arial" w:hAnsi="Arial"/>
          <w:sz w:val="16"/>
          <w:szCs w:val="16"/>
          <w:color w:val="auto"/>
        </w:rPr>
        <w:t>3.1.5. Reimbursement for Highway 6 tolls in connection with business related travel only, and subject to the installation by Employee of the Highway 6 meter (</w:t>
      </w:r>
      <w:r>
        <w:rPr>
          <w:rFonts w:ascii="Arial" w:cs="Arial" w:eastAsia="Arial" w:hAnsi="Arial"/>
          <w:sz w:val="16"/>
          <w:szCs w:val="16"/>
          <w:color w:val="auto"/>
        </w:rPr>
        <w:t>לקספ</w:t>
      </w:r>
      <w:r>
        <w:rPr>
          <w:rFonts w:ascii="Arial" w:cs="Arial" w:eastAsia="Arial" w:hAnsi="Arial"/>
          <w:sz w:val="16"/>
          <w:szCs w:val="16"/>
          <w:color w:val="auto"/>
        </w:rPr>
        <w:t>), in accordance with BioLine’s procedures for reimbursement of expenses;</w:t>
      </w:r>
    </w:p>
    <w:p>
      <w:pPr>
        <w:spacing w:after="0" w:line="114" w:lineRule="exact"/>
        <w:rPr>
          <w:sz w:val="20"/>
          <w:szCs w:val="20"/>
          <w:color w:val="auto"/>
        </w:rPr>
      </w:pPr>
    </w:p>
    <w:p>
      <w:pPr>
        <w:ind w:left="721"/>
        <w:spacing w:after="0"/>
        <w:rPr>
          <w:sz w:val="20"/>
          <w:szCs w:val="20"/>
          <w:color w:val="auto"/>
        </w:rPr>
      </w:pPr>
      <w:r>
        <w:rPr>
          <w:rFonts w:ascii="Arial" w:cs="Arial" w:eastAsia="Arial" w:hAnsi="Arial"/>
          <w:sz w:val="15"/>
          <w:szCs w:val="15"/>
          <w:color w:val="auto"/>
        </w:rPr>
        <w:t>3.1.6. Reimbursement for Tel Aviv Fast Lane tolls in connection with business related travel only, and subject to Employee’s arranging a subscription; and</w:t>
      </w:r>
    </w:p>
    <w:p>
      <w:pPr>
        <w:spacing w:after="0" w:line="217" w:lineRule="exact"/>
        <w:rPr>
          <w:sz w:val="20"/>
          <w:szCs w:val="20"/>
          <w:color w:val="auto"/>
        </w:rPr>
      </w:pPr>
    </w:p>
    <w:p>
      <w:pPr>
        <w:ind w:left="721"/>
        <w:spacing w:after="0"/>
        <w:rPr>
          <w:sz w:val="20"/>
          <w:szCs w:val="20"/>
          <w:color w:val="auto"/>
        </w:rPr>
      </w:pPr>
      <w:r>
        <w:rPr>
          <w:rFonts w:ascii="Arial" w:cs="Arial" w:eastAsia="Arial" w:hAnsi="Arial"/>
          <w:sz w:val="16"/>
          <w:szCs w:val="16"/>
          <w:color w:val="auto"/>
        </w:rPr>
        <w:t>3.1.7. Other expenses, all as may be decided from time to time by BioLine and in accordance with BioLine’s car policy then in effect.</w:t>
      </w:r>
    </w:p>
    <w:p>
      <w:pPr>
        <w:spacing w:after="0" w:line="206" w:lineRule="exact"/>
        <w:rPr>
          <w:sz w:val="20"/>
          <w:szCs w:val="20"/>
          <w:color w:val="auto"/>
        </w:rPr>
      </w:pPr>
    </w:p>
    <w:p>
      <w:pPr>
        <w:ind w:left="281"/>
        <w:spacing w:after="0"/>
        <w:tabs>
          <w:tab w:leader="none" w:pos="70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For the avoidance of doubt, BioLine shall not be responsible for the payment of any fines, penalties or other expenses as set forth in Section 2.3 above.</w:t>
      </w:r>
    </w:p>
    <w:p>
      <w:pPr>
        <w:spacing w:after="0" w:line="202" w:lineRule="exact"/>
        <w:rPr>
          <w:sz w:val="20"/>
          <w:szCs w:val="20"/>
          <w:color w:val="auto"/>
        </w:rPr>
      </w:pPr>
    </w:p>
    <w:p>
      <w:pPr>
        <w:ind w:left="301" w:hanging="301"/>
        <w:spacing w:after="0"/>
        <w:tabs>
          <w:tab w:leader="none" w:pos="301" w:val="left"/>
        </w:tabs>
        <w:numPr>
          <w:ilvl w:val="0"/>
          <w:numId w:val="317"/>
        </w:numPr>
        <w:rPr>
          <w:rFonts w:ascii="Arial" w:cs="Arial" w:eastAsia="Arial" w:hAnsi="Arial"/>
          <w:sz w:val="16"/>
          <w:szCs w:val="16"/>
          <w:color w:val="auto"/>
        </w:rPr>
      </w:pPr>
      <w:r>
        <w:rPr>
          <w:rFonts w:ascii="Arial" w:cs="Arial" w:eastAsia="Arial" w:hAnsi="Arial"/>
          <w:sz w:val="16"/>
          <w:szCs w:val="16"/>
          <w:b w:val="1"/>
          <w:bCs w:val="1"/>
          <w:color w:val="auto"/>
        </w:rPr>
        <w:t>Operation and Use of the Vehicle</w:t>
      </w:r>
    </w:p>
    <w:p>
      <w:pPr>
        <w:spacing w:after="0" w:line="209" w:lineRule="exact"/>
        <w:rPr>
          <w:rFonts w:ascii="Arial" w:cs="Arial" w:eastAsia="Arial" w:hAnsi="Arial"/>
          <w:sz w:val="16"/>
          <w:szCs w:val="16"/>
          <w:color w:val="auto"/>
        </w:rPr>
      </w:pPr>
    </w:p>
    <w:p>
      <w:pPr>
        <w:ind w:left="721" w:hanging="438"/>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4.1. The Vehicle shall be the exclusive responsibility of Employee. Employee shall execute the Undertaking to Secure the Vehicle and Security Code in the form attached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hereto.</w:t>
      </w:r>
    </w:p>
    <w:p>
      <w:pPr>
        <w:spacing w:after="0" w:line="150" w:lineRule="exact"/>
        <w:rPr>
          <w:rFonts w:ascii="Arial" w:cs="Arial" w:eastAsia="Arial" w:hAnsi="Arial"/>
          <w:sz w:val="16"/>
          <w:szCs w:val="16"/>
          <w:color w:val="auto"/>
        </w:rPr>
      </w:pPr>
    </w:p>
    <w:p>
      <w:pPr>
        <w:ind w:left="721" w:hanging="438"/>
        <w:spacing w:after="0" w:line="263" w:lineRule="auto"/>
        <w:rPr>
          <w:rFonts w:ascii="Arial" w:cs="Arial" w:eastAsia="Arial" w:hAnsi="Arial"/>
          <w:sz w:val="16"/>
          <w:szCs w:val="16"/>
          <w:color w:val="auto"/>
        </w:rPr>
      </w:pPr>
      <w:r>
        <w:rPr>
          <w:rFonts w:ascii="Arial" w:cs="Arial" w:eastAsia="Arial" w:hAnsi="Arial"/>
          <w:sz w:val="16"/>
          <w:szCs w:val="16"/>
          <w:color w:val="auto"/>
        </w:rPr>
        <w:t>4.2. Employee undertakes to abide by any and all laws and regulations regarding the use of the Vehicle and to operate the vehicle in a cautious manner. Employee further undertakes to notify BioLine immediately if Employee’s license is revoked for any reason. Employee will take all appropriate measures to avoid loss of or damage to the Vehicle or to any third party, and shall at all times comply with the then current BioLine car policy. Employee also undertakes to follow any other limitation or requirement set by the terms of the Vehicle’s insurance policy.</w:t>
      </w:r>
    </w:p>
    <w:p>
      <w:pPr>
        <w:spacing w:after="0" w:line="167" w:lineRule="exact"/>
        <w:rPr>
          <w:rFonts w:ascii="Arial" w:cs="Arial" w:eastAsia="Arial" w:hAnsi="Arial"/>
          <w:sz w:val="16"/>
          <w:szCs w:val="16"/>
          <w:color w:val="auto"/>
        </w:rPr>
      </w:pPr>
    </w:p>
    <w:p>
      <w:pPr>
        <w:ind w:left="721" w:hanging="438"/>
        <w:spacing w:after="0" w:line="280" w:lineRule="auto"/>
        <w:rPr>
          <w:rFonts w:ascii="Arial" w:cs="Arial" w:eastAsia="Arial" w:hAnsi="Arial"/>
          <w:sz w:val="16"/>
          <w:szCs w:val="16"/>
          <w:color w:val="auto"/>
        </w:rPr>
      </w:pPr>
      <w:r>
        <w:rPr>
          <w:rFonts w:ascii="Arial" w:cs="Arial" w:eastAsia="Arial" w:hAnsi="Arial"/>
          <w:sz w:val="15"/>
          <w:szCs w:val="15"/>
          <w:color w:val="auto"/>
        </w:rPr>
        <w:t>4.3. Employee undertakes not to (a) transport more passengers or weight than are allowed by the insurance policy, (b) use the Vehicle for any purpose other than for work-related travel or for his/her own personal needs, (c) drive the Vehicle on unpaved roads or in places which are inappropriate for travel by a private vehicle, (d) take or drive the Vehicle to any areas which are outside the area of the State of Israel (including the Sinai Peninsula and the area of the Palestinian Authority), (e) use the Vehicle for towing, for pushing another vehicle or any other object, for competition, for racing, for testing stability or speed or for any other motor sport, (f) use the Vehicle for any illegal use, political purpose or in connection with any organization, strike or riot, or (g) leave the keys in the Vehicle while Employee is not in the Vehicle, or leave the Vehicle without activating the locking mechanism or other means of securing the Vehicle, even for a short time.</w:t>
      </w:r>
    </w:p>
    <w:p>
      <w:pPr>
        <w:spacing w:after="0" w:line="156" w:lineRule="exact"/>
        <w:rPr>
          <w:rFonts w:ascii="Arial" w:cs="Arial" w:eastAsia="Arial" w:hAnsi="Arial"/>
          <w:sz w:val="16"/>
          <w:szCs w:val="16"/>
          <w:color w:val="auto"/>
        </w:rPr>
      </w:pPr>
    </w:p>
    <w:p>
      <w:pPr>
        <w:ind w:left="721" w:hanging="438"/>
        <w:spacing w:after="0" w:line="289" w:lineRule="auto"/>
        <w:rPr>
          <w:rFonts w:ascii="Arial" w:cs="Arial" w:eastAsia="Arial" w:hAnsi="Arial"/>
          <w:sz w:val="16"/>
          <w:szCs w:val="16"/>
          <w:color w:val="auto"/>
        </w:rPr>
      </w:pPr>
      <w:r>
        <w:rPr>
          <w:rFonts w:ascii="Arial" w:cs="Arial" w:eastAsia="Arial" w:hAnsi="Arial"/>
          <w:sz w:val="15"/>
          <w:szCs w:val="15"/>
          <w:color w:val="auto"/>
        </w:rPr>
        <w:t>4.4. Employee will bear the cost of any expense or damage to the Vehicle or to a third party (a) arising from any breach of the terms and conditions of this Agreement or from negligent use of the Vehicle, or (b) for which the insurance policy does not compensate BioLine. In addition, if a prohibited use notice (</w:t>
      </w:r>
      <w:r>
        <w:rPr>
          <w:rFonts w:ascii="Arial" w:cs="Arial" w:eastAsia="Arial" w:hAnsi="Arial"/>
          <w:sz w:val="15"/>
          <w:szCs w:val="15"/>
          <w:color w:val="auto"/>
        </w:rPr>
        <w:t>תילהנימ התבשה</w:t>
      </w:r>
      <w:r>
        <w:rPr>
          <w:rFonts w:ascii="Arial" w:cs="Arial" w:eastAsia="Arial" w:hAnsi="Arial"/>
          <w:sz w:val="15"/>
          <w:szCs w:val="15"/>
          <w:color w:val="auto"/>
        </w:rPr>
        <w:t>) is imposed on the Vehicle, Employee shall fully cooperate with BioLine in order to release the Vehicle from impound, and shall not be entitled to receive a temporary vehicle during such period. Employee shall indemnify and hold BioLine harmless from any third party claims relating to the prohibited use notice (</w:t>
      </w:r>
      <w:r>
        <w:rPr>
          <w:rFonts w:ascii="Arial" w:cs="Arial" w:eastAsia="Arial" w:hAnsi="Arial"/>
          <w:sz w:val="15"/>
          <w:szCs w:val="15"/>
          <w:color w:val="auto"/>
        </w:rPr>
        <w:t>התבשה</w:t>
      </w:r>
      <w:r>
        <w:rPr>
          <w:rFonts w:ascii="Arial" w:cs="Arial" w:eastAsia="Arial" w:hAnsi="Arial"/>
          <w:sz w:val="15"/>
          <w:szCs w:val="15"/>
          <w:color w:val="auto"/>
        </w:rPr>
        <w:t xml:space="preserve"> </w:t>
      </w:r>
      <w:r>
        <w:rPr>
          <w:rFonts w:ascii="Arial" w:cs="Arial" w:eastAsia="Arial" w:hAnsi="Arial"/>
          <w:sz w:val="15"/>
          <w:szCs w:val="15"/>
          <w:color w:val="auto"/>
        </w:rPr>
        <w:t>תילהנימ</w:t>
      </w:r>
      <w:r>
        <w:rPr>
          <w:rFonts w:ascii="Arial" w:cs="Arial" w:eastAsia="Arial" w:hAnsi="Arial"/>
          <w:sz w:val="15"/>
          <w:szCs w:val="15"/>
          <w:color w:val="auto"/>
        </w:rPr>
        <w:t>), and will indemnify BioLine for any damages to the Vehicle, or any other damages which BioLine shall incur in connection thereof.</w:t>
      </w:r>
    </w:p>
    <w:p>
      <w:pPr>
        <w:spacing w:after="0" w:line="130" w:lineRule="exact"/>
        <w:rPr>
          <w:sz w:val="20"/>
          <w:szCs w:val="20"/>
          <w:color w:val="auto"/>
        </w:rPr>
      </w:pPr>
    </w:p>
    <w:p>
      <w:pPr>
        <w:jc w:val="both"/>
        <w:ind w:left="721" w:hanging="437"/>
        <w:spacing w:after="0" w:line="307" w:lineRule="auto"/>
        <w:tabs>
          <w:tab w:leader="none" w:pos="70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color w:val="auto"/>
        </w:rPr>
        <w:t>The persons who are authorized to drive the Vehicle in addition to Employee are the members of Employee’s immediate family (spouse and Employee’s children) or Employee’s ‘significant other’, for reasonable family use only; provided that each such driver must hold a valid drivers’ license. Notwithstanding the foregoing, Employee must request BioLine’s explicit consent with respect to any driver who is over the age of 75 or under the age of 23, or any driver who has not held a valid driver’s license for at least two years. Without BioLine’s written consent, the drivers specified in the preceding sentence are not authorized to drive the Vehicle and will not be covered by the insurance policy. All the terms set forth in this Agreement are deemed to be accepted by all persons who drive the Vehicle.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882" w:right="259" w:bottom="1440" w:gutter="0" w:footer="0" w:header="0"/>
        </w:sectPr>
      </w:pPr>
    </w:p>
    <w:bookmarkStart w:id="355" w:name="page356"/>
    <w:bookmarkEnd w:id="355"/>
    <w:p>
      <w:pPr>
        <w:ind w:left="301" w:hanging="301"/>
        <w:spacing w:after="0"/>
        <w:tabs>
          <w:tab w:leader="none" w:pos="301"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Care and Treatment of the Vehicle</w:t>
      </w:r>
    </w:p>
    <w:p>
      <w:pPr>
        <w:spacing w:after="0" w:line="209"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5.1.   Employee shall treat the Vehicle as if it was his/her own and shall ensure that the Vehicle remains in good condition.</w:t>
      </w:r>
    </w:p>
    <w:p>
      <w:pPr>
        <w:spacing w:after="0" w:line="205"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5.2.   Employee will notify BioLine and the police if the Vehicle is stolen as soon as he/she becomes aware of the theft.</w:t>
      </w:r>
    </w:p>
    <w:p>
      <w:pPr>
        <w:spacing w:after="0" w:line="205" w:lineRule="exact"/>
        <w:rPr>
          <w:rFonts w:ascii="Arial" w:cs="Arial" w:eastAsia="Arial" w:hAnsi="Arial"/>
          <w:sz w:val="16"/>
          <w:szCs w:val="16"/>
          <w:color w:val="auto"/>
        </w:rPr>
      </w:pPr>
    </w:p>
    <w:p>
      <w:pPr>
        <w:ind w:left="721" w:hanging="438"/>
        <w:spacing w:after="0" w:line="263" w:lineRule="auto"/>
        <w:rPr>
          <w:rFonts w:ascii="Arial" w:cs="Arial" w:eastAsia="Arial" w:hAnsi="Arial"/>
          <w:sz w:val="16"/>
          <w:szCs w:val="16"/>
          <w:color w:val="auto"/>
        </w:rPr>
      </w:pPr>
      <w:r>
        <w:rPr>
          <w:rFonts w:ascii="Arial" w:cs="Arial" w:eastAsia="Arial" w:hAnsi="Arial"/>
          <w:sz w:val="16"/>
          <w:szCs w:val="16"/>
          <w:color w:val="auto"/>
        </w:rPr>
        <w:t>5.3. Employee will notify BioLine or the person nominated by it of any damage or malfunction of the Vehicle, as soon as he/she becomes aware of the damage or malfunction, and will ensure that any required repairs are made. Employee will also notify BioLine or the person nominated by it of the regularly scheduled maintenance dates of the vehicle. All care, maintenance and repairs to the Vehicle will be made only by the leasing company at its expense, unless Employee is specifically notified otherwise.</w:t>
      </w:r>
    </w:p>
    <w:p>
      <w:pPr>
        <w:spacing w:after="0" w:line="167" w:lineRule="exact"/>
        <w:rPr>
          <w:rFonts w:ascii="Arial" w:cs="Arial" w:eastAsia="Arial" w:hAnsi="Arial"/>
          <w:sz w:val="16"/>
          <w:szCs w:val="16"/>
          <w:color w:val="auto"/>
        </w:rPr>
      </w:pPr>
    </w:p>
    <w:p>
      <w:pPr>
        <w:ind w:left="721" w:hanging="438"/>
        <w:spacing w:after="0" w:line="282" w:lineRule="auto"/>
        <w:rPr>
          <w:rFonts w:ascii="Arial" w:cs="Arial" w:eastAsia="Arial" w:hAnsi="Arial"/>
          <w:sz w:val="16"/>
          <w:szCs w:val="16"/>
          <w:color w:val="auto"/>
        </w:rPr>
      </w:pPr>
      <w:r>
        <w:rPr>
          <w:rFonts w:ascii="Arial" w:cs="Arial" w:eastAsia="Arial" w:hAnsi="Arial"/>
          <w:sz w:val="15"/>
          <w:szCs w:val="15"/>
          <w:color w:val="auto"/>
        </w:rPr>
        <w:t>5.4. Employee acknowledges that he/she may not make any alterations to the Vehicle’s interior or exterior, nor install any accessories in the Vehicle, including, without limitation, a car stereo or cellular speakerphone (</w:t>
      </w:r>
      <w:r>
        <w:rPr>
          <w:rFonts w:ascii="Arial" w:cs="Arial" w:eastAsia="Arial" w:hAnsi="Arial"/>
          <w:sz w:val="15"/>
          <w:szCs w:val="15"/>
          <w:color w:val="auto"/>
        </w:rPr>
        <w:t>תירוביד</w:t>
      </w:r>
      <w:r>
        <w:rPr>
          <w:rFonts w:ascii="Arial" w:cs="Arial" w:eastAsia="Arial" w:hAnsi="Arial"/>
          <w:sz w:val="15"/>
          <w:szCs w:val="15"/>
          <w:color w:val="auto"/>
        </w:rPr>
        <w:t xml:space="preserve">) without the prior written consent of BioLine. The cost of installing a cellular speakerphone shall be borne by BioLine,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Employee is responsible for making the necessary arrangements for the installation of the cellular speakerphone. In addition, Employee acknowledges and undertakes not to add any sticker, sign or other visible notice on the Vehicle, whether including political statements or otherwise. Employee acknowledges that BioLine may, at its discretion require that the Vehicle bear BioLine’s logo.</w:t>
      </w:r>
    </w:p>
    <w:p>
      <w:pPr>
        <w:spacing w:after="0" w:line="125"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5"/>
          <w:szCs w:val="15"/>
          <w:color w:val="auto"/>
        </w:rPr>
        <w:t>5.5.   If an electronic device for measurement of gas (</w:t>
      </w:r>
      <w:r>
        <w:rPr>
          <w:rFonts w:ascii="Arial" w:cs="Arial" w:eastAsia="Arial" w:hAnsi="Arial"/>
          <w:sz w:val="15"/>
          <w:szCs w:val="15"/>
          <w:color w:val="auto"/>
        </w:rPr>
        <w:t>טמוזפ</w:t>
      </w:r>
      <w:r>
        <w:rPr>
          <w:rFonts w:ascii="Arial" w:cs="Arial" w:eastAsia="Arial" w:hAnsi="Arial"/>
          <w:sz w:val="15"/>
          <w:szCs w:val="15"/>
          <w:color w:val="auto"/>
        </w:rPr>
        <w:t>) is installed, Employee shall, to the extent possible, refuel only in the gas stations supporting the device.</w:t>
      </w:r>
    </w:p>
    <w:p>
      <w:pPr>
        <w:spacing w:after="0" w:line="247" w:lineRule="exact"/>
        <w:rPr>
          <w:rFonts w:ascii="Arial" w:cs="Arial" w:eastAsia="Arial" w:hAnsi="Arial"/>
          <w:sz w:val="16"/>
          <w:szCs w:val="16"/>
          <w:color w:val="auto"/>
        </w:rPr>
      </w:pPr>
    </w:p>
    <w:p>
      <w:pPr>
        <w:ind w:left="721" w:hanging="438"/>
        <w:spacing w:after="0" w:line="280" w:lineRule="auto"/>
        <w:rPr>
          <w:rFonts w:ascii="Arial" w:cs="Arial" w:eastAsia="Arial" w:hAnsi="Arial"/>
          <w:sz w:val="16"/>
          <w:szCs w:val="16"/>
          <w:color w:val="auto"/>
        </w:rPr>
      </w:pPr>
      <w:r>
        <w:rPr>
          <w:rFonts w:ascii="Arial" w:cs="Arial" w:eastAsia="Arial" w:hAnsi="Arial"/>
          <w:sz w:val="15"/>
          <w:szCs w:val="15"/>
          <w:color w:val="auto"/>
        </w:rPr>
        <w:t>5.6. In the event of an accident, Employee: (a) will immediately notify both BioLine and the leasing company and will forward to them details of the accident in writing; (b) will immediately notify the police and other authorities, to the extent required by law; (c) will not admit or confess to any guilt or responsibility therefor or provide any information not required by law, nor will accept or propose any offers, payments, arrangements or any other obligations in connection with the accident; (d) will file an accident report provided by BioLine and will include all details including the names, addresses, licenses and insurers of all the parties involved, and the license plate numbers of all of the vehicles involved, whether or not any damage was caused to the Vehicle, (e) will not leave the Vehicle at the scene without appropriate cautionary measures, and (f) will notify BioLine and the leasing company of any summons received to appear before a court.</w:t>
      </w:r>
    </w:p>
    <w:p>
      <w:pPr>
        <w:spacing w:after="0" w:line="156" w:lineRule="exact"/>
        <w:rPr>
          <w:rFonts w:ascii="Arial" w:cs="Arial" w:eastAsia="Arial" w:hAnsi="Arial"/>
          <w:sz w:val="16"/>
          <w:szCs w:val="16"/>
          <w:color w:val="auto"/>
        </w:rPr>
      </w:pPr>
    </w:p>
    <w:p>
      <w:pPr>
        <w:ind w:left="721" w:hanging="438"/>
        <w:spacing w:after="0" w:line="263" w:lineRule="auto"/>
        <w:rPr>
          <w:rFonts w:ascii="Arial" w:cs="Arial" w:eastAsia="Arial" w:hAnsi="Arial"/>
          <w:sz w:val="16"/>
          <w:szCs w:val="16"/>
          <w:color w:val="auto"/>
        </w:rPr>
      </w:pPr>
      <w:r>
        <w:rPr>
          <w:rFonts w:ascii="Arial" w:cs="Arial" w:eastAsia="Arial" w:hAnsi="Arial"/>
          <w:sz w:val="16"/>
          <w:szCs w:val="16"/>
          <w:color w:val="auto"/>
        </w:rPr>
        <w:t>5.7. In the event of a flat tire, Employee (i) shall change the tire to the spare tire, and notify BioLine, in according with BioLine’s car policy; (ii) shall be responsible to repair the flat tire as soon as possible, and in no event after traveling more than eighty (80) Kilometers with the spare tire, due to safety restrictions, and if a new tire is required, Employee shall obtain the approval of the HR department prior to the purchase of a new tire. Employee will be reimbursed for the repair in accordance with BioLine’s procedures for reimbursement of expenses.</w:t>
      </w:r>
    </w:p>
    <w:p>
      <w:pPr>
        <w:spacing w:after="0" w:line="163" w:lineRule="exact"/>
        <w:rPr>
          <w:rFonts w:ascii="Arial" w:cs="Arial" w:eastAsia="Arial" w:hAnsi="Arial"/>
          <w:sz w:val="16"/>
          <w:szCs w:val="16"/>
          <w:color w:val="auto"/>
        </w:rPr>
      </w:pPr>
    </w:p>
    <w:p>
      <w:pPr>
        <w:ind w:left="301" w:hanging="301"/>
        <w:spacing w:after="0"/>
        <w:tabs>
          <w:tab w:leader="none" w:pos="301" w:val="left"/>
        </w:tabs>
        <w:numPr>
          <w:ilvl w:val="0"/>
          <w:numId w:val="318"/>
        </w:numPr>
        <w:rPr>
          <w:rFonts w:ascii="Arial" w:cs="Arial" w:eastAsia="Arial" w:hAnsi="Arial"/>
          <w:sz w:val="16"/>
          <w:szCs w:val="16"/>
          <w:color w:val="auto"/>
        </w:rPr>
      </w:pPr>
      <w:r>
        <w:rPr>
          <w:rFonts w:ascii="Arial" w:cs="Arial" w:eastAsia="Arial" w:hAnsi="Arial"/>
          <w:sz w:val="16"/>
          <w:szCs w:val="16"/>
          <w:b w:val="1"/>
          <w:bCs w:val="1"/>
          <w:color w:val="auto"/>
        </w:rPr>
        <w:t>Return of the Vehicle</w:t>
      </w:r>
    </w:p>
    <w:p>
      <w:pPr>
        <w:spacing w:after="0" w:line="209" w:lineRule="exact"/>
        <w:rPr>
          <w:rFonts w:ascii="Arial" w:cs="Arial" w:eastAsia="Arial" w:hAnsi="Arial"/>
          <w:sz w:val="16"/>
          <w:szCs w:val="16"/>
          <w:color w:val="auto"/>
        </w:rPr>
      </w:pPr>
    </w:p>
    <w:p>
      <w:pPr>
        <w:ind w:left="721" w:hanging="438"/>
        <w:spacing w:after="0" w:line="324" w:lineRule="auto"/>
        <w:rPr>
          <w:rFonts w:ascii="Arial" w:cs="Arial" w:eastAsia="Arial" w:hAnsi="Arial"/>
          <w:sz w:val="16"/>
          <w:szCs w:val="16"/>
          <w:color w:val="auto"/>
        </w:rPr>
      </w:pPr>
      <w:r>
        <w:rPr>
          <w:rFonts w:ascii="Arial" w:cs="Arial" w:eastAsia="Arial" w:hAnsi="Arial"/>
          <w:sz w:val="14"/>
          <w:szCs w:val="14"/>
          <w:color w:val="auto"/>
        </w:rPr>
        <w:t>6.1. Upon the termination of his/her employment with BioLine for any reason, Employee shall return the Vehicle to BioLine in working order and in good condition, subject only to wear and tear resulting from careful and reasonable use of the Vehicle. Employee shall return the Vehicle together with the car keys and any duplicates thereof provided to Employee, licenses and all other documents, and the Vehicle shall empty and without any object whatsoever belonging to Employee.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4979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401"/>
          </w:cols>
          <w:pgMar w:left="239" w:top="878" w:right="259" w:bottom="1440" w:gutter="0" w:footer="0" w:header="0"/>
        </w:sectPr>
      </w:pPr>
    </w:p>
    <w:bookmarkStart w:id="356" w:name="page357"/>
    <w:bookmarkEnd w:id="356"/>
    <w:p>
      <w:pPr>
        <w:jc w:val="both"/>
        <w:ind w:left="721" w:right="20" w:hanging="437"/>
        <w:spacing w:after="0" w:line="283" w:lineRule="auto"/>
        <w:tabs>
          <w:tab w:leader="none" w:pos="7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6.2.</w:t>
        <w:tab/>
        <w:t>It is hereby clarified, that in no event shall Employee place a lien on the Vehicle (in connection with any alleged debt or obligation of BioLine towards Employee, or for any other reason).</w:t>
      </w:r>
    </w:p>
    <w:p>
      <w:pPr>
        <w:spacing w:after="0" w:line="151" w:lineRule="exact"/>
        <w:rPr>
          <w:sz w:val="20"/>
          <w:szCs w:val="20"/>
          <w:color w:val="auto"/>
        </w:rPr>
      </w:pPr>
    </w:p>
    <w:p>
      <w:pPr>
        <w:jc w:val="both"/>
        <w:ind w:left="721" w:right="20" w:hanging="437"/>
        <w:spacing w:after="0" w:line="280" w:lineRule="auto"/>
        <w:tabs>
          <w:tab w:leader="none" w:pos="70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5"/>
          <w:szCs w:val="15"/>
          <w:color w:val="auto"/>
        </w:rPr>
        <w:t xml:space="preserve">If, prior to the expiration of the Term, Employee voluntarily terminates his/her employment or BioLine terminates Employee’s employment for Cause (as such term is defined in the Employment Agreement), Employee shall reimburse BioLine for any charges or penalties BioLine may suffer due to the early termination of the lease for the Vehicle;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amount of such penalty shall not exceed (i) the Lease Payment multiplied by three (3) in the event of termination prior to the first anniversary of the Effective Date, (ii) the Lease Payment multiplied by two (2) in the event of termination following the first anniversary of the Effective Date, and prior to the second anniversary of the Effective Date, and (iii) one Lease Payment in the event of termination following the second anniversary of the Effective Date, and prior to the third anniversary of the Effective Date. Such funds will be withheld from Employee’s salary.</w:t>
      </w:r>
    </w:p>
    <w:p>
      <w:pPr>
        <w:spacing w:after="0" w:line="156" w:lineRule="exact"/>
        <w:rPr>
          <w:sz w:val="20"/>
          <w:szCs w:val="20"/>
          <w:color w:val="auto"/>
        </w:rPr>
      </w:pPr>
    </w:p>
    <w:p>
      <w:pPr>
        <w:ind w:left="301"/>
        <w:spacing w:after="0"/>
        <w:tabs>
          <w:tab w:leader="none" w:pos="70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4"/>
          <w:szCs w:val="14"/>
          <w:color w:val="auto"/>
        </w:rPr>
        <w:t>Employee shall not be entitled to use a Company Car during unpaid leaves or absences, unless specifically approved by BioLine in writing.</w:t>
      </w:r>
    </w:p>
    <w:p>
      <w:pPr>
        <w:spacing w:after="0" w:line="202" w:lineRule="exact"/>
        <w:rPr>
          <w:sz w:val="20"/>
          <w:szCs w:val="20"/>
          <w:color w:val="auto"/>
        </w:rPr>
      </w:pPr>
    </w:p>
    <w:p>
      <w:pPr>
        <w:ind w:left="301" w:hanging="301"/>
        <w:spacing w:after="0"/>
        <w:tabs>
          <w:tab w:leader="none" w:pos="301" w:val="left"/>
        </w:tabs>
        <w:numPr>
          <w:ilvl w:val="0"/>
          <w:numId w:val="319"/>
        </w:numPr>
        <w:rPr>
          <w:rFonts w:ascii="Arial" w:cs="Arial" w:eastAsia="Arial" w:hAnsi="Arial"/>
          <w:sz w:val="16"/>
          <w:szCs w:val="16"/>
          <w:color w:val="auto"/>
        </w:rPr>
      </w:pPr>
      <w:r>
        <w:rPr>
          <w:rFonts w:ascii="Arial" w:cs="Arial" w:eastAsia="Arial" w:hAnsi="Arial"/>
          <w:sz w:val="16"/>
          <w:szCs w:val="16"/>
          <w:b w:val="1"/>
          <w:bCs w:val="1"/>
          <w:color w:val="auto"/>
        </w:rPr>
        <w:t>General</w:t>
      </w:r>
    </w:p>
    <w:p>
      <w:pPr>
        <w:spacing w:after="0" w:line="209" w:lineRule="exact"/>
        <w:rPr>
          <w:rFonts w:ascii="Arial" w:cs="Arial" w:eastAsia="Arial" w:hAnsi="Arial"/>
          <w:sz w:val="16"/>
          <w:szCs w:val="16"/>
          <w:color w:val="auto"/>
        </w:rPr>
      </w:pPr>
    </w:p>
    <w:p>
      <w:pPr>
        <w:ind w:left="721" w:right="20" w:hanging="438"/>
        <w:spacing w:after="0" w:line="283" w:lineRule="auto"/>
        <w:rPr>
          <w:rFonts w:ascii="Arial" w:cs="Arial" w:eastAsia="Arial" w:hAnsi="Arial"/>
          <w:sz w:val="16"/>
          <w:szCs w:val="16"/>
          <w:color w:val="auto"/>
        </w:rPr>
      </w:pPr>
      <w:r>
        <w:rPr>
          <w:rFonts w:ascii="Arial" w:cs="Arial" w:eastAsia="Arial" w:hAnsi="Arial"/>
          <w:sz w:val="16"/>
          <w:szCs w:val="16"/>
          <w:color w:val="auto"/>
        </w:rPr>
        <w:t>7.1. Employee confirms that he/she understands that any breach of or deviation from the terms of this Agreement will cause insurance coverage to be denied, and that any damage caused by such breach or deviation will be borne by Employee personally.</w:t>
      </w:r>
    </w:p>
    <w:p>
      <w:pPr>
        <w:spacing w:after="0" w:line="150"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7.2.   Employee confirms and acknowledges that Employee’s obligations hereunder shall apply to any replacement vehicle provided to Employee.</w:t>
      </w:r>
    </w:p>
    <w:p>
      <w:pPr>
        <w:spacing w:after="0" w:line="205"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7.3.   Employee acknowledges and agrees that the procedures set forth herein may be changed from time to time by BioLine, in its sole discretion.</w:t>
      </w:r>
    </w:p>
    <w:p>
      <w:pPr>
        <w:spacing w:after="0" w:line="205" w:lineRule="exact"/>
        <w:rPr>
          <w:rFonts w:ascii="Arial" w:cs="Arial" w:eastAsia="Arial" w:hAnsi="Arial"/>
          <w:sz w:val="16"/>
          <w:szCs w:val="16"/>
          <w:color w:val="auto"/>
        </w:rPr>
      </w:pPr>
    </w:p>
    <w:p>
      <w:pPr>
        <w:ind w:left="721" w:right="20" w:hanging="438"/>
        <w:spacing w:after="0" w:line="283" w:lineRule="auto"/>
        <w:rPr>
          <w:rFonts w:ascii="Arial" w:cs="Arial" w:eastAsia="Arial" w:hAnsi="Arial"/>
          <w:sz w:val="16"/>
          <w:szCs w:val="16"/>
          <w:color w:val="auto"/>
        </w:rPr>
      </w:pPr>
      <w:r>
        <w:rPr>
          <w:rFonts w:ascii="Arial" w:cs="Arial" w:eastAsia="Arial" w:hAnsi="Arial"/>
          <w:sz w:val="16"/>
          <w:szCs w:val="16"/>
          <w:color w:val="auto"/>
        </w:rPr>
        <w:t>7.4. For the avoidance of doubt, nothing herein shall obligate BioLine to employ Employee or to continue Employee’s employment with BioLine, or derogate in any way from BioLine’s right to terminate Employee’s employment.</w:t>
      </w:r>
    </w:p>
    <w:p>
      <w:pPr>
        <w:spacing w:after="0" w:line="151" w:lineRule="exact"/>
        <w:rPr>
          <w:sz w:val="20"/>
          <w:szCs w:val="20"/>
          <w:color w:val="auto"/>
        </w:rPr>
      </w:pPr>
    </w:p>
    <w:p>
      <w:pPr>
        <w:ind w:left="721" w:right="20" w:hanging="437"/>
        <w:spacing w:after="0" w:line="283" w:lineRule="auto"/>
        <w:tabs>
          <w:tab w:leader="none" w:pos="700" w:val="left"/>
        </w:tabs>
        <w:rPr>
          <w:sz w:val="20"/>
          <w:szCs w:val="20"/>
          <w:color w:val="auto"/>
        </w:rPr>
      </w:pPr>
      <w:r>
        <w:rPr>
          <w:rFonts w:ascii="Arial" w:cs="Arial" w:eastAsia="Arial" w:hAnsi="Arial"/>
          <w:sz w:val="16"/>
          <w:szCs w:val="16"/>
          <w:color w:val="auto"/>
        </w:rPr>
        <w:t>7.5.</w:t>
        <w:tab/>
        <w:t>This Agreement constitutes the entire agreement and understanding between the parties with respect to the subject matter hereof, and supersedes all prior written or oral agreements with respect thereto. This Agreement may be assigned by BioLine; Employee may not assign this Agreement.</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WITNESS WHEREOF, the parties have executed this Agreement as of the date first set forth above.</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191"/>
        </w:trPr>
        <w:tc>
          <w:tcPr>
            <w:tcW w:w="4240" w:type="dxa"/>
            <w:vAlign w:val="bottom"/>
          </w:tcPr>
          <w:p>
            <w:pPr>
              <w:spacing w:after="0"/>
              <w:rPr>
                <w:sz w:val="20"/>
                <w:szCs w:val="20"/>
                <w:color w:val="auto"/>
              </w:rPr>
            </w:pPr>
            <w:r>
              <w:rPr>
                <w:rFonts w:ascii="Arial" w:cs="Arial" w:eastAsia="Arial" w:hAnsi="Arial"/>
                <w:sz w:val="16"/>
                <w:szCs w:val="16"/>
                <w:color w:val="auto"/>
              </w:rPr>
              <w:t>________________________</w:t>
            </w:r>
          </w:p>
        </w:tc>
        <w:tc>
          <w:tcPr>
            <w:tcW w:w="7180" w:type="dxa"/>
            <w:vAlign w:val="bottom"/>
          </w:tcPr>
          <w:p>
            <w:pPr>
              <w:ind w:left="1460"/>
              <w:spacing w:after="0"/>
              <w:rPr>
                <w:sz w:val="20"/>
                <w:szCs w:val="20"/>
                <w:color w:val="auto"/>
              </w:rPr>
            </w:pPr>
            <w:r>
              <w:rPr>
                <w:rFonts w:ascii="Arial" w:cs="Arial" w:eastAsia="Arial" w:hAnsi="Arial"/>
                <w:sz w:val="16"/>
                <w:szCs w:val="16"/>
                <w:color w:val="auto"/>
              </w:rPr>
              <w:t>________________________</w:t>
            </w:r>
          </w:p>
        </w:tc>
      </w:tr>
      <w:tr>
        <w:trPr>
          <w:trHeight w:val="199"/>
        </w:trPr>
        <w:tc>
          <w:tcPr>
            <w:tcW w:w="4240" w:type="dxa"/>
            <w:vAlign w:val="bottom"/>
          </w:tcPr>
          <w:p>
            <w:pPr>
              <w:spacing w:after="0"/>
              <w:rPr>
                <w:sz w:val="20"/>
                <w:szCs w:val="20"/>
                <w:color w:val="auto"/>
              </w:rPr>
            </w:pPr>
            <w:r>
              <w:rPr>
                <w:rFonts w:ascii="Arial" w:cs="Arial" w:eastAsia="Arial" w:hAnsi="Arial"/>
                <w:sz w:val="16"/>
                <w:szCs w:val="16"/>
                <w:b w:val="1"/>
                <w:bCs w:val="1"/>
                <w:color w:val="auto"/>
              </w:rPr>
              <w:t>BioLineRx Ltd.</w:t>
            </w:r>
          </w:p>
        </w:tc>
        <w:tc>
          <w:tcPr>
            <w:tcW w:w="7180" w:type="dxa"/>
            <w:vAlign w:val="bottom"/>
          </w:tcPr>
          <w:p>
            <w:pPr>
              <w:ind w:left="1460"/>
              <w:spacing w:after="0"/>
              <w:rPr>
                <w:sz w:val="20"/>
                <w:szCs w:val="20"/>
                <w:color w:val="auto"/>
              </w:rPr>
            </w:pPr>
            <w:r>
              <w:rPr>
                <w:rFonts w:ascii="Arial" w:cs="Arial" w:eastAsia="Arial" w:hAnsi="Arial"/>
                <w:sz w:val="16"/>
                <w:szCs w:val="16"/>
                <w:b w:val="1"/>
                <w:bCs w:val="1"/>
                <w:color w:val="auto"/>
              </w:rPr>
              <w:t>Employee</w:t>
            </w:r>
          </w:p>
        </w:tc>
      </w:tr>
      <w:tr>
        <w:trPr>
          <w:trHeight w:val="195"/>
        </w:trPr>
        <w:tc>
          <w:tcPr>
            <w:tcW w:w="4240" w:type="dxa"/>
            <w:vAlign w:val="bottom"/>
          </w:tcPr>
          <w:p>
            <w:pPr>
              <w:spacing w:after="0"/>
              <w:rPr>
                <w:sz w:val="20"/>
                <w:szCs w:val="20"/>
                <w:color w:val="auto"/>
              </w:rPr>
            </w:pPr>
            <w:r>
              <w:rPr>
                <w:rFonts w:ascii="Arial" w:cs="Arial" w:eastAsia="Arial" w:hAnsi="Arial"/>
                <w:sz w:val="16"/>
                <w:szCs w:val="16"/>
                <w:color w:val="auto"/>
              </w:rPr>
              <w:t>By: Philip Serlin</w:t>
            </w:r>
          </w:p>
        </w:tc>
        <w:tc>
          <w:tcPr>
            <w:tcW w:w="7180" w:type="dxa"/>
            <w:vAlign w:val="bottom"/>
          </w:tcPr>
          <w:p>
            <w:pPr>
              <w:ind w:left="1460"/>
              <w:spacing w:after="0"/>
              <w:rPr>
                <w:sz w:val="20"/>
                <w:szCs w:val="20"/>
                <w:color w:val="auto"/>
              </w:rPr>
            </w:pPr>
            <w:r>
              <w:rPr>
                <w:rFonts w:ascii="Arial" w:cs="Arial" w:eastAsia="Arial" w:hAnsi="Arial"/>
                <w:sz w:val="16"/>
                <w:szCs w:val="16"/>
                <w:color w:val="auto"/>
              </w:rPr>
              <w:t>Name:</w:t>
            </w:r>
          </w:p>
        </w:tc>
      </w:tr>
      <w:tr>
        <w:trPr>
          <w:trHeight w:val="207"/>
        </w:trPr>
        <w:tc>
          <w:tcPr>
            <w:tcW w:w="4240" w:type="dxa"/>
            <w:vAlign w:val="bottom"/>
          </w:tcPr>
          <w:p>
            <w:pPr>
              <w:spacing w:after="0"/>
              <w:rPr>
                <w:sz w:val="20"/>
                <w:szCs w:val="20"/>
                <w:color w:val="auto"/>
              </w:rPr>
            </w:pPr>
            <w:r>
              <w:rPr>
                <w:rFonts w:ascii="Arial" w:cs="Arial" w:eastAsia="Arial" w:hAnsi="Arial"/>
                <w:sz w:val="16"/>
                <w:szCs w:val="16"/>
                <w:color w:val="auto"/>
              </w:rPr>
              <w:t>Title: Chief Financial and Operating Officer</w:t>
            </w:r>
          </w:p>
        </w:tc>
        <w:tc>
          <w:tcPr>
            <w:tcW w:w="7180" w:type="dxa"/>
            <w:vAlign w:val="bottom"/>
          </w:tcPr>
          <w:p>
            <w:pPr>
              <w:ind w:left="1460"/>
              <w:spacing w:after="0"/>
              <w:rPr>
                <w:sz w:val="20"/>
                <w:szCs w:val="20"/>
                <w:color w:val="auto"/>
              </w:rPr>
            </w:pPr>
            <w:r>
              <w:rPr>
                <w:rFonts w:ascii="Arial" w:cs="Arial" w:eastAsia="Arial" w:hAnsi="Arial"/>
                <w:sz w:val="16"/>
                <w:szCs w:val="16"/>
                <w:color w:val="auto"/>
              </w:rPr>
              <w:t>Date:</w:t>
            </w:r>
          </w:p>
        </w:tc>
      </w:tr>
      <w:tr>
        <w:trPr>
          <w:trHeight w:val="390"/>
        </w:trPr>
        <w:tc>
          <w:tcPr>
            <w:tcW w:w="424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Arial" w:cs="Arial" w:eastAsia="Arial" w:hAnsi="Arial"/>
                <w:sz w:val="16"/>
                <w:szCs w:val="16"/>
                <w:color w:val="auto"/>
              </w:rPr>
              <w:t>49</w:t>
            </w:r>
          </w:p>
        </w:tc>
      </w:tr>
      <w:tr>
        <w:trPr>
          <w:trHeight w:val="106"/>
        </w:trPr>
        <w:tc>
          <w:tcPr>
            <w:tcW w:w="4240" w:type="dxa"/>
            <w:vAlign w:val="bottom"/>
            <w:tcBorders>
              <w:bottom w:val="single" w:sz="8" w:color="808080"/>
            </w:tcBorders>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7233285</wp:posOffset>
            </wp:positionH>
            <wp:positionV relativeFrom="paragraph">
              <wp:posOffset>-27305</wp:posOffset>
            </wp:positionV>
            <wp:extent cx="12700"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12700"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21"/>
          </w:cols>
          <w:pgMar w:left="239" w:top="882" w:right="239" w:bottom="1440" w:gutter="0" w:footer="0" w:header="0"/>
        </w:sectPr>
      </w:pPr>
    </w:p>
    <w:bookmarkStart w:id="357" w:name="page358"/>
    <w:bookmarkEnd w:id="357"/>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A</w:t>
      </w:r>
    </w:p>
    <w:p>
      <w:pPr>
        <w:spacing w:after="0" w:line="206" w:lineRule="exact"/>
        <w:rPr>
          <w:sz w:val="20"/>
          <w:szCs w:val="20"/>
          <w:color w:val="auto"/>
        </w:rPr>
      </w:pPr>
    </w:p>
    <w:p>
      <w:pPr>
        <w:jc w:val="right"/>
        <w:ind w:right="3759"/>
        <w:spacing w:after="0"/>
        <w:rPr>
          <w:sz w:val="20"/>
          <w:szCs w:val="20"/>
          <w:color w:val="auto"/>
        </w:rPr>
      </w:pPr>
      <w:r>
        <w:rPr>
          <w:rFonts w:ascii="Arial" w:cs="Arial" w:eastAsia="Arial" w:hAnsi="Arial"/>
          <w:sz w:val="16"/>
          <w:szCs w:val="16"/>
          <w:b w:val="1"/>
          <w:bCs w:val="1"/>
          <w:color w:val="auto"/>
        </w:rPr>
        <w:t>Vehicle Specifications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Employee</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 Number: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Details</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No</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Make</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Model</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Color</w:t>
      </w:r>
      <w:r>
        <w:rPr>
          <w:rFonts w:ascii="Arial" w:cs="Arial" w:eastAsia="Arial" w:hAnsi="Arial"/>
          <w:sz w:val="16"/>
          <w:szCs w:val="16"/>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Accessories</w:t>
      </w:r>
      <w:r>
        <w:rPr>
          <w:rFonts w:ascii="Arial" w:cs="Arial" w:eastAsia="Arial" w:hAnsi="Arial"/>
          <w:sz w:val="16"/>
          <w:szCs w:val="16"/>
          <w:color w:val="auto"/>
        </w:rPr>
        <w:t>: Radio Disk+ Pazomat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Limit (monthly)</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Mileage Limit (annual)</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Payment for extra mileage up to Click here to enter text. Kilometers: NIS 0.12 per km.</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Payment for extra mileage over Click here to enter text. Kilometers: NIS 0.4 per km.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Temporary Vehicle details</w:t>
      </w:r>
      <w:r>
        <w:rPr>
          <w:rFonts w:ascii="Arial" w:cs="Arial" w:eastAsia="Arial" w:hAnsi="Arial"/>
          <w:sz w:val="16"/>
          <w:szCs w:val="16"/>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Model</w:t>
      </w:r>
      <w:r>
        <w:rPr>
          <w:rFonts w:ascii="Arial" w:cs="Arial" w:eastAsia="Arial" w:hAnsi="Arial"/>
          <w:sz w:val="16"/>
          <w:szCs w:val="16"/>
          <w:color w:val="auto"/>
        </w:rPr>
        <w:t>: Similar</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w:t>
      </w:r>
      <w:r>
        <w:rPr>
          <w:rFonts w:ascii="Arial" w:cs="Arial" w:eastAsia="Arial" w:hAnsi="Arial"/>
          <w:sz w:val="16"/>
          <w:szCs w:val="16"/>
          <w:color w:val="auto"/>
        </w:rPr>
        <w:t>: End of working day.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Deductible</w:t>
      </w:r>
      <w:r>
        <w:rPr>
          <w:rFonts w:ascii="Arial" w:cs="Arial" w:eastAsia="Arial" w:hAnsi="Arial"/>
          <w:sz w:val="16"/>
          <w:szCs w:val="16"/>
          <w:color w:val="auto"/>
        </w:rPr>
        <w:t>: 800 NIS</w:t>
      </w: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0219"/>
          </w:cols>
          <w:pgMar w:left="240" w:top="878" w:right="1440" w:bottom="1440" w:gutter="0" w:footer="0" w:header="0"/>
        </w:sectPr>
      </w:pPr>
    </w:p>
    <w:bookmarkStart w:id="358" w:name="page359"/>
    <w:bookmarkEnd w:id="358"/>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B</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Vehicle Receipt Form</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Employee</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 Number</w:t>
      </w:r>
      <w:r>
        <w:rPr>
          <w:rFonts w:ascii="Arial" w:cs="Arial" w:eastAsia="Arial" w:hAnsi="Arial"/>
          <w:sz w:val="16"/>
          <w:szCs w:val="16"/>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Vehicle Model: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Registration No.:</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Mileage on date of receipt (in kilometers):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 hereby confirm the receipt of the said vehicle, together with the following accessories:</w:t>
      </w:r>
    </w:p>
    <w:p>
      <w:pPr>
        <w:spacing w:after="0" w:line="206" w:lineRule="exact"/>
        <w:rPr>
          <w:sz w:val="20"/>
          <w:szCs w:val="20"/>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Valid License;</w:t>
      </w:r>
    </w:p>
    <w:p>
      <w:pPr>
        <w:spacing w:after="0" w:line="22"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Valid Insurance Certificate;</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Vehicle Manual;</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Maintenance Manual;</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Car Jack;</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Tire Wrench;</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Spare Tire;</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Car Key + other Security Measures;</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Triangle Warning Sign;</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Dustbin; and</w:t>
      </w:r>
    </w:p>
    <w:p>
      <w:pPr>
        <w:spacing w:after="0" w:line="10" w:lineRule="exact"/>
        <w:rPr>
          <w:rFonts w:ascii="Arial" w:cs="Arial" w:eastAsia="Arial" w:hAnsi="Arial"/>
          <w:sz w:val="16"/>
          <w:szCs w:val="16"/>
          <w:color w:val="auto"/>
        </w:rPr>
      </w:pPr>
    </w:p>
    <w:p>
      <w:pPr>
        <w:ind w:left="580" w:hanging="289"/>
        <w:spacing w:after="0"/>
        <w:tabs>
          <w:tab w:leader="none" w:pos="5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Sound System (Radio and Disk).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Additional Accessories: Click here to enter text.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Routine vehicle maintenance shall be carried out every 15,000 kilometers.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Comments: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____________________________________________________________________________________________________________________________________________</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Employee Signature: _____________________________</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24979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11360"/>
          </w:cols>
          <w:pgMar w:left="240" w:top="878" w:right="29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Confirmation and Assignment Deed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[deleted]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66675</wp:posOffset>
            </wp:positionV>
            <wp:extent cx="724979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9795" cy="2794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360" w:name="page361"/>
    <w:bookmarkEnd w:id="36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1948180" cy="3556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clrChange>
                        <a:clrFrom>
                          <a:srgbClr val="FFFFFF"/>
                        </a:clrFrom>
                        <a:clrTo>
                          <a:srgbClr val="FFFFFF">
                            <a:alpha val="0"/>
                          </a:srgbClr>
                        </a:clrTo>
                      </a:clrChange>
                      <a:extLst>
                        <a:ext uri="{28A0092B-C50C-407E-A947-70E740481C1C}"/>
                      </a:extLst>
                    </a:blip>
                    <a:srcRect/>
                    <a:stretch>
                      <a:fillRect/>
                    </a:stretch>
                  </pic:blipFill>
                  <pic:spPr bwMode="auto">
                    <a:xfrm>
                      <a:off x="0" y="0"/>
                      <a:ext cx="1948180" cy="355600"/>
                    </a:xfrm>
                    <a:prstGeom prst="rect">
                      <a:avLst/>
                    </a:prstGeom>
                    <a:noFill/>
                  </pic:spPr>
                </pic:pic>
              </a:graphicData>
            </a:graphic>
          </wp:anchor>
        </w:drawing>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Undertaking to Secure the Vehicle and its Coded Immobilizer</w:t>
      </w:r>
    </w:p>
    <w:p>
      <w:pPr>
        <w:spacing w:after="0" w:line="210" w:lineRule="exact"/>
        <w:rPr>
          <w:sz w:val="20"/>
          <w:szCs w:val="20"/>
          <w:color w:val="auto"/>
        </w:rPr>
      </w:pPr>
    </w:p>
    <w:p>
      <w:pPr>
        <w:ind w:left="301" w:hanging="301"/>
        <w:spacing w:after="0" w:line="283" w:lineRule="auto"/>
        <w:tabs>
          <w:tab w:leader="none" w:pos="30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 the undersigned, Click here to enter text., I.D. no. Click here to enter text., hereby confirm and undertake to BioLine that I and/or any other driver on my behalf authorized to drive the vehicle, model type Click here to enter text., vehicle number Click here to enter text., shall follow all of the instructions below:</w:t>
      </w:r>
    </w:p>
    <w:p>
      <w:pPr>
        <w:spacing w:after="0" w:line="150" w:lineRule="exact"/>
        <w:rPr>
          <w:rFonts w:ascii="Arial" w:cs="Arial" w:eastAsia="Arial" w:hAnsi="Arial"/>
          <w:sz w:val="16"/>
          <w:szCs w:val="16"/>
          <w:color w:val="auto"/>
        </w:rPr>
      </w:pPr>
    </w:p>
    <w:p>
      <w:pPr>
        <w:ind w:left="641" w:hanging="300"/>
        <w:spacing w:after="0"/>
        <w:tabs>
          <w:tab w:leader="none" w:pos="64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 will not leave the vehicle without activating the installed security measures;</w:t>
      </w:r>
    </w:p>
    <w:p>
      <w:pPr>
        <w:spacing w:after="0" w:line="205" w:lineRule="exact"/>
        <w:rPr>
          <w:rFonts w:ascii="Arial" w:cs="Arial" w:eastAsia="Arial" w:hAnsi="Arial"/>
          <w:sz w:val="16"/>
          <w:szCs w:val="16"/>
          <w:color w:val="auto"/>
        </w:rPr>
      </w:pPr>
    </w:p>
    <w:p>
      <w:pPr>
        <w:ind w:left="641" w:hanging="300"/>
        <w:spacing w:after="0"/>
        <w:tabs>
          <w:tab w:leader="none" w:pos="64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 will not leave the vehicle with the keys inside the vehicle;</w:t>
      </w:r>
    </w:p>
    <w:p>
      <w:pPr>
        <w:spacing w:after="0" w:line="205" w:lineRule="exact"/>
        <w:rPr>
          <w:rFonts w:ascii="Arial" w:cs="Arial" w:eastAsia="Arial" w:hAnsi="Arial"/>
          <w:sz w:val="16"/>
          <w:szCs w:val="16"/>
          <w:color w:val="auto"/>
        </w:rPr>
      </w:pPr>
    </w:p>
    <w:p>
      <w:pPr>
        <w:ind w:left="641" w:hanging="300"/>
        <w:spacing w:after="0"/>
        <w:tabs>
          <w:tab w:leader="none" w:pos="64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 will not abandon the car keys;</w:t>
      </w:r>
    </w:p>
    <w:p>
      <w:pPr>
        <w:spacing w:after="0" w:line="205" w:lineRule="exact"/>
        <w:rPr>
          <w:rFonts w:ascii="Arial" w:cs="Arial" w:eastAsia="Arial" w:hAnsi="Arial"/>
          <w:sz w:val="16"/>
          <w:szCs w:val="16"/>
          <w:color w:val="auto"/>
        </w:rPr>
      </w:pPr>
    </w:p>
    <w:p>
      <w:pPr>
        <w:ind w:left="641" w:hanging="300"/>
        <w:spacing w:after="0"/>
        <w:tabs>
          <w:tab w:leader="none" w:pos="64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 will not keep the vehicle’s coded immobilizer number and/or any other security measures, if such are installed, in proximity to the keys;</w:t>
      </w:r>
    </w:p>
    <w:p>
      <w:pPr>
        <w:spacing w:after="0" w:line="205" w:lineRule="exact"/>
        <w:rPr>
          <w:rFonts w:ascii="Arial" w:cs="Arial" w:eastAsia="Arial" w:hAnsi="Arial"/>
          <w:sz w:val="16"/>
          <w:szCs w:val="16"/>
          <w:color w:val="auto"/>
        </w:rPr>
      </w:pPr>
    </w:p>
    <w:p>
      <w:pPr>
        <w:ind w:left="641" w:hanging="300"/>
        <w:spacing w:after="0"/>
        <w:tabs>
          <w:tab w:leader="none" w:pos="64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 will not leave the security code, if such is installed, inside the vehicle or in its proximity;</w:t>
      </w:r>
    </w:p>
    <w:p>
      <w:pPr>
        <w:spacing w:after="0" w:line="205" w:lineRule="exact"/>
        <w:rPr>
          <w:rFonts w:ascii="Arial" w:cs="Arial" w:eastAsia="Arial" w:hAnsi="Arial"/>
          <w:sz w:val="16"/>
          <w:szCs w:val="16"/>
          <w:color w:val="auto"/>
        </w:rPr>
      </w:pPr>
    </w:p>
    <w:p>
      <w:pPr>
        <w:ind w:left="641" w:hanging="300"/>
        <w:spacing w:after="0"/>
        <w:tabs>
          <w:tab w:leader="none" w:pos="64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 will not leave a written copy of the security code, if such is installed, in an exposed place in the vehicle; and</w:t>
      </w:r>
    </w:p>
    <w:p>
      <w:pPr>
        <w:spacing w:after="0" w:line="205" w:lineRule="exact"/>
        <w:rPr>
          <w:rFonts w:ascii="Arial" w:cs="Arial" w:eastAsia="Arial" w:hAnsi="Arial"/>
          <w:sz w:val="16"/>
          <w:szCs w:val="16"/>
          <w:color w:val="auto"/>
        </w:rPr>
      </w:pPr>
    </w:p>
    <w:p>
      <w:pPr>
        <w:ind w:left="641" w:hanging="300"/>
        <w:spacing w:after="0"/>
        <w:tabs>
          <w:tab w:leader="none" w:pos="641"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 will watch over the vehicle while taking all reasonable precautions to avoid loss and/or theft of the vehicle.</w:t>
      </w:r>
    </w:p>
    <w:p>
      <w:pPr>
        <w:spacing w:after="0" w:line="205" w:lineRule="exact"/>
        <w:rPr>
          <w:rFonts w:ascii="Arial" w:cs="Arial" w:eastAsia="Arial" w:hAnsi="Arial"/>
          <w:sz w:val="16"/>
          <w:szCs w:val="16"/>
          <w:color w:val="auto"/>
        </w:rPr>
      </w:pPr>
    </w:p>
    <w:p>
      <w:pPr>
        <w:jc w:val="both"/>
        <w:ind w:left="301" w:hanging="301"/>
        <w:spacing w:after="0" w:line="268" w:lineRule="auto"/>
        <w:tabs>
          <w:tab w:leader="none" w:pos="30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 hereby confirm that should I act contrary to the foregoing instructions or should I breach any of my obligations to safeguard the vehicle as a reasonable and cautious owner safeguards his own property, I will bear all damage expenses and/or loss caused to BioLine as a result of any action and/or failure to act by me/us, without any condition or restriction.</w:t>
      </w:r>
    </w:p>
    <w:p>
      <w:pPr>
        <w:spacing w:after="0" w:line="162" w:lineRule="exact"/>
        <w:rPr>
          <w:rFonts w:ascii="Arial" w:cs="Arial" w:eastAsia="Arial" w:hAnsi="Arial"/>
          <w:sz w:val="16"/>
          <w:szCs w:val="16"/>
          <w:color w:val="auto"/>
        </w:rPr>
      </w:pPr>
    </w:p>
    <w:p>
      <w:pPr>
        <w:ind w:left="301" w:hanging="301"/>
        <w:spacing w:after="0" w:line="283" w:lineRule="auto"/>
        <w:tabs>
          <w:tab w:leader="none" w:pos="30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For the avoidance of doubt it is hereby clarified that my signature below, confirming my obligation in accordance with this document, will take precedence over any agreement and/or representation and/or understanding, if there were such, prior to this date.</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WITNESS WHEREOF:</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Employee Signature: ______________________________</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6"/>
          <w:szCs w:val="16"/>
          <w:color w:val="auto"/>
        </w:rPr>
        <w:t>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69215</wp:posOffset>
            </wp:positionV>
            <wp:extent cx="724471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471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153670</wp:posOffset>
            </wp:positionV>
            <wp:extent cx="7244715" cy="311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4715" cy="31115"/>
                    </a:xfrm>
                    <a:prstGeom prst="rect">
                      <a:avLst/>
                    </a:prstGeom>
                    <a:noFill/>
                  </pic:spPr>
                </pic:pic>
              </a:graphicData>
            </a:graphic>
          </wp:anchor>
        </w:drawing>
      </w:r>
    </w:p>
    <w:p>
      <w:pPr>
        <w:sectPr>
          <w:pgSz w:w="11900" w:h="16838" w:orient="portrait"/>
          <w:cols w:equalWidth="0" w:num="1">
            <w:col w:w="11401"/>
          </w:cols>
          <w:pgMar w:left="239" w:top="878" w:right="259" w:bottom="1440" w:gutter="0" w:footer="0" w:header="0"/>
        </w:sectPr>
      </w:pPr>
    </w:p>
    <w:bookmarkStart w:id="361" w:name="page362"/>
    <w:bookmarkEnd w:id="361"/>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196850</wp:posOffset>
            </wp:positionV>
            <wp:extent cx="725995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4.46</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CONFIDENTIAL</w:t>
      </w:r>
    </w:p>
    <w:p>
      <w:pPr>
        <w:spacing w:after="0" w:line="206" w:lineRule="exact"/>
        <w:rPr>
          <w:sz w:val="20"/>
          <w:szCs w:val="20"/>
          <w:color w:val="auto"/>
        </w:rPr>
      </w:pPr>
    </w:p>
    <w:p>
      <w:pPr>
        <w:ind w:left="3" w:right="140" w:hanging="3"/>
        <w:spacing w:after="0" w:line="283" w:lineRule="auto"/>
        <w:tabs>
          <w:tab w:leader="none" w:pos="232" w:val="left"/>
        </w:tabs>
        <w:numPr>
          <w:ilvl w:val="0"/>
          <w:numId w:val="322"/>
        </w:numPr>
        <w:rPr>
          <w:rFonts w:ascii="Arial" w:cs="Arial" w:eastAsia="Arial" w:hAnsi="Arial"/>
          <w:sz w:val="16"/>
          <w:szCs w:val="16"/>
          <w:color w:val="auto"/>
        </w:rPr>
      </w:pPr>
      <w:r>
        <w:rPr>
          <w:rFonts w:ascii="Arial" w:cs="Arial" w:eastAsia="Arial" w:hAnsi="Arial"/>
          <w:sz w:val="16"/>
          <w:szCs w:val="16"/>
          <w:color w:val="auto"/>
        </w:rPr>
        <w:t>Represents material that has been omitted and will be filed separately with the Securities and Exchange Commission pursuant to a request for confidential treatment under Rule 24b-2 of the Securities and Exchange Act of 1934, as amended.</w:t>
      </w:r>
    </w:p>
    <w:p>
      <w:pPr>
        <w:spacing w:after="0" w:line="19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AMENDED AND RESTATED EXCLUSIVE LICENSE AGREEMENT</w:t>
      </w:r>
    </w:p>
    <w:p>
      <w:pPr>
        <w:spacing w:after="0" w:line="254" w:lineRule="exact"/>
        <w:rPr>
          <w:sz w:val="20"/>
          <w:szCs w:val="20"/>
          <w:color w:val="auto"/>
        </w:rPr>
      </w:pPr>
    </w:p>
    <w:p>
      <w:pPr>
        <w:ind w:left="3" w:right="200" w:firstLine="584"/>
        <w:spacing w:after="0" w:line="202" w:lineRule="auto"/>
        <w:rPr>
          <w:sz w:val="20"/>
          <w:szCs w:val="20"/>
          <w:color w:val="auto"/>
        </w:rPr>
      </w:pPr>
      <w:r>
        <w:rPr>
          <w:rFonts w:ascii="Arial" w:cs="Arial" w:eastAsia="Arial" w:hAnsi="Arial"/>
          <w:sz w:val="16"/>
          <w:szCs w:val="16"/>
          <w:color w:val="auto"/>
        </w:rPr>
        <w:t xml:space="preserve">This Agreement, effective as of </w:t>
      </w:r>
      <w:r>
        <w:rPr>
          <w:rFonts w:ascii="Arial" w:cs="Arial" w:eastAsia="Arial" w:hAnsi="Arial"/>
          <w:sz w:val="16"/>
          <w:szCs w:val="16"/>
          <w:b w:val="1"/>
          <w:bCs w:val="1"/>
          <w:color w:val="auto"/>
        </w:rPr>
        <w:t>April 30, 2013</w:t>
      </w:r>
      <w:r>
        <w:rPr>
          <w:rFonts w:ascii="Arial" w:cs="Arial" w:eastAsia="Arial" w:hAnsi="Arial"/>
          <w:sz w:val="16"/>
          <w:szCs w:val="16"/>
          <w:color w:val="auto"/>
        </w:rPr>
        <w:t xml:space="preserve"> (the “</w:t>
      </w:r>
      <w:r>
        <w:rPr>
          <w:rFonts w:ascii="Arial" w:cs="Arial" w:eastAsia="Arial" w:hAnsi="Arial"/>
          <w:sz w:val="16"/>
          <w:szCs w:val="16"/>
          <w:b w:val="1"/>
          <w:bCs w:val="1"/>
          <w:color w:val="auto"/>
        </w:rPr>
        <w:t>Commencement Date</w:t>
      </w:r>
      <w:r>
        <w:rPr>
          <w:rFonts w:ascii="Arial" w:cs="Arial" w:eastAsia="Arial" w:hAnsi="Arial"/>
          <w:sz w:val="16"/>
          <w:szCs w:val="16"/>
          <w:color w:val="auto"/>
        </w:rPr>
        <w:t>”), is between the University of Massachusetts (“</w:t>
      </w:r>
      <w:r>
        <w:rPr>
          <w:rFonts w:ascii="Arial" w:cs="Arial" w:eastAsia="Arial" w:hAnsi="Arial"/>
          <w:sz w:val="16"/>
          <w:szCs w:val="16"/>
          <w:b w:val="1"/>
          <w:bCs w:val="1"/>
          <w:color w:val="auto"/>
        </w:rPr>
        <w:t>University</w:t>
      </w:r>
      <w:r>
        <w:rPr>
          <w:rFonts w:ascii="Arial" w:cs="Arial" w:eastAsia="Arial" w:hAnsi="Arial"/>
          <w:sz w:val="16"/>
          <w:szCs w:val="16"/>
          <w:color w:val="auto"/>
        </w:rPr>
        <w:t>”), a not-for-profit, public institution of higher education of the Commonwealth of Massachusetts, established by Chapter 75 of the Massachusetts General Laws, as represented by and solely behalf of its Medical School (Worcester campus), and Agalimmune Ltd (“</w:t>
      </w:r>
      <w:r>
        <w:rPr>
          <w:rFonts w:ascii="Arial" w:cs="Arial" w:eastAsia="Arial" w:hAnsi="Arial"/>
          <w:sz w:val="16"/>
          <w:szCs w:val="16"/>
          <w:b w:val="1"/>
          <w:bCs w:val="1"/>
          <w:color w:val="auto"/>
        </w:rPr>
        <w:t>Company</w:t>
      </w:r>
      <w:r>
        <w:rPr>
          <w:rFonts w:ascii="Arial" w:cs="Arial" w:eastAsia="Arial" w:hAnsi="Arial"/>
          <w:sz w:val="16"/>
          <w:szCs w:val="16"/>
          <w:color w:val="auto"/>
        </w:rPr>
        <w:t>”), a private limited company incorporated in England &amp; Wales (company registration number 08504603) with registered address at 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Floor Thavies Inn House, 3-4 Holborn Road, London, EC1N 2HA, United Kingdom and main place of business at c/o 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Floor, 6 Arlington Street, London SW1A 1RE United Kingdom.</w:t>
      </w: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u w:val="single" w:color="auto"/>
          <w:color w:val="auto"/>
        </w:rPr>
        <w:t>RECITALS</w:t>
      </w:r>
    </w:p>
    <w:p>
      <w:pPr>
        <w:spacing w:after="0" w:line="258" w:lineRule="exact"/>
        <w:rPr>
          <w:sz w:val="20"/>
          <w:szCs w:val="20"/>
          <w:color w:val="auto"/>
        </w:rPr>
      </w:pPr>
    </w:p>
    <w:p>
      <w:pPr>
        <w:ind w:left="3" w:right="840" w:firstLine="584"/>
        <w:spacing w:after="0" w:line="283" w:lineRule="auto"/>
        <w:rPr>
          <w:sz w:val="20"/>
          <w:szCs w:val="20"/>
          <w:color w:val="auto"/>
        </w:rPr>
      </w:pPr>
      <w:r>
        <w:rPr>
          <w:rFonts w:ascii="Arial" w:cs="Arial" w:eastAsia="Arial" w:hAnsi="Arial"/>
          <w:sz w:val="16"/>
          <w:szCs w:val="16"/>
          <w:color w:val="auto"/>
        </w:rPr>
        <w:t>WHEREAS, University owns intellectual property rights which relate to tumor lesion regression and conversion in situ into autologous tumor vaccines by compositions that result in anti-Gal antibody binding, as described in Exhibit A;</w:t>
      </w:r>
    </w:p>
    <w:p>
      <w:pPr>
        <w:spacing w:after="0" w:line="199" w:lineRule="exact"/>
        <w:rPr>
          <w:sz w:val="20"/>
          <w:szCs w:val="20"/>
          <w:color w:val="auto"/>
        </w:rPr>
      </w:pPr>
    </w:p>
    <w:p>
      <w:pPr>
        <w:ind w:left="3" w:right="80" w:firstLine="584"/>
        <w:spacing w:after="0" w:line="283" w:lineRule="auto"/>
        <w:rPr>
          <w:sz w:val="20"/>
          <w:szCs w:val="20"/>
          <w:color w:val="auto"/>
        </w:rPr>
      </w:pPr>
      <w:r>
        <w:rPr>
          <w:rFonts w:ascii="Arial" w:cs="Arial" w:eastAsia="Arial" w:hAnsi="Arial"/>
          <w:sz w:val="16"/>
          <w:szCs w:val="16"/>
          <w:color w:val="auto"/>
        </w:rPr>
        <w:t>WHEREAS, Company is engaged in business relating to the development and commercialization of products that use or incorporate University's intellectual property rights and has the capability of developing commercial applications of the intellectual property;</w:t>
      </w:r>
    </w:p>
    <w:p>
      <w:pPr>
        <w:spacing w:after="0" w:line="199" w:lineRule="exact"/>
        <w:rPr>
          <w:sz w:val="20"/>
          <w:szCs w:val="20"/>
          <w:color w:val="auto"/>
        </w:rPr>
      </w:pPr>
    </w:p>
    <w:p>
      <w:pPr>
        <w:jc w:val="both"/>
        <w:ind w:left="3" w:right="240" w:firstLine="584"/>
        <w:spacing w:after="0" w:line="268" w:lineRule="auto"/>
        <w:rPr>
          <w:sz w:val="20"/>
          <w:szCs w:val="20"/>
          <w:color w:val="auto"/>
        </w:rPr>
      </w:pPr>
      <w:r>
        <w:rPr>
          <w:rFonts w:ascii="Arial" w:cs="Arial" w:eastAsia="Arial" w:hAnsi="Arial"/>
          <w:sz w:val="16"/>
          <w:szCs w:val="16"/>
          <w:color w:val="auto"/>
        </w:rPr>
        <w:t>WHEREAS, Company desires to obtain an exclusive license to University's intellectual property rights, and University is willing to grant an exclusive license to its intellectual property rights under the following conditions so that these intellectual property rights may be developed to their fullest and the benefits enjoyed by the general public; and</w:t>
      </w:r>
    </w:p>
    <w:p>
      <w:pPr>
        <w:spacing w:after="0" w:line="212" w:lineRule="exact"/>
        <w:rPr>
          <w:sz w:val="20"/>
          <w:szCs w:val="20"/>
          <w:color w:val="auto"/>
        </w:rPr>
      </w:pPr>
    </w:p>
    <w:p>
      <w:pPr>
        <w:ind w:left="583"/>
        <w:spacing w:after="0"/>
        <w:rPr>
          <w:sz w:val="20"/>
          <w:szCs w:val="20"/>
          <w:color w:val="auto"/>
        </w:rPr>
      </w:pPr>
      <w:r>
        <w:rPr>
          <w:rFonts w:ascii="Arial" w:cs="Arial" w:eastAsia="Arial" w:hAnsi="Arial"/>
          <w:sz w:val="15"/>
          <w:szCs w:val="15"/>
          <w:color w:val="auto"/>
        </w:rPr>
        <w:t>WHEREAS, the license that is granted in this Agreement promotes the development of publicly funded intellectual property to practical application for the public</w:t>
      </w:r>
    </w:p>
    <w:p>
      <w:pPr>
        <w:spacing w:after="0" w:line="34" w:lineRule="exact"/>
        <w:rPr>
          <w:sz w:val="20"/>
          <w:szCs w:val="20"/>
          <w:color w:val="auto"/>
        </w:rPr>
      </w:pPr>
    </w:p>
    <w:p>
      <w:pPr>
        <w:ind w:left="3"/>
        <w:spacing w:after="0"/>
        <w:rPr>
          <w:sz w:val="20"/>
          <w:szCs w:val="20"/>
          <w:color w:val="auto"/>
        </w:rPr>
      </w:pPr>
      <w:r>
        <w:rPr>
          <w:rFonts w:ascii="Arial" w:cs="Arial" w:eastAsia="Arial" w:hAnsi="Arial"/>
          <w:sz w:val="16"/>
          <w:szCs w:val="16"/>
          <w:color w:val="auto"/>
        </w:rPr>
        <w:t>good.</w:t>
      </w:r>
    </w:p>
    <w:p>
      <w:pPr>
        <w:spacing w:after="0" w:line="243"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THEREFORE, University and Company agree as follows:</w:t>
      </w:r>
    </w:p>
    <w:p>
      <w:pPr>
        <w:spacing w:after="0" w:line="291" w:lineRule="exact"/>
        <w:rPr>
          <w:sz w:val="20"/>
          <w:szCs w:val="20"/>
          <w:color w:val="auto"/>
        </w:rPr>
      </w:pPr>
    </w:p>
    <w:p>
      <w:pPr>
        <w:ind w:left="763" w:hanging="763"/>
        <w:spacing w:after="0"/>
        <w:tabs>
          <w:tab w:leader="none" w:pos="763"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303" w:lineRule="exact"/>
        <w:rPr>
          <w:sz w:val="20"/>
          <w:szCs w:val="20"/>
          <w:color w:val="auto"/>
        </w:rPr>
      </w:pPr>
    </w:p>
    <w:p>
      <w:pPr>
        <w:jc w:val="both"/>
        <w:ind w:left="3" w:right="240" w:firstLine="584"/>
        <w:spacing w:after="0" w:line="276"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Affiliate</w:t>
      </w:r>
      <w:r>
        <w:rPr>
          <w:rFonts w:ascii="Arial" w:cs="Arial" w:eastAsia="Arial" w:hAnsi="Arial"/>
          <w:sz w:val="16"/>
          <w:szCs w:val="16"/>
          <w:color w:val="auto"/>
        </w:rPr>
        <w:t>” means an entity that controls, is controlled by, or is under common control with a party to this Agreement. The term “control” as used in the preceding sentence means possession of the power to direct or call for the direction of the management and policies of an entity, whether through ownership of a majority of the outstanding voting securities, by contract, or otherwise.</w:t>
      </w:r>
    </w:p>
    <w:p>
      <w:pPr>
        <w:spacing w:after="0" w:line="242" w:lineRule="exact"/>
        <w:rPr>
          <w:sz w:val="20"/>
          <w:szCs w:val="20"/>
          <w:color w:val="auto"/>
        </w:rPr>
      </w:pPr>
    </w:p>
    <w:p>
      <w:pPr>
        <w:ind w:left="3" w:right="160" w:firstLine="584"/>
        <w:spacing w:after="0" w:line="292" w:lineRule="auto"/>
        <w:rPr>
          <w:sz w:val="20"/>
          <w:szCs w:val="20"/>
          <w:color w:val="auto"/>
        </w:rPr>
      </w:pPr>
      <w:r>
        <w:rPr>
          <w:rFonts w:ascii="Arial" w:cs="Arial" w:eastAsia="Arial" w:hAnsi="Arial"/>
          <w:sz w:val="15"/>
          <w:szCs w:val="15"/>
          <w:color w:val="auto"/>
        </w:rPr>
        <w:t>1.2 “</w:t>
      </w:r>
      <w:r>
        <w:rPr>
          <w:rFonts w:ascii="Arial" w:cs="Arial" w:eastAsia="Arial" w:hAnsi="Arial"/>
          <w:sz w:val="15"/>
          <w:szCs w:val="15"/>
          <w:u w:val="single" w:color="auto"/>
          <w:color w:val="auto"/>
        </w:rPr>
        <w:t>Change of Control</w:t>
      </w:r>
      <w:r>
        <w:rPr>
          <w:rFonts w:ascii="Arial" w:cs="Arial" w:eastAsia="Arial" w:hAnsi="Arial"/>
          <w:sz w:val="15"/>
          <w:szCs w:val="15"/>
          <w:color w:val="auto"/>
        </w:rPr>
        <w:t>” means the first to occur of any of the following: (i) a sale by Company stockholders of stock collectively constituting fifty percent (50%) or more of the Company’s voting securities pursuant to a merger, reorganization or consolidation in which the stockholders of Company immediately prior to such transaction cease to own collectively fifty percent (50%) or more of the voting securities of a successor entity other than pursuant to a merger, reorganization or consolidation involving an Affiliate; or (ii) the acquisition of fifty percent (50%) or more of the voting securities of Company by a person or entity not an Affiliate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7259955" cy="152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622" w:right="219" w:bottom="1440" w:gutter="0" w:footer="0" w:header="0"/>
        </w:sectPr>
      </w:pPr>
    </w:p>
    <w:bookmarkStart w:id="362" w:name="page363"/>
    <w:bookmarkEnd w:id="362"/>
    <w:p>
      <w:pPr>
        <w:ind w:right="440" w:firstLine="584"/>
        <w:spacing w:after="0" w:line="304" w:lineRule="auto"/>
        <w:rPr>
          <w:sz w:val="20"/>
          <w:szCs w:val="20"/>
          <w:color w:val="auto"/>
        </w:rPr>
      </w:pPr>
      <w:r>
        <w:rPr>
          <w:rFonts w:ascii="Arial" w:cs="Arial" w:eastAsia="Arial" w:hAnsi="Arial"/>
          <w:sz w:val="16"/>
          <w:szCs w:val="16"/>
          <w:color w:val="auto"/>
        </w:rPr>
        <w:t>1.3.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confidential or proprietary information furnished by one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in connection with this Agreement that is specifically designated as confidential, as further described in Section 7.</w:t>
      </w:r>
    </w:p>
    <w:p>
      <w:pPr>
        <w:spacing w:after="0" w:line="220"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Field</w:t>
      </w:r>
      <w:r>
        <w:rPr>
          <w:rFonts w:ascii="Arial" w:cs="Arial" w:eastAsia="Arial" w:hAnsi="Arial"/>
          <w:sz w:val="14"/>
          <w:szCs w:val="14"/>
          <w:color w:val="auto"/>
        </w:rPr>
        <w:t>” means the treatment of cancer in humans. Any commercial sale of research reagents covered by the Patent Rights is specifically excluded from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Field.</w:t>
      </w:r>
    </w:p>
    <w:p>
      <w:pPr>
        <w:spacing w:after="0" w:line="291"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Licensed Product</w:t>
      </w:r>
      <w:r>
        <w:rPr>
          <w:rFonts w:ascii="Arial" w:cs="Arial" w:eastAsia="Arial" w:hAnsi="Arial"/>
          <w:sz w:val="14"/>
          <w:szCs w:val="14"/>
          <w:color w:val="auto"/>
        </w:rPr>
        <w:t>” means any product that cannot be developed, manufactured, used, or sold without infringing one or more Valid Claims.</w:t>
      </w:r>
    </w:p>
    <w:p>
      <w:pPr>
        <w:spacing w:after="0" w:line="303"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Licensed Know-How</w:t>
      </w:r>
      <w:r>
        <w:rPr>
          <w:rFonts w:ascii="Arial" w:cs="Arial" w:eastAsia="Arial" w:hAnsi="Arial"/>
          <w:sz w:val="16"/>
          <w:szCs w:val="16"/>
          <w:color w:val="auto"/>
        </w:rPr>
        <w:t>” means all know-how owned by the Worcester campus of University as of the Commencement Date that: (i) is not generally known, and (ii) is specifically and solely necessary to research, develop, manufacture, use and/or sell the Licensed Products and/or to practice the Patents Rights, including all Regulatory Documentation, and all pre-clinical and clinical data with regard to the Licensed Product. Examples of the Licensed Know-How include, without limitation, all technical, scientific and other know-how, information and data, trade secrets, knowledge, technology, means, methods, processes, practices, formulas, instructions, skills, techniques, procedures, experiences, ideas, technical assistance, designs, drawings, assembly procedures, computer programs, apparatuses, specifications, data, results and other material, including pre-clinical and clinical trial results (including Regulatory Documentation), manufacturing procedures, test procedures and purification and isolation techniques, whether or not confidential, proprietary, patented or patentable.</w:t>
      </w:r>
    </w:p>
    <w:p>
      <w:pPr>
        <w:spacing w:after="0" w:line="255" w:lineRule="exact"/>
        <w:rPr>
          <w:sz w:val="20"/>
          <w:szCs w:val="20"/>
          <w:color w:val="auto"/>
        </w:rPr>
      </w:pPr>
    </w:p>
    <w:p>
      <w:pPr>
        <w:ind w:right="60" w:firstLine="584"/>
        <w:spacing w:after="0" w:line="319" w:lineRule="auto"/>
        <w:rPr>
          <w:sz w:val="20"/>
          <w:szCs w:val="20"/>
          <w:color w:val="auto"/>
        </w:rPr>
      </w:pPr>
      <w:r>
        <w:rPr>
          <w:rFonts w:ascii="Arial" w:cs="Arial" w:eastAsia="Arial" w:hAnsi="Arial"/>
          <w:sz w:val="14"/>
          <w:szCs w:val="14"/>
          <w:color w:val="auto"/>
        </w:rPr>
        <w:t>1.7. “</w:t>
      </w:r>
      <w:r>
        <w:rPr>
          <w:rFonts w:ascii="Arial" w:cs="Arial" w:eastAsia="Arial" w:hAnsi="Arial"/>
          <w:sz w:val="14"/>
          <w:szCs w:val="14"/>
          <w:u w:val="single" w:color="auto"/>
          <w:color w:val="auto"/>
        </w:rPr>
        <w:t>Net Sales</w:t>
      </w:r>
      <w:r>
        <w:rPr>
          <w:rFonts w:ascii="Arial" w:cs="Arial" w:eastAsia="Arial" w:hAnsi="Arial"/>
          <w:sz w:val="14"/>
          <w:szCs w:val="14"/>
          <w:color w:val="auto"/>
        </w:rPr>
        <w:t>” means the gross amount billed or invoiced on sales of Licensed Products by Company and its Affiliates, less the following: (a) customary trade, quantity, or cash discounts to non-affiliated brokers or agents to the extent actually allowed and taken; (b) amounts repaid or credited by reason of rejection or return; (c) to the extent separately stated on purchase orders, invoices, or other documents of sale, any taxes or other governmental charges levied on the production, sale, transportation, delivery, or use of a Licensed Product which is paid by or on behalf of Company; and (d) outbound transportation costs prepaid or allowed and costs of insurance in transit.</w:t>
      </w:r>
    </w:p>
    <w:p>
      <w:pPr>
        <w:spacing w:after="0" w:line="179" w:lineRule="exact"/>
        <w:rPr>
          <w:sz w:val="20"/>
          <w:szCs w:val="20"/>
          <w:color w:val="auto"/>
        </w:rPr>
      </w:pPr>
    </w:p>
    <w:p>
      <w:pPr>
        <w:ind w:right="240" w:firstLine="584"/>
        <w:spacing w:after="0" w:line="282" w:lineRule="auto"/>
        <w:rPr>
          <w:sz w:val="20"/>
          <w:szCs w:val="20"/>
          <w:color w:val="auto"/>
        </w:rPr>
      </w:pPr>
      <w:r>
        <w:rPr>
          <w:rFonts w:ascii="Arial" w:cs="Arial" w:eastAsia="Arial" w:hAnsi="Arial"/>
          <w:sz w:val="15"/>
          <w:szCs w:val="15"/>
          <w:color w:val="auto"/>
        </w:rPr>
        <w:t>In any transfers of Licensed Products between any of Company and Affiliates and Sublicensees, Net Sales are calculated based on the final sale of the Licensed Product to an independent third party. If Company or an Affiliate or Sublicensee receives non-monetary consideration for any Licensed Products, Net Sales are calculated based on the fair market value of that consideration. If Company or its Affiliates or Sublicensees use</w:t>
      </w:r>
      <w:r>
        <w:rPr>
          <w:rFonts w:ascii="Arial" w:cs="Arial" w:eastAsia="Arial" w:hAnsi="Arial"/>
          <w:sz w:val="15"/>
          <w:szCs w:val="15"/>
          <w:b w:val="1"/>
          <w:bCs w:val="1"/>
          <w:color w:val="auto"/>
        </w:rPr>
        <w:t>s</w:t>
      </w:r>
      <w:r>
        <w:rPr>
          <w:rFonts w:ascii="Arial" w:cs="Arial" w:eastAsia="Arial" w:hAnsi="Arial"/>
          <w:sz w:val="15"/>
          <w:szCs w:val="15"/>
          <w:color w:val="auto"/>
        </w:rPr>
        <w:t xml:space="preserve"> or dispose</w:t>
      </w:r>
      <w:r>
        <w:rPr>
          <w:rFonts w:ascii="Arial" w:cs="Arial" w:eastAsia="Arial" w:hAnsi="Arial"/>
          <w:sz w:val="15"/>
          <w:szCs w:val="15"/>
          <w:b w:val="1"/>
          <w:bCs w:val="1"/>
          <w:color w:val="auto"/>
        </w:rPr>
        <w:t>s</w:t>
      </w:r>
      <w:r>
        <w:rPr>
          <w:rFonts w:ascii="Arial" w:cs="Arial" w:eastAsia="Arial" w:hAnsi="Arial"/>
          <w:sz w:val="15"/>
          <w:szCs w:val="15"/>
          <w:color w:val="auto"/>
        </w:rPr>
        <w:t xml:space="preserve"> of a Licensed Product in the provision of a commercial service, the Licensed Product is sold and the Net Sales are calculated based on the sales price of the Licensed Product to an independent third party during the same Royalty Period or, in the absence of sales, on the fair market value of the Licensed Product as determined by the parties in good faith.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60" w:right="239" w:bottom="1440" w:gutter="0" w:footer="0" w:header="0"/>
        </w:sectPr>
      </w:pPr>
    </w:p>
    <w:bookmarkStart w:id="363" w:name="page364"/>
    <w:bookmarkEnd w:id="363"/>
    <w:p>
      <w:pPr>
        <w:jc w:val="both"/>
        <w:ind w:right="220" w:firstLine="584"/>
        <w:spacing w:after="0" w:line="269" w:lineRule="auto"/>
        <w:rPr>
          <w:sz w:val="20"/>
          <w:szCs w:val="20"/>
          <w:color w:val="auto"/>
        </w:rPr>
      </w:pPr>
      <w:r>
        <w:rPr>
          <w:rFonts w:ascii="Arial" w:cs="Arial" w:eastAsia="Arial" w:hAnsi="Arial"/>
          <w:sz w:val="16"/>
          <w:szCs w:val="16"/>
          <w:color w:val="auto"/>
        </w:rPr>
        <w:t>1.8. “</w:t>
      </w:r>
      <w:r>
        <w:rPr>
          <w:rFonts w:ascii="Arial" w:cs="Arial" w:eastAsia="Arial" w:hAnsi="Arial"/>
          <w:sz w:val="16"/>
          <w:szCs w:val="16"/>
          <w:u w:val="single" w:color="auto"/>
          <w:color w:val="auto"/>
        </w:rPr>
        <w:t>Patent Rights</w:t>
      </w:r>
      <w:r>
        <w:rPr>
          <w:rFonts w:ascii="Arial" w:cs="Arial" w:eastAsia="Arial" w:hAnsi="Arial"/>
          <w:sz w:val="16"/>
          <w:szCs w:val="16"/>
          <w:color w:val="auto"/>
        </w:rPr>
        <w:t>” means the United States patents and patent applications listed in Exhibit A, patent applications covering invention disclosures listed in Exhibit A, and any divisional, continuation, or continuation-in-part of those patent applications to the extent the claims are directed to subject matter specifically described therein as well as any patents issued on these patent applications and any reissues or reexaminations or extensions of the patents, and any foreign counterparts to any of the foregoing.</w:t>
      </w:r>
    </w:p>
    <w:p>
      <w:pPr>
        <w:spacing w:after="0" w:line="247" w:lineRule="exact"/>
        <w:rPr>
          <w:sz w:val="20"/>
          <w:szCs w:val="20"/>
          <w:color w:val="auto"/>
        </w:rPr>
      </w:pPr>
    </w:p>
    <w:p>
      <w:pPr>
        <w:ind w:right="320" w:firstLine="584"/>
        <w:spacing w:after="0" w:line="299"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Regulatory Approval</w:t>
      </w:r>
      <w:r>
        <w:rPr>
          <w:rFonts w:ascii="Arial" w:cs="Arial" w:eastAsia="Arial" w:hAnsi="Arial"/>
          <w:sz w:val="16"/>
          <w:szCs w:val="16"/>
          <w:color w:val="auto"/>
        </w:rPr>
        <w:t>” means any and all approvals (including pricing and reimbursement approvals), licenses, registrations or authorizations of any Regulatory Authority, necessary for the marketing and sale of a Licensed Product in a country.</w:t>
      </w:r>
    </w:p>
    <w:p>
      <w:pPr>
        <w:spacing w:after="0" w:line="223" w:lineRule="exact"/>
        <w:rPr>
          <w:sz w:val="20"/>
          <w:szCs w:val="20"/>
          <w:color w:val="auto"/>
        </w:rPr>
      </w:pPr>
    </w:p>
    <w:p>
      <w:pPr>
        <w:ind w:right="140" w:firstLine="584"/>
        <w:spacing w:after="0" w:line="303" w:lineRule="auto"/>
        <w:rPr>
          <w:sz w:val="20"/>
          <w:szCs w:val="20"/>
          <w:color w:val="auto"/>
        </w:rPr>
      </w:pPr>
      <w:r>
        <w:rPr>
          <w:rFonts w:ascii="Arial" w:cs="Arial" w:eastAsia="Arial" w:hAnsi="Arial"/>
          <w:sz w:val="15"/>
          <w:szCs w:val="15"/>
          <w:color w:val="auto"/>
        </w:rPr>
        <w:t>1.10. “</w:t>
      </w:r>
      <w:r>
        <w:rPr>
          <w:rFonts w:ascii="Arial" w:cs="Arial" w:eastAsia="Arial" w:hAnsi="Arial"/>
          <w:sz w:val="15"/>
          <w:szCs w:val="15"/>
          <w:u w:val="single" w:color="auto"/>
          <w:color w:val="auto"/>
        </w:rPr>
        <w:t>Regulatory Authority</w:t>
      </w:r>
      <w:r>
        <w:rPr>
          <w:rFonts w:ascii="Arial" w:cs="Arial" w:eastAsia="Arial" w:hAnsi="Arial"/>
          <w:sz w:val="15"/>
          <w:szCs w:val="15"/>
          <w:color w:val="auto"/>
        </w:rPr>
        <w:t>” means any applicable government entities regulating or otherwise exercising authority with respect to the manufacturing, marketing, sale, reimbursement and/or pricing of the Licensed Products in the Territory, including, without limitation, in the United States, the United States Food and Drug Administration, and in the European Union, the European Medicines Agency, and any successor governmental authority having substantially the same function.</w:t>
      </w:r>
    </w:p>
    <w:p>
      <w:pPr>
        <w:spacing w:after="0" w:line="223" w:lineRule="exact"/>
        <w:rPr>
          <w:sz w:val="20"/>
          <w:szCs w:val="20"/>
          <w:color w:val="auto"/>
        </w:rPr>
      </w:pPr>
    </w:p>
    <w:p>
      <w:pPr>
        <w:ind w:right="40" w:firstLine="584"/>
        <w:spacing w:after="0" w:line="269"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Regulatory Documentation</w:t>
      </w:r>
      <w:r>
        <w:rPr>
          <w:rFonts w:ascii="Arial" w:cs="Arial" w:eastAsia="Arial" w:hAnsi="Arial"/>
          <w:sz w:val="16"/>
          <w:szCs w:val="16"/>
          <w:color w:val="auto"/>
        </w:rPr>
        <w:t>” means all applications, registrations, licenses, authorizations and approvals, all correspondence submitted to or received from Regulatory Authorities (including minutes and official contact reports relating to any communications with any Regulatory Authority), all supporting documents and all clinical studies and tests, relating to any Licensed Product, and all data contained in any of the foregoing, including all advertising and promotion documents, adverse event files and complaint files, but excluding any and all Regulatory Approvals with respect to such Licensed Product.</w:t>
      </w:r>
    </w:p>
    <w:p>
      <w:pPr>
        <w:spacing w:after="0" w:line="247" w:lineRule="exact"/>
        <w:rPr>
          <w:sz w:val="20"/>
          <w:szCs w:val="20"/>
          <w:color w:val="auto"/>
        </w:rPr>
      </w:pPr>
    </w:p>
    <w:p>
      <w:pPr>
        <w:ind w:right="180" w:firstLine="584"/>
        <w:spacing w:after="0" w:line="276"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Royalty Period</w:t>
      </w:r>
      <w:r>
        <w:rPr>
          <w:rFonts w:ascii="Arial" w:cs="Arial" w:eastAsia="Arial" w:hAnsi="Arial"/>
          <w:sz w:val="16"/>
          <w:szCs w:val="16"/>
          <w:color w:val="auto"/>
        </w:rPr>
        <w:t>” means the partial calendar quarter commencing on the date on which the first Licensed Product is sold and every complete or partial calendar quarter thereafter during which either: (a) this Agreement remains in effect; or (b) Company has the right to complete and sell work-in-progress and inventory of Licensed Products pursuant to Section 8.5.</w:t>
      </w:r>
    </w:p>
    <w:p>
      <w:pPr>
        <w:spacing w:after="0" w:line="242" w:lineRule="exact"/>
        <w:rPr>
          <w:sz w:val="20"/>
          <w:szCs w:val="20"/>
          <w:color w:val="auto"/>
        </w:rPr>
      </w:pPr>
    </w:p>
    <w:p>
      <w:pPr>
        <w:ind w:right="20" w:firstLine="584"/>
        <w:spacing w:after="0" w:line="299"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Sublicense Agreement</w:t>
      </w:r>
      <w:r>
        <w:rPr>
          <w:rFonts w:ascii="Arial" w:cs="Arial" w:eastAsia="Arial" w:hAnsi="Arial"/>
          <w:sz w:val="16"/>
          <w:szCs w:val="16"/>
          <w:color w:val="auto"/>
        </w:rPr>
        <w:t>” means any agreement in which Company grants rights to the Patent Rights pursuant to Section 2.2. For the avoidance of doubt, an option agreement to obtain a Sublicense Agreement shall be a Sublicense Agreement for the purpose of this Agreement.</w:t>
      </w:r>
    </w:p>
    <w:p>
      <w:pPr>
        <w:spacing w:after="0" w:line="223"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Sublicense Income</w:t>
      </w:r>
      <w:r>
        <w:rPr>
          <w:rFonts w:ascii="Arial" w:cs="Arial" w:eastAsia="Arial" w:hAnsi="Arial"/>
          <w:sz w:val="15"/>
          <w:szCs w:val="15"/>
          <w:color w:val="auto"/>
        </w:rPr>
        <w:t>” [Intentionally Left Blank].</w:t>
      </w:r>
    </w:p>
    <w:p>
      <w:pPr>
        <w:spacing w:after="0" w:line="303"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Sublicensee</w:t>
      </w:r>
      <w:r>
        <w:rPr>
          <w:rFonts w:ascii="Arial" w:cs="Arial" w:eastAsia="Arial" w:hAnsi="Arial"/>
          <w:sz w:val="14"/>
          <w:szCs w:val="14"/>
          <w:color w:val="auto"/>
        </w:rPr>
        <w:t>” means any permitted sublicensee or optionee of the rights granted Company under this Agreement, as further described in Section 2.2.</w:t>
      </w:r>
    </w:p>
    <w:p>
      <w:pPr>
        <w:spacing w:after="0" w:line="303" w:lineRule="exact"/>
        <w:rPr>
          <w:sz w:val="20"/>
          <w:szCs w:val="20"/>
          <w:color w:val="auto"/>
        </w:rPr>
      </w:pPr>
    </w:p>
    <w:p>
      <w:pPr>
        <w:ind w:firstLine="584"/>
        <w:spacing w:after="0" w:line="276"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Valid Claim</w:t>
      </w:r>
      <w:r>
        <w:rPr>
          <w:rFonts w:ascii="Arial" w:cs="Arial" w:eastAsia="Arial" w:hAnsi="Arial"/>
          <w:sz w:val="16"/>
          <w:szCs w:val="16"/>
          <w:color w:val="auto"/>
        </w:rPr>
        <w:t>” means: (a) a claim of an issued and unexpired patent covering the Patent Rights which has not been permanently revoked or held unenforceable or invalid by an un-appealable or un-appealed decision of a court or government agency of competent jurisdiction or (b) a claim of a pending patent application within the Patent Rights that has not been abandoned or finally disallowed without the possibility of appeal or refiling.</w:t>
      </w: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20"/>
          </w:cols>
          <w:pgMar w:left="240" w:top="163" w:right="339" w:bottom="1440" w:gutter="0" w:footer="0" w:header="0"/>
        </w:sectPr>
      </w:pPr>
    </w:p>
    <w:bookmarkStart w:id="364" w:name="page365"/>
    <w:bookmarkEnd w:id="364"/>
    <w:p>
      <w:pPr>
        <w:ind w:left="763" w:hanging="763"/>
        <w:spacing w:after="0"/>
        <w:tabs>
          <w:tab w:leader="none" w:pos="763"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Grant of Rights</w:t>
      </w:r>
    </w:p>
    <w:p>
      <w:pPr>
        <w:spacing w:after="0" w:line="303" w:lineRule="exact"/>
        <w:rPr>
          <w:sz w:val="20"/>
          <w:szCs w:val="20"/>
          <w:color w:val="auto"/>
        </w:rPr>
      </w:pPr>
    </w:p>
    <w:p>
      <w:pPr>
        <w:ind w:left="3" w:right="160" w:firstLine="584"/>
        <w:spacing w:after="0" w:line="27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License Grant</w:t>
      </w:r>
      <w:r>
        <w:rPr>
          <w:rFonts w:ascii="Arial" w:cs="Arial" w:eastAsia="Arial" w:hAnsi="Arial"/>
          <w:sz w:val="16"/>
          <w:szCs w:val="16"/>
          <w:color w:val="auto"/>
        </w:rPr>
        <w:t>. University hereby grants Company an exclusive, worldwide, royalty bearing license with the right to grant sublicense(s) under its commercial rights in the Patent Rights and the Licensed Know-How to develop, have developed, make, have made, use, have used, import, have imported, sell and have sold Licensed Products in the Field. University shall retain all other rights under, in and to the Patent Rights and Licensed Know-How.</w:t>
      </w:r>
    </w:p>
    <w:p>
      <w:pPr>
        <w:spacing w:after="0" w:line="242" w:lineRule="exact"/>
        <w:rPr>
          <w:sz w:val="20"/>
          <w:szCs w:val="20"/>
          <w:color w:val="auto"/>
        </w:rPr>
      </w:pPr>
    </w:p>
    <w:p>
      <w:pPr>
        <w:ind w:left="3" w:right="440" w:firstLine="584"/>
        <w:spacing w:after="0" w:line="27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Sublicenses</w:t>
      </w:r>
      <w:r>
        <w:rPr>
          <w:rFonts w:ascii="Arial" w:cs="Arial" w:eastAsia="Arial" w:hAnsi="Arial"/>
          <w:sz w:val="16"/>
          <w:szCs w:val="16"/>
          <w:color w:val="auto"/>
        </w:rPr>
        <w:t>. Company may grant sublicenses of its rights under Section 2.1. with the consent of University, which consent may not be unreasonably withheld or delayed. All Sublicense Agreements executed by Company pursuant to this Section 2.2. shall expressly bind the Sublicensee to the relevant terms of this Agreement. Company shall promptly furnish University with a fully executed copy of any Sublicense Agreement.</w:t>
      </w:r>
    </w:p>
    <w:p>
      <w:pPr>
        <w:spacing w:after="0" w:line="242"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u w:val="single" w:color="auto"/>
          <w:color w:val="auto"/>
        </w:rPr>
        <w:t>Retained Rights</w:t>
      </w:r>
      <w:r>
        <w:rPr>
          <w:rFonts w:ascii="Arial" w:cs="Arial" w:eastAsia="Arial" w:hAnsi="Arial"/>
          <w:sz w:val="14"/>
          <w:szCs w:val="14"/>
          <w:color w:val="auto"/>
        </w:rPr>
        <w:t>.</w:t>
      </w:r>
    </w:p>
    <w:p>
      <w:pPr>
        <w:spacing w:after="0" w:line="303" w:lineRule="exact"/>
        <w:rPr>
          <w:sz w:val="20"/>
          <w:szCs w:val="20"/>
          <w:color w:val="auto"/>
        </w:rPr>
      </w:pPr>
    </w:p>
    <w:p>
      <w:pPr>
        <w:ind w:left="3" w:right="240" w:firstLine="1166"/>
        <w:spacing w:after="0" w:line="276" w:lineRule="auto"/>
        <w:tabs>
          <w:tab w:leader="none" w:pos="1839"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University</w:t>
      </w:r>
      <w:r>
        <w:rPr>
          <w:rFonts w:ascii="Arial" w:cs="Arial" w:eastAsia="Arial" w:hAnsi="Arial"/>
          <w:sz w:val="16"/>
          <w:szCs w:val="16"/>
          <w:color w:val="auto"/>
        </w:rPr>
        <w:t>. University retains the right to use the Patent Rights and Licensed Know-How for academic research, teaching, and non-commercial patient care, without payment of compensation to Company. University may license its retained rights under this Subsection 2.3(a) to research collaborators of University faculty members, post-doctoral fellows, and students.</w:t>
      </w:r>
    </w:p>
    <w:p>
      <w:pPr>
        <w:spacing w:after="0" w:line="241" w:lineRule="exact"/>
        <w:rPr>
          <w:rFonts w:ascii="Arial" w:cs="Arial" w:eastAsia="Arial" w:hAnsi="Arial"/>
          <w:sz w:val="16"/>
          <w:szCs w:val="16"/>
          <w:color w:val="auto"/>
        </w:rPr>
      </w:pPr>
    </w:p>
    <w:p>
      <w:pPr>
        <w:ind w:left="3" w:firstLine="1166"/>
        <w:spacing w:after="0" w:line="265" w:lineRule="auto"/>
        <w:tabs>
          <w:tab w:leader="none" w:pos="1848"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Federal Government</w:t>
      </w:r>
      <w:r>
        <w:rPr>
          <w:rFonts w:ascii="Arial" w:cs="Arial" w:eastAsia="Arial" w:hAnsi="Arial"/>
          <w:sz w:val="16"/>
          <w:szCs w:val="16"/>
          <w:color w:val="auto"/>
        </w:rPr>
        <w:t>. If the federal government has funded any invention claimed in the Patent Rights, this Agreement and the grant of any rights in the Patent Rights are subject to the federal law set forth in 35 U.S.C. §§ 201-211 and the regulations promulgated thereunder, as amended, or any successor statutes or regulations. Company acknowledges that these statutes and regulations reserve to the federal government a royalty-free, non-exclusive, non-transferrable license to practice any government-funded invention claimed in the Patent Rights. If any term of this Agreement fails to conform to those laws and regulations, the relevant term is invalid, and the parties shall modify the term pursuant to Section 10.11.</w:t>
      </w:r>
    </w:p>
    <w:p>
      <w:pPr>
        <w:spacing w:after="0" w:line="250" w:lineRule="exact"/>
        <w:rPr>
          <w:rFonts w:ascii="Arial" w:cs="Arial" w:eastAsia="Arial" w:hAnsi="Arial"/>
          <w:sz w:val="16"/>
          <w:szCs w:val="16"/>
          <w:color w:val="auto"/>
        </w:rPr>
      </w:pPr>
    </w:p>
    <w:p>
      <w:pPr>
        <w:ind w:left="763" w:hanging="763"/>
        <w:spacing w:after="0"/>
        <w:tabs>
          <w:tab w:leader="none" w:pos="763"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Company Obligations Relating to Commercialization</w:t>
      </w:r>
      <w:r>
        <w:rPr>
          <w:rFonts w:ascii="Arial" w:cs="Arial" w:eastAsia="Arial" w:hAnsi="Arial"/>
          <w:sz w:val="16"/>
          <w:szCs w:val="16"/>
          <w:color w:val="auto"/>
        </w:rPr>
        <w:t>.</w:t>
      </w:r>
    </w:p>
    <w:p>
      <w:pPr>
        <w:spacing w:after="0" w:line="303" w:lineRule="exact"/>
        <w:rPr>
          <w:sz w:val="20"/>
          <w:szCs w:val="20"/>
          <w:color w:val="auto"/>
        </w:rPr>
      </w:pPr>
    </w:p>
    <w:p>
      <w:pPr>
        <w:ind w:left="3" w:firstLine="584"/>
        <w:spacing w:after="0" w:line="27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Diligence Requirements</w:t>
      </w:r>
      <w:r>
        <w:rPr>
          <w:rFonts w:ascii="Arial" w:cs="Arial" w:eastAsia="Arial" w:hAnsi="Arial"/>
          <w:sz w:val="16"/>
          <w:szCs w:val="16"/>
          <w:color w:val="auto"/>
        </w:rPr>
        <w:t>. Company shall use diligent efforts or cause its Affiliates and Sublicensees to use diligent efforts to develop Licensed Products and to introduce Licensed Products into the commercial market. Thereafter, Company or its Affiliates or Sublicensees shall make Licensed Products reasonably available to the public. Specifically, Company shall fulfill the following obligations:</w:t>
      </w:r>
    </w:p>
    <w:p>
      <w:pPr>
        <w:spacing w:after="0" w:line="242" w:lineRule="exact"/>
        <w:rPr>
          <w:sz w:val="20"/>
          <w:szCs w:val="20"/>
          <w:color w:val="auto"/>
        </w:rPr>
      </w:pPr>
    </w:p>
    <w:p>
      <w:pPr>
        <w:ind w:left="3" w:right="120" w:firstLine="1166"/>
        <w:spacing w:after="0" w:line="299" w:lineRule="auto"/>
        <w:tabs>
          <w:tab w:leader="none" w:pos="1839"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Financing of Company</w:t>
      </w:r>
      <w:r>
        <w:rPr>
          <w:rFonts w:ascii="Arial" w:cs="Arial" w:eastAsia="Arial" w:hAnsi="Arial"/>
          <w:sz w:val="16"/>
          <w:szCs w:val="16"/>
          <w:color w:val="auto"/>
        </w:rPr>
        <w:t>. On or before the first anniversary of the Commencement Date, Company shall demonstrate to the reasonable satisfaction of University that it has access to funds in the amount of at least [*].</w:t>
      </w:r>
    </w:p>
    <w:p>
      <w:pPr>
        <w:spacing w:after="0" w:line="200" w:lineRule="exact"/>
        <w:rPr>
          <w:sz w:val="20"/>
          <w:szCs w:val="20"/>
          <w:color w:val="auto"/>
        </w:rPr>
      </w:pPr>
    </w:p>
    <w:p>
      <w:pPr>
        <w:spacing w:after="0" w:line="38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64" w:right="239" w:bottom="1440" w:gutter="0" w:footer="0" w:header="0"/>
        </w:sectPr>
      </w:pPr>
    </w:p>
    <w:bookmarkStart w:id="365" w:name="page366"/>
    <w:bookmarkEnd w:id="365"/>
    <w:p>
      <w:pPr>
        <w:ind w:left="1840" w:hanging="674"/>
        <w:spacing w:after="0"/>
        <w:tabs>
          <w:tab w:leader="none" w:pos="1840"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Development of Licensed Products</w:t>
      </w:r>
      <w:r>
        <w:rPr>
          <w:rFonts w:ascii="Arial" w:cs="Arial" w:eastAsia="Arial" w:hAnsi="Arial"/>
          <w:sz w:val="16"/>
          <w:szCs w:val="16"/>
          <w:color w:val="auto"/>
        </w:rPr>
        <w:t>.</w:t>
      </w:r>
    </w:p>
    <w:p>
      <w:pPr>
        <w:spacing w:after="0" w:line="303" w:lineRule="exact"/>
        <w:rPr>
          <w:rFonts w:ascii="Arial" w:cs="Arial" w:eastAsia="Arial" w:hAnsi="Arial"/>
          <w:sz w:val="16"/>
          <w:szCs w:val="16"/>
          <w:color w:val="auto"/>
        </w:rPr>
      </w:pPr>
    </w:p>
    <w:p>
      <w:pPr>
        <w:ind w:right="460" w:firstLine="1751"/>
        <w:spacing w:after="0" w:line="299" w:lineRule="auto"/>
        <w:tabs>
          <w:tab w:leader="none" w:pos="2394"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Within [*] days of the Commencement Date, Company shall furnish University with a written business plan under which Company intends as of the Commencement Date to develop Licensed Products.</w:t>
      </w:r>
    </w:p>
    <w:p>
      <w:pPr>
        <w:spacing w:after="0" w:line="223" w:lineRule="exact"/>
        <w:rPr>
          <w:rFonts w:ascii="Arial" w:cs="Arial" w:eastAsia="Arial" w:hAnsi="Arial"/>
          <w:sz w:val="16"/>
          <w:szCs w:val="16"/>
          <w:color w:val="auto"/>
        </w:rPr>
      </w:pPr>
    </w:p>
    <w:p>
      <w:pPr>
        <w:ind w:firstLine="1751"/>
        <w:spacing w:after="0" w:line="269" w:lineRule="auto"/>
        <w:tabs>
          <w:tab w:leader="none" w:pos="2439"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Within [*] days after the start of each calendar year, beginning on January 1, 2014 Company shall furnish University with a written report on progress during the prior year to develop and commercialize Licensed Products, including without limitation research and development, efforts to obtain regulatory approval, marketing, and sales figures. Company shall also include in the report a discussion of its intended development and commercialization efforts and sales projections for the current year.</w:t>
      </w:r>
    </w:p>
    <w:p>
      <w:pPr>
        <w:spacing w:after="0" w:line="246" w:lineRule="exact"/>
        <w:rPr>
          <w:rFonts w:ascii="Arial" w:cs="Arial" w:eastAsia="Arial" w:hAnsi="Arial"/>
          <w:sz w:val="16"/>
          <w:szCs w:val="16"/>
          <w:color w:val="auto"/>
        </w:rPr>
      </w:pPr>
    </w:p>
    <w:p>
      <w:pPr>
        <w:ind w:right="400" w:firstLine="1751"/>
        <w:spacing w:after="0" w:line="299" w:lineRule="auto"/>
        <w:tabs>
          <w:tab w:leader="none" w:pos="2484"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Within [*] years after the Commencement Date, Company, its Affiliate or Sublicensee shall commence a Phase I clinical trial or its equivalent covering at least one (1) Licensed Product.</w:t>
      </w:r>
    </w:p>
    <w:p>
      <w:pPr>
        <w:spacing w:after="0" w:line="223" w:lineRule="exact"/>
        <w:rPr>
          <w:rFonts w:ascii="Arial" w:cs="Arial" w:eastAsia="Arial" w:hAnsi="Arial"/>
          <w:sz w:val="16"/>
          <w:szCs w:val="16"/>
          <w:color w:val="auto"/>
        </w:rPr>
      </w:pPr>
    </w:p>
    <w:p>
      <w:pPr>
        <w:ind w:right="340" w:firstLine="1751"/>
        <w:spacing w:after="0" w:line="299" w:lineRule="auto"/>
        <w:tabs>
          <w:tab w:leader="none" w:pos="247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Within [*] years after the Commencement Date, Company, its Affiliate or Sublicensee shall commence a Phase II clinical trial or its equivalent covering at least one (1) Licensed Product.</w:t>
      </w:r>
    </w:p>
    <w:p>
      <w:pPr>
        <w:spacing w:after="0" w:line="223" w:lineRule="exact"/>
        <w:rPr>
          <w:rFonts w:ascii="Arial" w:cs="Arial" w:eastAsia="Arial" w:hAnsi="Arial"/>
          <w:sz w:val="16"/>
          <w:szCs w:val="16"/>
          <w:color w:val="auto"/>
        </w:rPr>
      </w:pPr>
    </w:p>
    <w:p>
      <w:pPr>
        <w:ind w:right="340" w:firstLine="1751"/>
        <w:spacing w:after="0" w:line="299" w:lineRule="auto"/>
        <w:tabs>
          <w:tab w:leader="none" w:pos="2429"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Within [*] years after the Commencement Date, Company, its Affiliate or Sublicensee shall commence a Phase III clinical trial or its equivalent covering at least one (1) Licensed Product.</w:t>
      </w:r>
    </w:p>
    <w:p>
      <w:pPr>
        <w:spacing w:after="0" w:line="219" w:lineRule="exact"/>
        <w:rPr>
          <w:rFonts w:ascii="Arial" w:cs="Arial" w:eastAsia="Arial" w:hAnsi="Arial"/>
          <w:sz w:val="16"/>
          <w:szCs w:val="16"/>
          <w:color w:val="auto"/>
        </w:rPr>
      </w:pPr>
    </w:p>
    <w:p>
      <w:pPr>
        <w:ind w:right="240" w:firstLine="1751"/>
        <w:spacing w:after="0" w:line="304" w:lineRule="auto"/>
        <w:tabs>
          <w:tab w:leader="none" w:pos="247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Within [*] years after the Commencement Date, Company, its Affiliate or Sublicensee shall file a New Drug Application (“</w:t>
      </w:r>
      <w:r>
        <w:rPr>
          <w:rFonts w:ascii="Arial" w:cs="Arial" w:eastAsia="Arial" w:hAnsi="Arial"/>
          <w:sz w:val="16"/>
          <w:szCs w:val="16"/>
          <w:b w:val="1"/>
          <w:bCs w:val="1"/>
          <w:color w:val="auto"/>
        </w:rPr>
        <w:t>NDA</w:t>
      </w:r>
      <w:r>
        <w:rPr>
          <w:rFonts w:ascii="Arial" w:cs="Arial" w:eastAsia="Arial" w:hAnsi="Arial"/>
          <w:sz w:val="16"/>
          <w:szCs w:val="16"/>
          <w:color w:val="auto"/>
        </w:rPr>
        <w:t>”) or Biologics License Application (“</w:t>
      </w:r>
      <w:r>
        <w:rPr>
          <w:rFonts w:ascii="Arial" w:cs="Arial" w:eastAsia="Arial" w:hAnsi="Arial"/>
          <w:sz w:val="16"/>
          <w:szCs w:val="16"/>
          <w:b w:val="1"/>
          <w:bCs w:val="1"/>
          <w:color w:val="auto"/>
        </w:rPr>
        <w:t>BLA</w:t>
      </w:r>
      <w:r>
        <w:rPr>
          <w:rFonts w:ascii="Arial" w:cs="Arial" w:eastAsia="Arial" w:hAnsi="Arial"/>
          <w:sz w:val="16"/>
          <w:szCs w:val="16"/>
          <w:color w:val="auto"/>
        </w:rPr>
        <w:t>”) with the FDA covering at least one (1) Licensed Product.</w:t>
      </w:r>
    </w:p>
    <w:p>
      <w:pPr>
        <w:spacing w:after="0" w:line="219" w:lineRule="exact"/>
        <w:rPr>
          <w:rFonts w:ascii="Arial" w:cs="Arial" w:eastAsia="Arial" w:hAnsi="Arial"/>
          <w:sz w:val="16"/>
          <w:szCs w:val="16"/>
          <w:color w:val="auto"/>
        </w:rPr>
      </w:pPr>
    </w:p>
    <w:p>
      <w:pPr>
        <w:ind w:right="180" w:firstLine="1751"/>
        <w:spacing w:after="0" w:line="299" w:lineRule="auto"/>
        <w:tabs>
          <w:tab w:leader="none" w:pos="252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Within [*] months after receiving FDA approval of the NDA or BLA for any Licensed Product, Company, its Affiliate or Sublicensee shall market the approved Licensed Product in the United States.</w:t>
      </w:r>
    </w:p>
    <w:p>
      <w:pPr>
        <w:spacing w:after="0" w:line="223" w:lineRule="exact"/>
        <w:rPr>
          <w:sz w:val="20"/>
          <w:szCs w:val="20"/>
          <w:color w:val="auto"/>
        </w:rPr>
      </w:pPr>
    </w:p>
    <w:p>
      <w:pPr>
        <w:ind w:right="20" w:firstLine="584"/>
        <w:spacing w:after="0" w:line="265" w:lineRule="auto"/>
        <w:rPr>
          <w:sz w:val="20"/>
          <w:szCs w:val="20"/>
          <w:color w:val="auto"/>
        </w:rPr>
      </w:pPr>
      <w:r>
        <w:rPr>
          <w:rFonts w:ascii="Arial" w:cs="Arial" w:eastAsia="Arial" w:hAnsi="Arial"/>
          <w:sz w:val="16"/>
          <w:szCs w:val="16"/>
          <w:color w:val="auto"/>
        </w:rPr>
        <w:t>3.2. If University determines that Company has not fulfilled its obligations under Subsection 3.1(b), University shall furnish Company with written notice of the determination. Within [*] days after receipt of the notice, Company shall either: (a) fulfill the relevant obligation or (b) negotiate with University a mutually acceptable schedule of revised diligence obligations, failing which University may, immediately upon written notice to Company, terminate this Agreement or convert the exclusive license into a non-exclusive license. University will not unreasonably withhold consent to a reasonable extension of any milestone obligation if Company can demonstrate that it has diligently sought to achieve such obligation but has been unable to do so due to unforeseeable circumstances.</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0"/>
          </w:cols>
          <w:pgMar w:left="240" w:top="164" w:right="279" w:bottom="1440" w:gutter="0" w:footer="0" w:header="0"/>
        </w:sectPr>
      </w:pPr>
    </w:p>
    <w:bookmarkStart w:id="366" w:name="page367"/>
    <w:bookmarkEnd w:id="366"/>
    <w:p>
      <w:pPr>
        <w:ind w:left="560"/>
        <w:spacing w:after="0"/>
        <w:tabs>
          <w:tab w:leader="none" w:pos="128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303" w:lineRule="exact"/>
        <w:rPr>
          <w:sz w:val="20"/>
          <w:szCs w:val="20"/>
          <w:color w:val="auto"/>
        </w:rPr>
      </w:pPr>
    </w:p>
    <w:p>
      <w:pPr>
        <w:ind w:left="-20" w:right="60" w:firstLine="1166"/>
        <w:spacing w:after="0" w:line="261" w:lineRule="auto"/>
        <w:tabs>
          <w:tab w:leader="none" w:pos="1816"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Company shall indemnify, defend, and hold harmless University and its trustees, officers, faculty, students, employees, and agents and their respective successors, heirs and assigns (the “</w:t>
      </w:r>
      <w:r>
        <w:rPr>
          <w:rFonts w:ascii="Arial" w:cs="Arial" w:eastAsia="Arial" w:hAnsi="Arial"/>
          <w:sz w:val="16"/>
          <w:szCs w:val="16"/>
          <w:b w:val="1"/>
          <w:bCs w:val="1"/>
          <w:color w:val="auto"/>
        </w:rPr>
        <w:t>Indemnitees</w:t>
      </w:r>
      <w:r>
        <w:rPr>
          <w:rFonts w:ascii="Arial" w:cs="Arial" w:eastAsia="Arial" w:hAnsi="Arial"/>
          <w:sz w:val="16"/>
          <w:szCs w:val="16"/>
          <w:color w:val="auto"/>
        </w:rPr>
        <w:t>”), against any liability, damage, loss, or expense (including reasonable attorneys’ fees and expenses of litigation) incurred by or imposed upon any of the Indemnitees in connection with any third party claims, suits, actions, demands or judgments arising out of any theory of liability (including without limitation actions in the form of tort, warranty, or strict liability and regardless of whether the action has any factual basis) concerning any product, process, or service that is made, used, or sold pursuant to any right or license granted under this Agreement. However, indemnification does not apply to any liability, damage, loss, or expense to the extent directly attributable to: (i) the gross negligence or intentional misconduct of the Indemnitees or (ii) the settlement of a claim, suit, action, or demand by Indemnitees without the prior written approval of Company.</w:t>
      </w:r>
    </w:p>
    <w:p>
      <w:pPr>
        <w:spacing w:after="0" w:line="255" w:lineRule="exact"/>
        <w:rPr>
          <w:rFonts w:ascii="Arial" w:cs="Arial" w:eastAsia="Arial" w:hAnsi="Arial"/>
          <w:sz w:val="16"/>
          <w:szCs w:val="16"/>
          <w:color w:val="auto"/>
        </w:rPr>
      </w:pPr>
    </w:p>
    <w:p>
      <w:pPr>
        <w:ind w:left="-20" w:firstLine="1166"/>
        <w:spacing w:after="0" w:line="261" w:lineRule="auto"/>
        <w:tabs>
          <w:tab w:leader="none" w:pos="1825"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The Indemnitees agree to provide Company with prompt written notice of any claim, suit, action, demand, or judgment for which indemnification is sought under this Agreement. Company agrees, at its own expense, to provide attorneys reasonably acceptable to University to defend against any claim. The Indemnitees shall cooperate fully with Company in the defense and will permit Company to conduct and control the defense and the disposition of the claim, suit, or action (including all decisions relative to litigation, appeal, and settlement). However, any Indemnitee may retain its own counsel, at the expense of Company, if representation of the Indemnitee by the counsel retained by Company would be inappropriate because of actual or potential conflicts in the interests of the Indemnitee and any other party represented by that counsel. Company agrees to keep University informed of the progress in the defense and disposition of the claim and to consult with University regarding any proposed settlement.</w:t>
      </w:r>
    </w:p>
    <w:p>
      <w:pPr>
        <w:spacing w:after="0" w:line="255" w:lineRule="exact"/>
        <w:rPr>
          <w:rFonts w:ascii="Arial" w:cs="Arial" w:eastAsia="Arial" w:hAnsi="Arial"/>
          <w:sz w:val="16"/>
          <w:szCs w:val="16"/>
          <w:color w:val="auto"/>
        </w:rPr>
      </w:pPr>
    </w:p>
    <w:p>
      <w:pPr>
        <w:ind w:left="-20" w:right="100" w:firstLine="1166"/>
        <w:spacing w:after="0" w:line="276" w:lineRule="auto"/>
        <w:tabs>
          <w:tab w:leader="none" w:pos="1816" w:val="left"/>
        </w:tabs>
        <w:numPr>
          <w:ilvl w:val="0"/>
          <w:numId w:val="329"/>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 Commencing on the Commencement Date, Company shall maintain insurance that is reasonably sufficient to fulfill its obligations under this Agreement, including without limitation workers’ compensation insurance with statutory limits as required by law; commercial general liability insurance with coverage of not less than [*] for any single occurrence and [*] in the aggregate. Upon commencing testing or sales, Company shall maintain product liability insurance that is reasonably sufficient to fulfill its obligations under this Agreement, but not less than one million dollars [*] for any single occurrence and [*] in the aggregate. In connection with the conduct of any clinical testing, Company shall maintain professional liability insurance (errors and omissions) that is reasonably sufficient to fulfill its obligations under this Agreement, but not less than [*] for any single occurrence and [*] in the aggregate. Upon commencement of coverage (as required above) and thereafter annually upon renewal, Company shall provide University with written evidence of insurance. Such insurance shall list University as a named insured and additional insured. All policies shall be endorsed to indicate that they provide primary coverage without right of contribution by any insurance carrier or self-insured by University. A waiver of subrogation in favor of the Indemnitees shall also be endorsed to the policies. If such coverage is not written on an “occurrence” basis (i.e., it is written on a “claims made” basis), Company shall maintain such insurance coverage during the term of this Agreement and for [*] years thereafter. For purposes of this Subsection 3.3(c), references to “Company” shall include any Affiliate of Company to which Company grants a sublicense hereunder or to which it otherwise delegates any of Company’s obligations hereunder, and Company shall ensure that the foregoing insurance obligations shall apply to any such Affiliate.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45720</wp:posOffset>
            </wp:positionV>
            <wp:extent cx="7259955" cy="152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0"/>
          </w:cols>
          <w:pgMar w:left="260" w:top="164" w:right="239" w:bottom="1440" w:gutter="0" w:footer="0" w:header="0"/>
        </w:sectPr>
      </w:pPr>
    </w:p>
    <w:bookmarkStart w:id="367" w:name="page368"/>
    <w:bookmarkEnd w:id="367"/>
    <w:p>
      <w:pPr>
        <w:ind w:left="3" w:right="940" w:firstLine="584"/>
        <w:spacing w:after="0" w:line="299"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Use of University Name</w:t>
      </w:r>
      <w:r>
        <w:rPr>
          <w:rFonts w:ascii="Arial" w:cs="Arial" w:eastAsia="Arial" w:hAnsi="Arial"/>
          <w:sz w:val="16"/>
          <w:szCs w:val="16"/>
          <w:color w:val="auto"/>
        </w:rPr>
        <w:t>. In accordance with Section 7.2., Company and its Affiliates and Sublicensees may not use the name “University of Massachusetts” or any variation of that name in connection with the marketing or sale of any Licensed Products.</w:t>
      </w:r>
    </w:p>
    <w:p>
      <w:pPr>
        <w:spacing w:after="0" w:line="223" w:lineRule="exact"/>
        <w:rPr>
          <w:sz w:val="20"/>
          <w:szCs w:val="20"/>
          <w:color w:val="auto"/>
        </w:rPr>
      </w:pPr>
    </w:p>
    <w:p>
      <w:pPr>
        <w:jc w:val="both"/>
        <w:ind w:left="3" w:right="40" w:firstLine="584"/>
        <w:spacing w:after="0" w:line="27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Marking of Licensed Products</w:t>
      </w:r>
      <w:r>
        <w:rPr>
          <w:rFonts w:ascii="Arial" w:cs="Arial" w:eastAsia="Arial" w:hAnsi="Arial"/>
          <w:sz w:val="16"/>
          <w:szCs w:val="16"/>
          <w:color w:val="auto"/>
        </w:rPr>
        <w:t>. To the extent commercially feasible and consistent with prevailing business practices, Company shall mark and shall cause its Affiliates and Sublicensees to mark all Licensed Products that are manufactured or sold under this Agreement with the number of each issued patent under the Patent Rights that applies to a Licensed Product.</w:t>
      </w:r>
    </w:p>
    <w:p>
      <w:pPr>
        <w:spacing w:after="0" w:line="242" w:lineRule="exact"/>
        <w:rPr>
          <w:sz w:val="20"/>
          <w:szCs w:val="20"/>
          <w:color w:val="auto"/>
        </w:rPr>
      </w:pPr>
    </w:p>
    <w:p>
      <w:pPr>
        <w:ind w:left="3" w:right="360" w:firstLine="584"/>
        <w:spacing w:after="0" w:line="376"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Compliance with Law</w:t>
      </w:r>
      <w:r>
        <w:rPr>
          <w:rFonts w:ascii="Arial" w:cs="Arial" w:eastAsia="Arial" w:hAnsi="Arial"/>
          <w:sz w:val="14"/>
          <w:szCs w:val="14"/>
          <w:color w:val="auto"/>
        </w:rPr>
        <w:t>. Company shall comply with, and shall ensure that its Affiliates and Sublicensees comply with, all local, state, federal, and international laws and regulations relating to the development, manufacture, use, and sale of Licensed Products. Company expressly agrees to comply with the following:</w:t>
      </w:r>
    </w:p>
    <w:p>
      <w:pPr>
        <w:spacing w:after="0" w:line="177" w:lineRule="exact"/>
        <w:rPr>
          <w:sz w:val="20"/>
          <w:szCs w:val="20"/>
          <w:color w:val="auto"/>
        </w:rPr>
      </w:pPr>
    </w:p>
    <w:p>
      <w:pPr>
        <w:ind w:left="3" w:right="60" w:firstLine="1166"/>
        <w:spacing w:after="0" w:line="335" w:lineRule="auto"/>
        <w:tabs>
          <w:tab w:leader="none" w:pos="1839" w:val="left"/>
        </w:tabs>
        <w:numPr>
          <w:ilvl w:val="1"/>
          <w:numId w:val="330"/>
        </w:numPr>
        <w:rPr>
          <w:rFonts w:ascii="Arial" w:cs="Arial" w:eastAsia="Arial" w:hAnsi="Arial"/>
          <w:sz w:val="15"/>
          <w:szCs w:val="15"/>
          <w:color w:val="auto"/>
        </w:rPr>
      </w:pPr>
      <w:r>
        <w:rPr>
          <w:rFonts w:ascii="Arial" w:cs="Arial" w:eastAsia="Arial" w:hAnsi="Arial"/>
          <w:sz w:val="15"/>
          <w:szCs w:val="15"/>
          <w:color w:val="auto"/>
        </w:rPr>
        <w:t>Company or its Affiliates or Sublicensees shall obtain all necessary approvals from the United States Food &amp; Drug Administration and any similar foreign governmental authorities in countries or regions in which Company or Affiliate or Sublicensee intends to make, use, or sell Licensed Products.</w:t>
      </w:r>
    </w:p>
    <w:p>
      <w:pPr>
        <w:spacing w:after="0" w:line="200" w:lineRule="exact"/>
        <w:rPr>
          <w:rFonts w:ascii="Arial" w:cs="Arial" w:eastAsia="Arial" w:hAnsi="Arial"/>
          <w:sz w:val="15"/>
          <w:szCs w:val="15"/>
          <w:color w:val="auto"/>
        </w:rPr>
      </w:pPr>
    </w:p>
    <w:p>
      <w:pPr>
        <w:ind w:left="3" w:right="160" w:firstLine="1166"/>
        <w:spacing w:after="0" w:line="263" w:lineRule="auto"/>
        <w:tabs>
          <w:tab w:leader="none" w:pos="1848" w:val="left"/>
        </w:tabs>
        <w:numPr>
          <w:ilvl w:val="1"/>
          <w:numId w:val="330"/>
        </w:numPr>
        <w:rPr>
          <w:rFonts w:ascii="Arial" w:cs="Arial" w:eastAsia="Arial" w:hAnsi="Arial"/>
          <w:sz w:val="16"/>
          <w:szCs w:val="16"/>
          <w:color w:val="auto"/>
        </w:rPr>
      </w:pPr>
      <w:r>
        <w:rPr>
          <w:rFonts w:ascii="Arial" w:cs="Arial" w:eastAsia="Arial" w:hAnsi="Arial"/>
          <w:sz w:val="16"/>
          <w:szCs w:val="16"/>
          <w:color w:val="auto"/>
        </w:rPr>
        <w:t>Company and its Affiliates and Sublicensees shall comply with all United States laws and regulations controlling the export of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and foreign nationals. Company hereby gives written assurance that it will comply with and will cause its Affiliates and Sublicensees to comply with all United States export control laws and regulations, that it bears sole responsibility for any violation of those laws and regulations by itself or its Affiliates or Sublicensees, and that it will indemnify, defend, and hold University harmless (in accordance with Section 3.3.) for the consequences of any violation.</w:t>
      </w:r>
    </w:p>
    <w:p>
      <w:pPr>
        <w:spacing w:after="0" w:line="251" w:lineRule="exact"/>
        <w:rPr>
          <w:rFonts w:ascii="Arial" w:cs="Arial" w:eastAsia="Arial" w:hAnsi="Arial"/>
          <w:sz w:val="16"/>
          <w:szCs w:val="16"/>
          <w:color w:val="auto"/>
        </w:rPr>
      </w:pPr>
    </w:p>
    <w:p>
      <w:pPr>
        <w:jc w:val="both"/>
        <w:ind w:left="3" w:right="100" w:firstLine="1166"/>
        <w:spacing w:after="0" w:line="269" w:lineRule="auto"/>
        <w:tabs>
          <w:tab w:leader="none" w:pos="1839" w:val="left"/>
        </w:tabs>
        <w:numPr>
          <w:ilvl w:val="1"/>
          <w:numId w:val="330"/>
        </w:numPr>
        <w:rPr>
          <w:rFonts w:ascii="Arial" w:cs="Arial" w:eastAsia="Arial" w:hAnsi="Arial"/>
          <w:sz w:val="16"/>
          <w:szCs w:val="16"/>
          <w:color w:val="auto"/>
        </w:rPr>
      </w:pPr>
      <w:r>
        <w:rPr>
          <w:rFonts w:ascii="Arial" w:cs="Arial" w:eastAsia="Arial" w:hAnsi="Arial"/>
          <w:sz w:val="16"/>
          <w:szCs w:val="16"/>
          <w:color w:val="auto"/>
        </w:rPr>
        <w:t>If any invention claimed in the Patent Rights has been funded by the United States government, and only to the extent required by applicable laws and regulations, Company agrees that any Licensed Products used or sold in the United States will be manufactured substantially in the United States or its territories. Current law provides that if domestic manufacture is not commercially feasible under the circumstances, University may seek a waiver of this requirement from the relevant federal agency on behalf of Company, and University agrees to seek such a waiver upon reasonable request of Company.</w:t>
      </w:r>
    </w:p>
    <w:p>
      <w:pPr>
        <w:spacing w:after="0" w:line="246" w:lineRule="exact"/>
        <w:rPr>
          <w:rFonts w:ascii="Arial" w:cs="Arial" w:eastAsia="Arial" w:hAnsi="Arial"/>
          <w:sz w:val="16"/>
          <w:szCs w:val="16"/>
          <w:color w:val="auto"/>
        </w:rPr>
      </w:pPr>
    </w:p>
    <w:p>
      <w:pPr>
        <w:ind w:left="763" w:hanging="763"/>
        <w:spacing w:after="0"/>
        <w:tabs>
          <w:tab w:leader="none" w:pos="763"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Consideration for Grant of Rights</w:t>
      </w:r>
      <w:r>
        <w:rPr>
          <w:rFonts w:ascii="Arial" w:cs="Arial" w:eastAsia="Arial" w:hAnsi="Arial"/>
          <w:sz w:val="16"/>
          <w:szCs w:val="16"/>
          <w:color w:val="auto"/>
        </w:rPr>
        <w:t>.</w:t>
      </w:r>
    </w:p>
    <w:p>
      <w:pPr>
        <w:spacing w:after="0" w:line="303" w:lineRule="exact"/>
        <w:rPr>
          <w:sz w:val="20"/>
          <w:szCs w:val="20"/>
          <w:color w:val="auto"/>
        </w:rPr>
      </w:pPr>
    </w:p>
    <w:p>
      <w:pPr>
        <w:jc w:val="both"/>
        <w:ind w:left="3" w:firstLine="584"/>
        <w:spacing w:after="0" w:line="26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License Fee</w:t>
      </w:r>
      <w:r>
        <w:rPr>
          <w:rFonts w:ascii="Arial" w:cs="Arial" w:eastAsia="Arial" w:hAnsi="Arial"/>
          <w:sz w:val="16"/>
          <w:szCs w:val="16"/>
          <w:color w:val="auto"/>
        </w:rPr>
        <w:t>. In partial consideration of the rights granted Company under this Agreement, Company shall pay to University a license fee of [*] Dollars [*] with an initial payment of [*] Dollars [*] due on the Commencement Date and the remaining [*] Dollars [*] due within [*] days of the date Company enters into a Sublicense Agreement granting rights to develop or commercialize a Licensed Product(s) or is merged with or acquired by a third party, other than a Sublicense Agreement with an Affiliate where the sublicense is for the purpose of a research and/or development program. These license fee payments are nonrefundable and are not creditable against any other payments due to University under this Agreement.</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63" w:right="239" w:bottom="1440" w:gutter="0" w:footer="0" w:header="0"/>
        </w:sectPr>
      </w:pPr>
    </w:p>
    <w:bookmarkStart w:id="368" w:name="page369"/>
    <w:bookmarkEnd w:id="368"/>
    <w:p>
      <w:pPr>
        <w:ind w:left="580"/>
        <w:spacing w:after="0"/>
        <w:tabs>
          <w:tab w:leader="none" w:pos="130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u w:val="single" w:color="auto"/>
          <w:color w:val="auto"/>
        </w:rPr>
        <w:t>Equity.</w:t>
      </w:r>
    </w:p>
    <w:p>
      <w:pPr>
        <w:spacing w:after="0" w:line="303" w:lineRule="exact"/>
        <w:rPr>
          <w:sz w:val="20"/>
          <w:szCs w:val="20"/>
          <w:color w:val="auto"/>
        </w:rPr>
      </w:pPr>
    </w:p>
    <w:p>
      <w:pPr>
        <w:jc w:val="both"/>
        <w:ind w:firstLine="1166"/>
        <w:spacing w:after="0" w:line="276" w:lineRule="auto"/>
        <w:tabs>
          <w:tab w:leader="none" w:pos="183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Promptly after signature of a definitive agreement which would, if put into effect, result in a first Change of Control event, and in any event prior to completion of the Change of Control event, Company shall allot to University such number of ordinary shares of [*] each in the capital of Company (the “</w:t>
      </w:r>
      <w:r>
        <w:rPr>
          <w:rFonts w:ascii="Arial" w:cs="Arial" w:eastAsia="Arial" w:hAnsi="Arial"/>
          <w:sz w:val="16"/>
          <w:szCs w:val="16"/>
          <w:b w:val="1"/>
          <w:bCs w:val="1"/>
          <w:color w:val="auto"/>
        </w:rPr>
        <w:t>University Shares</w:t>
      </w:r>
      <w:r>
        <w:rPr>
          <w:rFonts w:ascii="Arial" w:cs="Arial" w:eastAsia="Arial" w:hAnsi="Arial"/>
          <w:sz w:val="16"/>
          <w:szCs w:val="16"/>
          <w:color w:val="auto"/>
        </w:rPr>
        <w:t>”) as will result in the University Shares constituting [*] of CSFM where:</w:t>
      </w:r>
    </w:p>
    <w:p>
      <w:pPr>
        <w:spacing w:after="0" w:line="205" w:lineRule="exact"/>
        <w:rPr>
          <w:sz w:val="20"/>
          <w:szCs w:val="20"/>
          <w:color w:val="auto"/>
        </w:rPr>
      </w:pPr>
    </w:p>
    <w:p>
      <w:pPr>
        <w:jc w:val="both"/>
        <w:ind w:firstLine="1169"/>
        <w:spacing w:after="0" w:line="263" w:lineRule="auto"/>
        <w:rPr>
          <w:sz w:val="20"/>
          <w:szCs w:val="20"/>
          <w:color w:val="auto"/>
        </w:rPr>
      </w:pPr>
      <w:r>
        <w:rPr>
          <w:rFonts w:ascii="Arial" w:cs="Arial" w:eastAsia="Arial" w:hAnsi="Arial"/>
          <w:sz w:val="16"/>
          <w:szCs w:val="16"/>
          <w:color w:val="auto"/>
        </w:rPr>
        <w:t>CSFM = the Company’s issued share capital immediately prior to completion of the Change of Control event, and for the avoidance of doubt assuming full dilution by all shares: (i) granted or committed prior to completion of the Change of Control event under Company employee share option schemes; and (ii) issued or committed prior to completion of the Change of Control event to Company members under a debt-for-equity conversion; but disregarding any issue or proposed issue of Company shares to a third party purchaser(s) or investor(s) pursuant to the Change of Control event.</w:t>
      </w:r>
    </w:p>
    <w:p>
      <w:pPr>
        <w:spacing w:after="0" w:line="216" w:lineRule="exact"/>
        <w:rPr>
          <w:sz w:val="20"/>
          <w:szCs w:val="20"/>
          <w:color w:val="auto"/>
        </w:rPr>
      </w:pPr>
    </w:p>
    <w:p>
      <w:pPr>
        <w:jc w:val="both"/>
        <w:ind w:firstLine="1169"/>
        <w:spacing w:after="0" w:line="283" w:lineRule="auto"/>
        <w:rPr>
          <w:sz w:val="20"/>
          <w:szCs w:val="20"/>
          <w:color w:val="auto"/>
        </w:rPr>
      </w:pPr>
      <w:r>
        <w:rPr>
          <w:rFonts w:ascii="Arial" w:cs="Arial" w:eastAsia="Arial" w:hAnsi="Arial"/>
          <w:sz w:val="16"/>
          <w:szCs w:val="16"/>
          <w:color w:val="auto"/>
        </w:rPr>
        <w:t>By way of example, if the issued Company share capital is [*] shares, with [*] shares granted or committed under Company employee share option schemes and [*] shares allotted or to be allotted upon conversion of shareholder indebtedness prior to completion of the Change of Control event, then:</w:t>
      </w:r>
    </w:p>
    <w:p>
      <w:pPr>
        <w:spacing w:after="0" w:line="19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CSFM = [*] + [*] + [*] = [*]</w:t>
      </w:r>
    </w:p>
    <w:p>
      <w:pPr>
        <w:spacing w:after="0" w:line="25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And University would be allotted [*] University Shares out of a resultant total Company share capital of [*] shares immediately prior to completion of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 event. If no shareholder indebtedness is to be converted, then:</w:t>
      </w:r>
    </w:p>
    <w:p>
      <w:pPr>
        <w:spacing w:after="0" w:line="243" w:lineRule="exact"/>
        <w:rPr>
          <w:sz w:val="20"/>
          <w:szCs w:val="20"/>
          <w:color w:val="auto"/>
        </w:rPr>
      </w:pPr>
    </w:p>
    <w:p>
      <w:pPr>
        <w:jc w:val="both"/>
        <w:ind w:firstLine="1169"/>
        <w:spacing w:after="0" w:line="283" w:lineRule="auto"/>
        <w:rPr>
          <w:sz w:val="20"/>
          <w:szCs w:val="20"/>
          <w:color w:val="auto"/>
        </w:rPr>
      </w:pPr>
      <w:r>
        <w:rPr>
          <w:rFonts w:ascii="Arial" w:cs="Arial" w:eastAsia="Arial" w:hAnsi="Arial"/>
          <w:sz w:val="16"/>
          <w:szCs w:val="16"/>
          <w:color w:val="auto"/>
        </w:rPr>
        <w:t>CSFM = [*] + [*] = [*] immediately prior to completion of the Change of Control event and University would be allotted [*] University Shares in satisfaction of its [*] allotment right.</w:t>
      </w:r>
    </w:p>
    <w:p>
      <w:pPr>
        <w:spacing w:after="0" w:line="199" w:lineRule="exact"/>
        <w:rPr>
          <w:sz w:val="20"/>
          <w:szCs w:val="20"/>
          <w:color w:val="auto"/>
        </w:rPr>
      </w:pPr>
    </w:p>
    <w:p>
      <w:pPr>
        <w:jc w:val="both"/>
        <w:ind w:firstLine="1169"/>
        <w:spacing w:after="0" w:line="283" w:lineRule="auto"/>
        <w:rPr>
          <w:sz w:val="20"/>
          <w:szCs w:val="20"/>
          <w:color w:val="auto"/>
        </w:rPr>
      </w:pPr>
      <w:r>
        <w:rPr>
          <w:rFonts w:ascii="Arial" w:cs="Arial" w:eastAsia="Arial" w:hAnsi="Arial"/>
          <w:sz w:val="16"/>
          <w:szCs w:val="16"/>
          <w:color w:val="auto"/>
        </w:rPr>
        <w:t>Company shall use commercially reasonable efforts to issue and register the University Shares as soon as possible, subject to customary terms in connection with the registration.</w:t>
      </w:r>
    </w:p>
    <w:p>
      <w:pPr>
        <w:spacing w:after="0" w:line="236" w:lineRule="exact"/>
        <w:rPr>
          <w:sz w:val="20"/>
          <w:szCs w:val="20"/>
          <w:color w:val="auto"/>
        </w:rPr>
      </w:pPr>
    </w:p>
    <w:p>
      <w:pPr>
        <w:ind w:right="100" w:firstLine="1166"/>
        <w:spacing w:after="0" w:line="269" w:lineRule="auto"/>
        <w:tabs>
          <w:tab w:leader="none" w:pos="184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Company represents that as at the date of the allotment of the University Shares: (i) Company is a private limited company duly organized and validly existing under the laws of England and Wales; (ii) Company has full power and authority and has obtained all necessary authorities and consents to perform its obligations with regard to the issue and allotment of the University Shares; and (iii) Company has only one class of shares, and the University Shares will rank pari passu with all other ordinary shares in issue.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64" w:right="239" w:bottom="1440" w:gutter="0" w:footer="0" w:header="0"/>
        </w:sectPr>
      </w:pPr>
    </w:p>
    <w:bookmarkStart w:id="369" w:name="page370"/>
    <w:bookmarkEnd w:id="369"/>
    <w:p>
      <w:pPr>
        <w:ind w:right="220" w:firstLine="1169"/>
        <w:spacing w:after="0" w:line="261" w:lineRule="auto"/>
        <w:rPr>
          <w:sz w:val="20"/>
          <w:szCs w:val="20"/>
          <w:color w:val="auto"/>
        </w:rPr>
      </w:pPr>
      <w:r>
        <w:rPr>
          <w:rFonts w:ascii="Arial" w:cs="Arial" w:eastAsia="Arial" w:hAnsi="Arial"/>
          <w:sz w:val="16"/>
          <w:szCs w:val="16"/>
          <w:color w:val="auto"/>
        </w:rPr>
        <w:t>COMPANY MAKES NO OTHER WARRANTIES CONCERNING COMPANY OR THE SHARES ISSUED OR TO BE ISSUED TO UNIVERSITY PURSUANT TO SUBSECTION 4.2(a). Specifically, University acknowledges that Company has no commercial products but is engaged in experimental medical research which carries a high element of uncertainty and risk and results cannot be guaranteed, and accordingly none of Company nor any of its officers, shareholders, related bodies corporate, partners, affiliates, employees, representatives and advisers makes any warranty or representation regarding the value, performance or profitability of Company or any business activities conducted by Company now or in the future.</w:t>
      </w:r>
    </w:p>
    <w:p>
      <w:pPr>
        <w:spacing w:after="0" w:line="254" w:lineRule="exact"/>
        <w:rPr>
          <w:sz w:val="20"/>
          <w:szCs w:val="20"/>
          <w:color w:val="auto"/>
        </w:rPr>
      </w:pPr>
    </w:p>
    <w:p>
      <w:pPr>
        <w:ind w:left="1840" w:hanging="674"/>
        <w:spacing w:after="0"/>
        <w:tabs>
          <w:tab w:leader="none" w:pos="184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University agrees in connection with:</w:t>
      </w:r>
    </w:p>
    <w:p>
      <w:pPr>
        <w:spacing w:after="0" w:line="303" w:lineRule="exact"/>
        <w:rPr>
          <w:rFonts w:ascii="Arial" w:cs="Arial" w:eastAsia="Arial" w:hAnsi="Arial"/>
          <w:sz w:val="16"/>
          <w:szCs w:val="16"/>
          <w:color w:val="auto"/>
        </w:rPr>
      </w:pPr>
    </w:p>
    <w:p>
      <w:pPr>
        <w:ind w:right="60" w:firstLine="1751"/>
        <w:spacing w:after="0" w:line="299" w:lineRule="auto"/>
        <w:tabs>
          <w:tab w:leader="none" w:pos="2394"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issuance of the University Shares, to become a party to other agreements of Company to the same extent as holders of more than [*] of the ordinary shares of Company (such as, voting agreement and stock restriction agreement); and</w:t>
      </w:r>
    </w:p>
    <w:p>
      <w:pPr>
        <w:spacing w:after="0" w:line="223" w:lineRule="exact"/>
        <w:rPr>
          <w:rFonts w:ascii="Arial" w:cs="Arial" w:eastAsia="Arial" w:hAnsi="Arial"/>
          <w:sz w:val="16"/>
          <w:szCs w:val="16"/>
          <w:color w:val="auto"/>
        </w:rPr>
      </w:pPr>
    </w:p>
    <w:p>
      <w:pPr>
        <w:ind w:right="80" w:firstLine="1751"/>
        <w:spacing w:after="0" w:line="269" w:lineRule="auto"/>
        <w:tabs>
          <w:tab w:leader="none" w:pos="2439"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Change of Control event, to enter into those agreements and documents of transfer reasonably required for a sale and purchase of University Shares in order to implement and complete the Change of Control event, subject always to (A) the sale of shares by all Company shareholders (including University) to be pro rata; and (B) the value of the consideration (in cash or otherwise) per University Share to be at least equal to the highest per share offered or paid (in cash or otherwise) for the other Company shares sold,</w:t>
      </w:r>
    </w:p>
    <w:p>
      <w:pPr>
        <w:spacing w:after="0" w:line="21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And always subject in each case to any limitations relating to University's status as an agency of the Commonwealth of Massachusetts, e.g. prohibition 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w:t>
      </w:r>
    </w:p>
    <w:p>
      <w:pPr>
        <w:spacing w:after="0" w:line="279"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5"/>
          <w:szCs w:val="15"/>
          <w:u w:val="single" w:color="auto"/>
          <w:color w:val="auto"/>
        </w:rPr>
        <w:t>License Maintenance Fee</w:t>
      </w:r>
      <w:r>
        <w:rPr>
          <w:rFonts w:ascii="Arial" w:cs="Arial" w:eastAsia="Arial" w:hAnsi="Arial"/>
          <w:sz w:val="15"/>
          <w:szCs w:val="15"/>
          <w:color w:val="auto"/>
        </w:rPr>
        <w:t>. Within [*] days of the beginning of each calendar year during the term of this Agreement, commencing on January 1, 2014,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 shall pay to University a license maintenance fee according to the schedule and amounts set forth below:</w:t>
      </w:r>
    </w:p>
    <w:p>
      <w:pPr>
        <w:spacing w:after="0" w:line="247" w:lineRule="exact"/>
        <w:rPr>
          <w:sz w:val="20"/>
          <w:szCs w:val="20"/>
          <w:color w:val="auto"/>
        </w:rPr>
      </w:pPr>
    </w:p>
    <w:tbl>
      <w:tblPr>
        <w:tblLayout w:type="fixed"/>
        <w:tblInd w:w="2870" w:type="dxa"/>
        <w:tblCellMar>
          <w:top w:w="0" w:type="dxa"/>
          <w:left w:w="0" w:type="dxa"/>
          <w:bottom w:w="0" w:type="dxa"/>
          <w:right w:w="0" w:type="dxa"/>
        </w:tblCellMar>
      </w:tblPr>
      <w:tr>
        <w:trPr>
          <w:trHeight w:val="243"/>
        </w:trPr>
        <w:tc>
          <w:tcPr>
            <w:tcW w:w="3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48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2014</w:t>
            </w:r>
          </w:p>
        </w:tc>
        <w:tc>
          <w:tcPr>
            <w:tcW w:w="5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r>
        <w:trPr>
          <w:trHeight w:val="21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2015</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r>
        <w:trPr>
          <w:trHeight w:val="21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2016, and each calendar year thereafter:</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Borders>
              <w:left w:val="single" w:sz="8" w:color="auto"/>
              <w:bottom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bl>
    <w:p>
      <w:pPr>
        <w:spacing w:after="0" w:line="182" w:lineRule="exact"/>
        <w:rPr>
          <w:sz w:val="20"/>
          <w:szCs w:val="20"/>
          <w:color w:val="auto"/>
        </w:rPr>
      </w:pPr>
    </w:p>
    <w:p>
      <w:pPr>
        <w:ind w:right="260" w:firstLine="584"/>
        <w:spacing w:after="0" w:line="268" w:lineRule="auto"/>
        <w:rPr>
          <w:sz w:val="20"/>
          <w:szCs w:val="20"/>
          <w:color w:val="auto"/>
        </w:rPr>
      </w:pPr>
      <w:r>
        <w:rPr>
          <w:rFonts w:ascii="Arial" w:cs="Arial" w:eastAsia="Arial" w:hAnsi="Arial"/>
          <w:sz w:val="16"/>
          <w:szCs w:val="16"/>
          <w:color w:val="auto"/>
        </w:rPr>
        <w:t>This annual license maintenance fee is nonrefundable and is not creditable against any other payments due to University under this Agreement; provided, however, that in any year in which a minimum annual royalty is due, the License Maintenance Fee payable in the same year will be creditable towards the minimum annual royalty payment in that same year.</w:t>
      </w:r>
    </w:p>
    <w:p>
      <w:pPr>
        <w:spacing w:after="0" w:line="248"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Milestone Payments</w:t>
      </w:r>
      <w:r>
        <w:rPr>
          <w:rFonts w:ascii="Arial" w:cs="Arial" w:eastAsia="Arial" w:hAnsi="Arial"/>
          <w:sz w:val="14"/>
          <w:szCs w:val="14"/>
          <w:color w:val="auto"/>
        </w:rPr>
        <w:t>. Company shall pay University the following milestone payments within [*] days after the occurrence of each of the following events: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Borders>
              <w:right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620" w:type="dxa"/>
            <w:vAlign w:val="bottom"/>
            <w:tcBorders>
              <w:top w:val="single" w:sz="8" w:color="auto"/>
              <w:right w:val="single" w:sz="8" w:color="auto"/>
            </w:tcBorders>
          </w:tcPr>
          <w:p>
            <w:pPr>
              <w:ind w:left="2860"/>
              <w:spacing w:after="0"/>
              <w:rPr>
                <w:sz w:val="20"/>
                <w:szCs w:val="20"/>
                <w:color w:val="auto"/>
              </w:rPr>
            </w:pPr>
            <w:r>
              <w:rPr>
                <w:rFonts w:ascii="Arial" w:cs="Arial" w:eastAsia="Arial" w:hAnsi="Arial"/>
                <w:sz w:val="16"/>
                <w:szCs w:val="16"/>
                <w:b w:val="1"/>
                <w:bCs w:val="1"/>
                <w:color w:val="auto"/>
              </w:rPr>
              <w:t>Event</w:t>
            </w:r>
          </w:p>
        </w:tc>
        <w:tc>
          <w:tcPr>
            <w:tcW w:w="92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Payment</w:t>
            </w:r>
          </w:p>
        </w:tc>
        <w:tc>
          <w:tcPr>
            <w:tcW w:w="1720" w:type="dxa"/>
            <w:vAlign w:val="bottom"/>
          </w:tcPr>
          <w:p>
            <w:pPr>
              <w:spacing w:after="0"/>
              <w:rPr>
                <w:sz w:val="21"/>
                <w:szCs w:val="21"/>
                <w:color w:val="auto"/>
              </w:rPr>
            </w:pPr>
          </w:p>
        </w:tc>
      </w:tr>
      <w:tr>
        <w:trPr>
          <w:trHeight w:val="29"/>
        </w:trPr>
        <w:tc>
          <w:tcPr>
            <w:tcW w:w="174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07"/>
        </w:trPr>
        <w:tc>
          <w:tcPr>
            <w:tcW w:w="1740" w:type="dxa"/>
            <w:vAlign w:val="bottom"/>
            <w:tcBorders>
              <w:right w:val="single" w:sz="8" w:color="auto"/>
            </w:tcBorders>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a)</w:t>
            </w:r>
          </w:p>
        </w:tc>
        <w:tc>
          <w:tcPr>
            <w:tcW w:w="6620" w:type="dxa"/>
            <w:vAlign w:val="bottom"/>
            <w:tcBorders>
              <w:right w:val="single" w:sz="8" w:color="auto"/>
            </w:tcBorders>
          </w:tcPr>
          <w:p>
            <w:pPr>
              <w:jc w:val="center"/>
              <w:ind w:left="379"/>
              <w:spacing w:after="0"/>
              <w:rPr>
                <w:sz w:val="20"/>
                <w:szCs w:val="20"/>
                <w:color w:val="auto"/>
              </w:rPr>
            </w:pPr>
            <w:r>
              <w:rPr>
                <w:rFonts w:ascii="Arial" w:cs="Arial" w:eastAsia="Arial" w:hAnsi="Arial"/>
                <w:sz w:val="16"/>
                <w:szCs w:val="16"/>
                <w:color w:val="auto"/>
              </w:rPr>
              <w:t>Initiation of first Phase II Clinical Trial of a Licensed Product or [*] years after the</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207"/>
        </w:trPr>
        <w:tc>
          <w:tcPr>
            <w:tcW w:w="174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Commencement Date</w:t>
            </w:r>
          </w:p>
        </w:tc>
        <w:tc>
          <w:tcPr>
            <w:tcW w:w="9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9"/>
        </w:trPr>
        <w:tc>
          <w:tcPr>
            <w:tcW w:w="174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07"/>
        </w:trPr>
        <w:tc>
          <w:tcPr>
            <w:tcW w:w="1740" w:type="dxa"/>
            <w:vAlign w:val="bottom"/>
            <w:tcBorders>
              <w:right w:val="single" w:sz="8" w:color="auto"/>
            </w:tcBorders>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b)</w:t>
            </w:r>
          </w:p>
        </w:tc>
        <w:tc>
          <w:tcPr>
            <w:tcW w:w="6620" w:type="dxa"/>
            <w:vAlign w:val="bottom"/>
            <w:tcBorders>
              <w:right w:val="single" w:sz="8" w:color="auto"/>
            </w:tcBorders>
          </w:tcPr>
          <w:p>
            <w:pPr>
              <w:jc w:val="center"/>
              <w:ind w:left="359"/>
              <w:spacing w:after="0"/>
              <w:rPr>
                <w:sz w:val="20"/>
                <w:szCs w:val="20"/>
                <w:color w:val="auto"/>
              </w:rPr>
            </w:pPr>
            <w:r>
              <w:rPr>
                <w:rFonts w:ascii="Arial" w:cs="Arial" w:eastAsia="Arial" w:hAnsi="Arial"/>
                <w:sz w:val="16"/>
                <w:szCs w:val="16"/>
                <w:color w:val="auto"/>
              </w:rPr>
              <w:t>Initiation of first Phase III Clinical Trial of a Licensed Product or [*] years after the</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207"/>
        </w:trPr>
        <w:tc>
          <w:tcPr>
            <w:tcW w:w="174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Commencement Date</w:t>
            </w:r>
          </w:p>
        </w:tc>
        <w:tc>
          <w:tcPr>
            <w:tcW w:w="9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9"/>
        </w:trPr>
        <w:tc>
          <w:tcPr>
            <w:tcW w:w="174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07"/>
        </w:trPr>
        <w:tc>
          <w:tcPr>
            <w:tcW w:w="1740" w:type="dxa"/>
            <w:vAlign w:val="bottom"/>
            <w:tcBorders>
              <w:right w:val="single" w:sz="8" w:color="auto"/>
            </w:tcBorders>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c)</w:t>
            </w:r>
          </w:p>
        </w:tc>
        <w:tc>
          <w:tcPr>
            <w:tcW w:w="662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w w:val="98"/>
              </w:rPr>
              <w:t>Filing of the first NDA (or BLA) for a Licensed Product or [*] years after the Commencement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207"/>
        </w:trPr>
        <w:tc>
          <w:tcPr>
            <w:tcW w:w="1740" w:type="dxa"/>
            <w:vAlign w:val="bottom"/>
            <w:tcBorders>
              <w:right w:val="single" w:sz="8" w:color="auto"/>
            </w:tcBorders>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Date</w:t>
            </w:r>
          </w:p>
        </w:tc>
        <w:tc>
          <w:tcPr>
            <w:tcW w:w="66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9"/>
        </w:trPr>
        <w:tc>
          <w:tcPr>
            <w:tcW w:w="174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218"/>
        </w:trPr>
        <w:tc>
          <w:tcPr>
            <w:tcW w:w="1740" w:type="dxa"/>
            <w:vAlign w:val="bottom"/>
            <w:tcBorders>
              <w:right w:val="single" w:sz="8" w:color="auto"/>
            </w:tcBorders>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d)</w:t>
            </w:r>
          </w:p>
        </w:tc>
        <w:tc>
          <w:tcPr>
            <w:tcW w:w="66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Approval of first Licensed Product for first indication in the United States</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8"/>
                <w:szCs w:val="18"/>
                <w:color w:val="auto"/>
              </w:rPr>
            </w:pPr>
          </w:p>
        </w:tc>
      </w:tr>
      <w:tr>
        <w:trPr>
          <w:trHeight w:val="29"/>
        </w:trPr>
        <w:tc>
          <w:tcPr>
            <w:tcW w:w="1740" w:type="dxa"/>
            <w:vAlign w:val="bottom"/>
            <w:tcBorders>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Pr>
          <w:p>
            <w:pPr>
              <w:spacing w:after="0"/>
              <w:rPr>
                <w:sz w:val="2"/>
                <w:szCs w:val="2"/>
                <w:color w:val="auto"/>
              </w:rPr>
            </w:pPr>
          </w:p>
        </w:tc>
      </w:tr>
      <w:tr>
        <w:trPr>
          <w:trHeight w:val="596"/>
        </w:trPr>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20" w:type="dxa"/>
            <w:vAlign w:val="bottom"/>
          </w:tcPr>
          <w:p>
            <w:pPr>
              <w:jc w:val="center"/>
              <w:ind w:left="379"/>
              <w:spacing w:after="0"/>
              <w:rPr>
                <w:sz w:val="20"/>
                <w:szCs w:val="20"/>
                <w:color w:val="auto"/>
              </w:rPr>
            </w:pPr>
            <w:r>
              <w:rPr>
                <w:rFonts w:ascii="Arial" w:cs="Arial" w:eastAsia="Arial" w:hAnsi="Arial"/>
                <w:sz w:val="16"/>
                <w:szCs w:val="16"/>
                <w:color w:val="auto"/>
                <w:w w:val="89"/>
              </w:rPr>
              <w:t>9</w:t>
            </w: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
        </w:trPr>
        <w:tc>
          <w:tcPr>
            <w:tcW w:w="17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370" w:name="page371"/>
    <w:bookmarkEnd w:id="370"/>
    <w:p>
      <w:pPr>
        <w:ind w:left="580" w:right="40" w:firstLine="584"/>
        <w:spacing w:after="0" w:line="258" w:lineRule="auto"/>
        <w:rPr>
          <w:sz w:val="20"/>
          <w:szCs w:val="20"/>
          <w:color w:val="auto"/>
        </w:rPr>
      </w:pPr>
      <w:r>
        <w:rPr>
          <w:rFonts w:ascii="Arial" w:cs="Arial" w:eastAsia="Arial" w:hAnsi="Arial"/>
          <w:sz w:val="16"/>
          <w:szCs w:val="16"/>
          <w:color w:val="auto"/>
        </w:rPr>
        <w:t>The above milestone payments may be deferred at the option of Company but in any event shall become due and payable when Company enters into a Sublicense Agreement or is merged with or acquired by a third party. If a milestone payment is made under this Section 4.4. based on the passage of time rather than on the achievement of a particular milestone event, that milestone payment is not due with respect to the later achievement of that milestone event. These milestone payments are nonrefundable and are not creditable against any other payments due to University under this Agreement. For the first Licensed Product, Company shall make all milestone payments, even if an earlier milestone event has not occurred. For example, if Company proceeds from Phase I clinical trial directly to Phase III, the milestone payments for both Phase II and III are due upon achievement of the Phase III milestone event. Also, as further example, if Company uses a Phase II clinical trial as a registration trial and proceeds directly to NDA submission without performing a Phase III trial, then upon filing of the NDA, both the Phase III and NDA milestone payments are due.</w:t>
      </w:r>
    </w:p>
    <w:p>
      <w:pPr>
        <w:spacing w:after="0" w:line="256" w:lineRule="exact"/>
        <w:rPr>
          <w:sz w:val="20"/>
          <w:szCs w:val="20"/>
          <w:color w:val="auto"/>
        </w:rPr>
      </w:pPr>
    </w:p>
    <w:p>
      <w:pPr>
        <w:ind w:right="20" w:firstLine="584"/>
        <w:spacing w:after="0" w:line="29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Royalties</w:t>
      </w:r>
      <w:r>
        <w:rPr>
          <w:rFonts w:ascii="Arial" w:cs="Arial" w:eastAsia="Arial" w:hAnsi="Arial"/>
          <w:sz w:val="16"/>
          <w:szCs w:val="16"/>
          <w:color w:val="auto"/>
        </w:rPr>
        <w:t>. Company shall pay to University a royalty of [*] percent [*] of Net Sales. No multiple royalties shall be payable because any Licensed Product is covered by more than one of the Patent Rights.</w:t>
      </w:r>
    </w:p>
    <w:p>
      <w:pPr>
        <w:spacing w:after="0" w:line="223" w:lineRule="exact"/>
        <w:rPr>
          <w:sz w:val="20"/>
          <w:szCs w:val="20"/>
          <w:color w:val="auto"/>
        </w:rPr>
      </w:pPr>
    </w:p>
    <w:p>
      <w:pPr>
        <w:ind w:firstLine="584"/>
        <w:spacing w:after="0" w:line="299"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Minimum Annual Royalty</w:t>
      </w:r>
      <w:r>
        <w:rPr>
          <w:rFonts w:ascii="Arial" w:cs="Arial" w:eastAsia="Arial" w:hAnsi="Arial"/>
          <w:sz w:val="16"/>
          <w:szCs w:val="16"/>
          <w:color w:val="auto"/>
        </w:rPr>
        <w:t>. Within [*] days after the beginning of each calendar year during the Royalty Period, Company shall pay to University a minimum royalty according to the following schedule:</w:t>
      </w:r>
    </w:p>
    <w:p>
      <w:pPr>
        <w:spacing w:after="0" w:line="179" w:lineRule="exact"/>
        <w:rPr>
          <w:sz w:val="20"/>
          <w:szCs w:val="20"/>
          <w:color w:val="auto"/>
        </w:rPr>
      </w:pPr>
    </w:p>
    <w:tbl>
      <w:tblPr>
        <w:tblLayout w:type="fixed"/>
        <w:tblInd w:w="2870" w:type="dxa"/>
        <w:tblCellMar>
          <w:top w:w="0" w:type="dxa"/>
          <w:left w:w="0" w:type="dxa"/>
          <w:bottom w:w="0" w:type="dxa"/>
          <w:right w:w="0" w:type="dxa"/>
        </w:tblCellMar>
      </w:tblPr>
      <w:tr>
        <w:trPr>
          <w:trHeight w:val="243"/>
        </w:trPr>
        <w:tc>
          <w:tcPr>
            <w:tcW w:w="3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color w:val="auto"/>
              </w:rPr>
              <w:t>a)</w:t>
            </w:r>
          </w:p>
        </w:tc>
        <w:tc>
          <w:tcPr>
            <w:tcW w:w="46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Royalty Period Years 1 &amp; 2:</w:t>
            </w:r>
          </w:p>
        </w:tc>
        <w:tc>
          <w:tcPr>
            <w:tcW w:w="7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Borders>
              <w:left w:val="single" w:sz="8" w:color="auto"/>
              <w:bottom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1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4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Royalty Period Years 3 &amp; 4:</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Borders>
              <w:left w:val="single" w:sz="8" w:color="auto"/>
              <w:bottom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1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w:t>
            </w:r>
          </w:p>
        </w:tc>
        <w:tc>
          <w:tcPr>
            <w:tcW w:w="4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Royalty Period Year 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Borders>
              <w:left w:val="single" w:sz="8" w:color="auto"/>
              <w:bottom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1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d)</w:t>
            </w:r>
          </w:p>
        </w:tc>
        <w:tc>
          <w:tcPr>
            <w:tcW w:w="462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Royalty Period Year 6 and after:</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80" w:type="dxa"/>
            <w:vAlign w:val="bottom"/>
            <w:tcBorders>
              <w:left w:val="single" w:sz="8" w:color="auto"/>
              <w:bottom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bl>
    <w:p>
      <w:pPr>
        <w:spacing w:after="0" w:line="23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Company may credit the minimum royalty paid under this Section 4.6. against actual royalties due and payable for the same calendar year. Waiver of any minimum royalty payment by University is not a waiver of any subsequent minimum royalty payment. If Company fails to make any minimum royalty payment within the [*] period following receipt of notice from University pursuant to Section 8.3., that failure is a material breach of its obligations under this Agreement, and University may terminate this Agreement in accordance with Section 8.3.</w:t>
      </w:r>
    </w:p>
    <w:p>
      <w:pPr>
        <w:spacing w:after="0" w:line="253"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5"/>
          <w:szCs w:val="15"/>
          <w:u w:val="single" w:color="auto"/>
          <w:color w:val="auto"/>
        </w:rPr>
        <w:t>Sublicense or Option Income</w:t>
      </w:r>
      <w:r>
        <w:rPr>
          <w:rFonts w:ascii="Arial" w:cs="Arial" w:eastAsia="Arial" w:hAnsi="Arial"/>
          <w:sz w:val="15"/>
          <w:szCs w:val="15"/>
          <w:color w:val="auto"/>
        </w:rPr>
        <w:t>. [Intentionally Left Blank].</w:t>
      </w:r>
    </w:p>
    <w:p>
      <w:pPr>
        <w:spacing w:after="0" w:line="303" w:lineRule="exact"/>
        <w:rPr>
          <w:sz w:val="20"/>
          <w:szCs w:val="20"/>
          <w:color w:val="auto"/>
        </w:rPr>
      </w:pPr>
    </w:p>
    <w:p>
      <w:pPr>
        <w:ind w:right="100" w:firstLine="584"/>
        <w:spacing w:after="0" w:line="269"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Third-Party Royalties</w:t>
      </w:r>
      <w:r>
        <w:rPr>
          <w:rFonts w:ascii="Arial" w:cs="Arial" w:eastAsia="Arial" w:hAnsi="Arial"/>
          <w:sz w:val="16"/>
          <w:szCs w:val="16"/>
          <w:color w:val="auto"/>
        </w:rPr>
        <w:t>. As long as Company remains the exclusive licensee of the Patent Rights in any portion of the Field, if Company is legally required to make royalty payments to one or more third parties in order to practice the Patent Rights granted under this Agreement in the portion of the Field for which the license is exclusive, Company may offset up to [*] of third-party payments against royalty payments that are due to University in the same Royalty Period. However, the royalty payments under Section 4.5. may never be less than [*] of Net Sales in any Royalty Period.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71" w:name="page372"/>
    <w:bookmarkEnd w:id="371"/>
    <w:p>
      <w:pPr>
        <w:ind w:left="3" w:right="180" w:firstLine="584"/>
        <w:spacing w:after="0" w:line="319"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Acquisition Fee.</w:t>
      </w:r>
      <w:r>
        <w:rPr>
          <w:rFonts w:ascii="Arial" w:cs="Arial" w:eastAsia="Arial" w:hAnsi="Arial"/>
          <w:sz w:val="14"/>
          <w:szCs w:val="14"/>
          <w:color w:val="auto"/>
        </w:rPr>
        <w:t xml:space="preserve"> Company shall within [*] days of completion of the first to occur of: (a) a Change of Control event; and (b) the assignment of this Agreement pursuant to Section 10.7 other than to an Affiliate pursuant to a merger, reorganization or consolidation of Company, pay to University a one-time lump sum payment equivalent to [*] of (as applicable) the aggregate upfront cash consideration paid by the purchaser upon the Change of Control event, or the Agreement assignment proceeds received by Company, in each case the cash consideration or proceeds to be net of standard transaction costs to be mutually agreed by the parties.</w:t>
      </w:r>
    </w:p>
    <w:p>
      <w:pPr>
        <w:spacing w:after="0" w:line="216" w:lineRule="exact"/>
        <w:rPr>
          <w:sz w:val="20"/>
          <w:szCs w:val="20"/>
          <w:color w:val="auto"/>
        </w:rPr>
      </w:pPr>
    </w:p>
    <w:p>
      <w:pPr>
        <w:ind w:left="3" w:firstLine="584"/>
        <w:spacing w:after="0" w:line="269"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Buy Out</w:t>
      </w:r>
      <w:r>
        <w:rPr>
          <w:rFonts w:ascii="Arial" w:cs="Arial" w:eastAsia="Arial" w:hAnsi="Arial"/>
          <w:sz w:val="16"/>
          <w:szCs w:val="16"/>
          <w:color w:val="auto"/>
        </w:rPr>
        <w:t>. Upon the assignment of this Agreement by Company pursuant to Section 10.7, or the first Change of Control event, University shall give reasonable consideration to any proposal by Company (or its assignee or successor) for a one-time lump sum payment in full consideration of all future payment obligations to University under this Agreement, including, without limitation, royalties, milestone payments and license maintenance fees; provided, however that University shall have the right in its sole discretion to reject any and all proposals for any reason whatsoever or for no reason at all.</w:t>
      </w:r>
    </w:p>
    <w:p>
      <w:pPr>
        <w:spacing w:after="0" w:line="247" w:lineRule="exact"/>
        <w:rPr>
          <w:sz w:val="20"/>
          <w:szCs w:val="20"/>
          <w:color w:val="auto"/>
        </w:rPr>
      </w:pPr>
    </w:p>
    <w:p>
      <w:pPr>
        <w:ind w:left="763" w:hanging="763"/>
        <w:spacing w:after="0"/>
        <w:tabs>
          <w:tab w:leader="none" w:pos="763"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Royalty Reports; Payments; Records</w:t>
      </w:r>
      <w:r>
        <w:rPr>
          <w:rFonts w:ascii="Arial" w:cs="Arial" w:eastAsia="Arial" w:hAnsi="Arial"/>
          <w:sz w:val="16"/>
          <w:szCs w:val="16"/>
          <w:color w:val="auto"/>
        </w:rPr>
        <w:t>.</w:t>
      </w:r>
    </w:p>
    <w:p>
      <w:pPr>
        <w:spacing w:after="0" w:line="303"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First Sale</w:t>
      </w:r>
      <w:r>
        <w:rPr>
          <w:rFonts w:ascii="Arial" w:cs="Arial" w:eastAsia="Arial" w:hAnsi="Arial"/>
          <w:sz w:val="14"/>
          <w:szCs w:val="14"/>
          <w:color w:val="auto"/>
        </w:rPr>
        <w:t>. Company shall report to University the date of first commercial sale of each Licensed Product within [*] days after occurrence in each country.</w:t>
      </w:r>
    </w:p>
    <w:p>
      <w:pPr>
        <w:spacing w:after="0" w:line="303"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u w:val="single" w:color="auto"/>
          <w:color w:val="auto"/>
        </w:rPr>
        <w:t>Reports and Payments</w:t>
      </w:r>
      <w:r>
        <w:rPr>
          <w:rFonts w:ascii="Arial" w:cs="Arial" w:eastAsia="Arial" w:hAnsi="Arial"/>
          <w:sz w:val="14"/>
          <w:szCs w:val="14"/>
          <w:color w:val="auto"/>
        </w:rPr>
        <w:t>.</w:t>
      </w:r>
    </w:p>
    <w:p>
      <w:pPr>
        <w:spacing w:after="0" w:line="303" w:lineRule="exact"/>
        <w:rPr>
          <w:sz w:val="20"/>
          <w:szCs w:val="20"/>
          <w:color w:val="auto"/>
        </w:rPr>
      </w:pPr>
    </w:p>
    <w:p>
      <w:pPr>
        <w:ind w:left="1843" w:hanging="674"/>
        <w:spacing w:after="0"/>
        <w:tabs>
          <w:tab w:leader="none" w:pos="1843" w:val="left"/>
        </w:tabs>
        <w:numPr>
          <w:ilvl w:val="0"/>
          <w:numId w:val="336"/>
        </w:numPr>
        <w:rPr>
          <w:rFonts w:ascii="Arial" w:cs="Arial" w:eastAsia="Arial" w:hAnsi="Arial"/>
          <w:sz w:val="15"/>
          <w:szCs w:val="15"/>
          <w:color w:val="auto"/>
        </w:rPr>
      </w:pPr>
      <w:r>
        <w:rPr>
          <w:rFonts w:ascii="Arial" w:cs="Arial" w:eastAsia="Arial" w:hAnsi="Arial"/>
          <w:sz w:val="15"/>
          <w:szCs w:val="15"/>
          <w:color w:val="auto"/>
        </w:rPr>
        <w:t>Within [*] days after the conclusion of each Royalty Period, Company shall deliver to University a report containing the following information:</w:t>
      </w:r>
    </w:p>
    <w:p>
      <w:pPr>
        <w:spacing w:after="0" w:line="314" w:lineRule="exact"/>
        <w:rPr>
          <w:rFonts w:ascii="Arial" w:cs="Arial" w:eastAsia="Arial" w:hAnsi="Arial"/>
          <w:sz w:val="15"/>
          <w:szCs w:val="15"/>
          <w:color w:val="auto"/>
        </w:rPr>
      </w:pPr>
    </w:p>
    <w:p>
      <w:pPr>
        <w:ind w:left="2403" w:hanging="649"/>
        <w:spacing w:after="0"/>
        <w:tabs>
          <w:tab w:leader="none" w:pos="2403"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number of Licensed Products sold to independent third parties in each country;</w:t>
      </w:r>
    </w:p>
    <w:p>
      <w:pPr>
        <w:spacing w:after="0" w:line="303" w:lineRule="exact"/>
        <w:rPr>
          <w:rFonts w:ascii="Arial" w:cs="Arial" w:eastAsia="Arial" w:hAnsi="Arial"/>
          <w:sz w:val="16"/>
          <w:szCs w:val="16"/>
          <w:color w:val="auto"/>
        </w:rPr>
      </w:pPr>
    </w:p>
    <w:p>
      <w:pPr>
        <w:ind w:left="2443" w:hanging="689"/>
        <w:spacing w:after="0"/>
        <w:tabs>
          <w:tab w:leader="none" w:pos="2443" w:val="left"/>
        </w:tabs>
        <w:numPr>
          <w:ilvl w:val="1"/>
          <w:numId w:val="336"/>
        </w:numPr>
        <w:rPr>
          <w:rFonts w:ascii="Arial" w:cs="Arial" w:eastAsia="Arial" w:hAnsi="Arial"/>
          <w:sz w:val="14"/>
          <w:szCs w:val="14"/>
          <w:color w:val="auto"/>
        </w:rPr>
      </w:pPr>
      <w:r>
        <w:rPr>
          <w:rFonts w:ascii="Arial" w:cs="Arial" w:eastAsia="Arial" w:hAnsi="Arial"/>
          <w:sz w:val="14"/>
          <w:szCs w:val="14"/>
          <w:color w:val="auto"/>
        </w:rPr>
        <w:t>the gross sales price for each Licensed Product by Company, its Affiliates and Sublicensees during the applicable Royalty Period in each</w:t>
      </w:r>
    </w:p>
    <w:p>
      <w:pPr>
        <w:spacing w:after="0" w:line="46" w:lineRule="exact"/>
        <w:rPr>
          <w:sz w:val="20"/>
          <w:szCs w:val="20"/>
          <w:color w:val="auto"/>
        </w:rPr>
      </w:pPr>
    </w:p>
    <w:p>
      <w:pPr>
        <w:ind w:left="3"/>
        <w:spacing w:after="0"/>
        <w:rPr>
          <w:sz w:val="20"/>
          <w:szCs w:val="20"/>
          <w:color w:val="auto"/>
        </w:rPr>
      </w:pPr>
      <w:r>
        <w:rPr>
          <w:rFonts w:ascii="Arial" w:cs="Arial" w:eastAsia="Arial" w:hAnsi="Arial"/>
          <w:sz w:val="16"/>
          <w:szCs w:val="16"/>
          <w:color w:val="auto"/>
        </w:rPr>
        <w:t>country;</w:t>
      </w:r>
    </w:p>
    <w:p>
      <w:pPr>
        <w:spacing w:after="0" w:line="291" w:lineRule="exact"/>
        <w:rPr>
          <w:sz w:val="20"/>
          <w:szCs w:val="20"/>
          <w:color w:val="auto"/>
        </w:rPr>
      </w:pPr>
    </w:p>
    <w:p>
      <w:pPr>
        <w:ind w:left="2483" w:hanging="729"/>
        <w:spacing w:after="0"/>
        <w:tabs>
          <w:tab w:leader="none" w:pos="2483" w:val="left"/>
        </w:tabs>
        <w:numPr>
          <w:ilvl w:val="0"/>
          <w:numId w:val="337"/>
        </w:numPr>
        <w:rPr>
          <w:rFonts w:ascii="Arial" w:cs="Arial" w:eastAsia="Arial" w:hAnsi="Arial"/>
          <w:sz w:val="16"/>
          <w:szCs w:val="16"/>
          <w:color w:val="auto"/>
        </w:rPr>
      </w:pPr>
      <w:r>
        <w:rPr>
          <w:rFonts w:ascii="Arial" w:cs="Arial" w:eastAsia="Arial" w:hAnsi="Arial"/>
          <w:sz w:val="16"/>
          <w:szCs w:val="16"/>
          <w:color w:val="auto"/>
        </w:rPr>
        <w:t>calculation of Net Sales for the applicable Royalty Period in each country, including a listing of applicable deductions; and</w:t>
      </w:r>
    </w:p>
    <w:p>
      <w:pPr>
        <w:spacing w:after="0" w:line="303" w:lineRule="exact"/>
        <w:rPr>
          <w:rFonts w:ascii="Arial" w:cs="Arial" w:eastAsia="Arial" w:hAnsi="Arial"/>
          <w:sz w:val="16"/>
          <w:szCs w:val="16"/>
          <w:color w:val="auto"/>
        </w:rPr>
      </w:pPr>
    </w:p>
    <w:p>
      <w:pPr>
        <w:ind w:left="2483" w:hanging="729"/>
        <w:spacing w:after="0"/>
        <w:tabs>
          <w:tab w:leader="none" w:pos="2483"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total royalties payable on Net Sales in United States dollars, together with the exchange rates used for conversion.</w:t>
      </w:r>
    </w:p>
    <w:p>
      <w:pPr>
        <w:spacing w:after="0" w:line="200" w:lineRule="exact"/>
        <w:rPr>
          <w:sz w:val="20"/>
          <w:szCs w:val="20"/>
          <w:color w:val="auto"/>
        </w:rPr>
      </w:pPr>
    </w:p>
    <w:p>
      <w:pPr>
        <w:spacing w:after="0" w:line="225"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3"/>
          </w:cols>
          <w:pgMar w:left="237" w:top="163" w:right="299" w:bottom="1440" w:gutter="0" w:footer="0" w:header="0"/>
        </w:sectPr>
      </w:pPr>
    </w:p>
    <w:bookmarkStart w:id="372" w:name="page373"/>
    <w:bookmarkEnd w:id="372"/>
    <w:p>
      <w:pPr>
        <w:ind w:right="360" w:firstLine="1166"/>
        <w:spacing w:after="0" w:line="299" w:lineRule="auto"/>
        <w:tabs>
          <w:tab w:leader="none" w:pos="184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Concurrent with this report, Company shall remit to University any payment due for the applicable Royalty Period. If no royalties are due to University for any Royalty Period, the report shall so state.</w:t>
      </w:r>
    </w:p>
    <w:p>
      <w:pPr>
        <w:spacing w:after="0" w:line="223" w:lineRule="exact"/>
        <w:rPr>
          <w:sz w:val="20"/>
          <w:szCs w:val="20"/>
          <w:color w:val="auto"/>
        </w:rPr>
      </w:pPr>
    </w:p>
    <w:p>
      <w:pPr>
        <w:ind w:right="120" w:firstLine="584"/>
        <w:spacing w:after="0" w:line="27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Payments in United States Dollars</w:t>
      </w:r>
      <w:r>
        <w:rPr>
          <w:rFonts w:ascii="Arial" w:cs="Arial" w:eastAsia="Arial" w:hAnsi="Arial"/>
          <w:sz w:val="16"/>
          <w:szCs w:val="16"/>
          <w:color w:val="auto"/>
        </w:rPr>
        <w:t xml:space="preserve">. Company shall make all payments in United States dollars. Company shall convert foreign currency to United States dollars at the conversion rate existing in the United States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on the last working day of the calendar quarter preceding the applicable Royalty Period. Company may not deduct exchange, collection, or other charges.</w:t>
      </w:r>
    </w:p>
    <w:p>
      <w:pPr>
        <w:spacing w:after="0" w:line="242"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Payments in Other Currencies</w:t>
      </w:r>
      <w:r>
        <w:rPr>
          <w:rFonts w:ascii="Arial" w:cs="Arial" w:eastAsia="Arial" w:hAnsi="Arial"/>
          <w:sz w:val="16"/>
          <w:szCs w:val="16"/>
          <w:color w:val="auto"/>
        </w:rPr>
        <w:t>. If by law, regulation, or fiscal policy of a particular country, conversion into United States dollars or transfer of funds of a convertible currency to the United States is restricted or forbidden, Company shall give University prompt written notice of the restriction within the [*] payment deadline described in Section 5.2. Company shall pay any amounts due University through whatever lawful methods University reasonably designates. However, if University fails to designate a payment method within [*] days after University is notified of the restriction, Company may deposit payment in local currency to the credit of University in a recognized banking institution selected by Company and identified by written notice to University, and that deposit fulfills all obligations of Company to University with respect to that payment.</w:t>
      </w:r>
    </w:p>
    <w:p>
      <w:pPr>
        <w:spacing w:after="0" w:line="251" w:lineRule="exact"/>
        <w:rPr>
          <w:sz w:val="20"/>
          <w:szCs w:val="20"/>
          <w:color w:val="auto"/>
        </w:rPr>
      </w:pPr>
    </w:p>
    <w:p>
      <w:pPr>
        <w:ind w:firstLine="584"/>
        <w:spacing w:after="0" w:line="25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Records</w:t>
      </w:r>
      <w:r>
        <w:rPr>
          <w:rFonts w:ascii="Arial" w:cs="Arial" w:eastAsia="Arial" w:hAnsi="Arial"/>
          <w:sz w:val="16"/>
          <w:szCs w:val="16"/>
          <w:color w:val="auto"/>
        </w:rPr>
        <w:t>. Company shall maintain and shall cause its Affiliates and Sublicensees to maintain complete and accurate records of Licensed Products that are made, used, or sold under this Agreement and any amounts payable to University in relation to Licensed Products with sufficient information to permit University to confirm the accuracy of any reports delivered to University under Section 5.2. The relevant party shall retain records relating to a given Royalty Period for at least [*] years after the conclusion of that Royalty Period, during which time University may, at its expense, cause its internal accountants or an independent, certified public accountant to inspect records during normal business hours for the sole purpose of verifying any reports and payments delivered under this Agreement. The accountant may not disclose to University any information other than information relating to accuracy of reports and payments delivered under this Agreement. The parties shall reconcile any underpayment or overpayment within [*] days after the accountant delivers the results of the audit. If any audit performed under this Section 5.5 reveals an underpayment in excess of [*] in any Royalty Period, Company shall bear the full cost of the audit. University may exercise its rights under this Section 5.5. only [*] every year and only with reasonable prior notice to Company.</w:t>
      </w:r>
    </w:p>
    <w:p>
      <w:pPr>
        <w:spacing w:after="0" w:line="259" w:lineRule="exact"/>
        <w:rPr>
          <w:sz w:val="20"/>
          <w:szCs w:val="20"/>
          <w:color w:val="auto"/>
        </w:rPr>
      </w:pPr>
    </w:p>
    <w:p>
      <w:pPr>
        <w:ind w:right="80" w:firstLine="584"/>
        <w:spacing w:after="0" w:line="299"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Late Payments</w:t>
      </w:r>
      <w:r>
        <w:rPr>
          <w:rFonts w:ascii="Arial" w:cs="Arial" w:eastAsia="Arial" w:hAnsi="Arial"/>
          <w:sz w:val="16"/>
          <w:szCs w:val="16"/>
          <w:color w:val="auto"/>
        </w:rPr>
        <w:t>. Any payments by Company that are not paid on or before the date payments are due under this Agreement bear interest at [*] per month, calculated on the number of days that payment is delinquent.</w:t>
      </w:r>
    </w:p>
    <w:p>
      <w:pPr>
        <w:spacing w:after="0" w:line="223"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4"/>
          <w:szCs w:val="14"/>
          <w:u w:val="single" w:color="auto"/>
          <w:color w:val="auto"/>
        </w:rPr>
        <w:t>Method of Payment</w:t>
      </w:r>
      <w:r>
        <w:rPr>
          <w:rFonts w:ascii="Arial" w:cs="Arial" w:eastAsia="Arial" w:hAnsi="Arial"/>
          <w:sz w:val="14"/>
          <w:szCs w:val="14"/>
          <w:color w:val="auto"/>
        </w:rPr>
        <w:t>. All payments under this Agreement should be made to the “University of Massachusetts” and sent to the address identified below.</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Each payment should reference this Agreement and identify the obligation under this Agreement that the payment satisfies.</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0"/>
          </w:cols>
          <w:pgMar w:left="240" w:top="407" w:right="299" w:bottom="1440" w:gutter="0" w:footer="0" w:header="0"/>
        </w:sectPr>
      </w:pPr>
    </w:p>
    <w:bookmarkStart w:id="373" w:name="page374"/>
    <w:bookmarkEnd w:id="373"/>
    <w:p>
      <w:pPr>
        <w:ind w:left="3" w:right="40" w:firstLine="584"/>
        <w:spacing w:after="0" w:line="27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Withholding and Similar Taxes</w:t>
      </w:r>
      <w:r>
        <w:rPr>
          <w:rFonts w:ascii="Arial" w:cs="Arial" w:eastAsia="Arial" w:hAnsi="Arial"/>
          <w:sz w:val="16"/>
          <w:szCs w:val="16"/>
          <w:color w:val="auto"/>
        </w:rPr>
        <w:t>. Royalty payments and other payments due to University under this Agreement may not be reduced by reason of any withholding or similar taxes applicable to payments to University. Therefore all amounts owed to University under this Agreement are net amounts and shall be grossed-up to account for any withholding taxes, value-added taxes or other taxes, levies or charges.</w:t>
      </w:r>
    </w:p>
    <w:p>
      <w:pPr>
        <w:spacing w:after="0" w:line="242" w:lineRule="exact"/>
        <w:rPr>
          <w:sz w:val="20"/>
          <w:szCs w:val="20"/>
          <w:color w:val="auto"/>
        </w:rPr>
      </w:pPr>
    </w:p>
    <w:p>
      <w:pPr>
        <w:ind w:left="763" w:hanging="763"/>
        <w:spacing w:after="0"/>
        <w:tabs>
          <w:tab w:leader="none" w:pos="763"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Patents and Infringement</w:t>
      </w:r>
      <w:r>
        <w:rPr>
          <w:rFonts w:ascii="Arial" w:cs="Arial" w:eastAsia="Arial" w:hAnsi="Arial"/>
          <w:sz w:val="16"/>
          <w:szCs w:val="16"/>
          <w:color w:val="auto"/>
        </w:rPr>
        <w:t>.</w:t>
      </w:r>
    </w:p>
    <w:p>
      <w:pPr>
        <w:spacing w:after="0" w:line="303"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u w:val="single" w:color="auto"/>
          <w:color w:val="auto"/>
        </w:rPr>
        <w:t>Responsibility for Patent Rights</w:t>
      </w:r>
      <w:r>
        <w:rPr>
          <w:rFonts w:ascii="Arial" w:cs="Arial" w:eastAsia="Arial" w:hAnsi="Arial"/>
          <w:sz w:val="14"/>
          <w:szCs w:val="14"/>
          <w:color w:val="auto"/>
        </w:rPr>
        <w:t>.</w:t>
      </w:r>
    </w:p>
    <w:p>
      <w:pPr>
        <w:spacing w:after="0" w:line="303" w:lineRule="exact"/>
        <w:rPr>
          <w:sz w:val="20"/>
          <w:szCs w:val="20"/>
          <w:color w:val="auto"/>
        </w:rPr>
      </w:pPr>
    </w:p>
    <w:p>
      <w:pPr>
        <w:ind w:left="3" w:firstLine="1166"/>
        <w:spacing w:after="0" w:line="292" w:lineRule="auto"/>
        <w:tabs>
          <w:tab w:leader="none" w:pos="1839" w:val="left"/>
        </w:tabs>
        <w:numPr>
          <w:ilvl w:val="0"/>
          <w:numId w:val="340"/>
        </w:numPr>
        <w:rPr>
          <w:rFonts w:ascii="Arial" w:cs="Arial" w:eastAsia="Arial" w:hAnsi="Arial"/>
          <w:sz w:val="15"/>
          <w:szCs w:val="15"/>
          <w:color w:val="auto"/>
        </w:rPr>
      </w:pPr>
      <w:r>
        <w:rPr>
          <w:rFonts w:ascii="Arial" w:cs="Arial" w:eastAsia="Arial" w:hAnsi="Arial"/>
          <w:sz w:val="15"/>
          <w:szCs w:val="15"/>
          <w:color w:val="auto"/>
        </w:rPr>
        <w:t>University has primary responsibility at the expense of Company for the preparation, filing, prosecution, and maintenance of all Patent Rights, using patent counsel reasonably acceptable to Company. University shall consult with Company as to the preparation, filing, prosecution, and maintenance of all Patent Rights reasonably prior to any deadline or action with the United States Patent &amp; Trademark Office or any foreign patent office and shall furnish Company with copies of relevant documents reasonably in advance of consultation. University shall consider in good faith any comments of Company on any patent filings for the Patent Rights.</w:t>
      </w:r>
    </w:p>
    <w:p>
      <w:pPr>
        <w:spacing w:after="0" w:line="232" w:lineRule="exact"/>
        <w:rPr>
          <w:rFonts w:ascii="Arial" w:cs="Arial" w:eastAsia="Arial" w:hAnsi="Arial"/>
          <w:sz w:val="15"/>
          <w:szCs w:val="15"/>
          <w:color w:val="auto"/>
        </w:rPr>
      </w:pPr>
    </w:p>
    <w:p>
      <w:pPr>
        <w:ind w:left="3" w:right="20" w:firstLine="1166"/>
        <w:spacing w:after="0" w:line="299" w:lineRule="auto"/>
        <w:tabs>
          <w:tab w:leader="none" w:pos="1848"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If University desires to abandon any patent or patent application within the Patent Rights, University shall provide Company with reasonable prior notice of the intended abandonment, and Company may, at its expense, prepare, file, prosecute, and maintain the relevant Patent Rights.</w:t>
      </w:r>
    </w:p>
    <w:p>
      <w:pPr>
        <w:spacing w:after="0" w:line="223" w:lineRule="exact"/>
        <w:rPr>
          <w:sz w:val="20"/>
          <w:szCs w:val="20"/>
          <w:color w:val="auto"/>
        </w:rPr>
      </w:pPr>
    </w:p>
    <w:p>
      <w:pPr>
        <w:ind w:left="3" w:right="180" w:firstLine="584"/>
        <w:spacing w:after="0" w:line="27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Cooperation</w:t>
      </w:r>
      <w:r>
        <w:rPr>
          <w:rFonts w:ascii="Arial" w:cs="Arial" w:eastAsia="Arial" w:hAnsi="Arial"/>
          <w:sz w:val="16"/>
          <w:szCs w:val="16"/>
          <w:color w:val="auto"/>
        </w:rPr>
        <w:t>. Each party shall provide reasonable cooperation in the preparation, filing, prosecution, and maintenance of all Patent Rights. Cooperation includes, without limitation, promptly informing the other party of matters that may affect the preparation, filing, prosecution, or maintenance of Patent Rights (such as, becoming aware of an additional inventor who is not listed as an inventor in a patent application).</w:t>
      </w:r>
    </w:p>
    <w:p>
      <w:pPr>
        <w:spacing w:after="0" w:line="242"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u w:val="single" w:color="auto"/>
          <w:color w:val="auto"/>
        </w:rPr>
        <w:t>Payment of Expenses</w:t>
      </w:r>
      <w:r>
        <w:rPr>
          <w:rFonts w:ascii="Arial" w:cs="Arial" w:eastAsia="Arial" w:hAnsi="Arial"/>
          <w:sz w:val="14"/>
          <w:szCs w:val="14"/>
          <w:color w:val="auto"/>
        </w:rPr>
        <w:t>.</w:t>
      </w:r>
    </w:p>
    <w:p>
      <w:pPr>
        <w:spacing w:after="0" w:line="303" w:lineRule="exact"/>
        <w:rPr>
          <w:sz w:val="20"/>
          <w:szCs w:val="20"/>
          <w:color w:val="auto"/>
        </w:rPr>
      </w:pPr>
    </w:p>
    <w:p>
      <w:pPr>
        <w:ind w:left="3" w:right="100" w:firstLine="1166"/>
        <w:spacing w:after="0" w:line="299" w:lineRule="auto"/>
        <w:tabs>
          <w:tab w:leader="none" w:pos="183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Within [*] days after University invoices Company, Company shall reimburse University for all previously unreimbursed expenses incurred as of the Commencement Date in connection with obtaining the Patent Rights,</w:t>
      </w:r>
    </w:p>
    <w:p>
      <w:pPr>
        <w:spacing w:after="0" w:line="223" w:lineRule="exact"/>
        <w:rPr>
          <w:rFonts w:ascii="Arial" w:cs="Arial" w:eastAsia="Arial" w:hAnsi="Arial"/>
          <w:sz w:val="16"/>
          <w:szCs w:val="16"/>
          <w:color w:val="auto"/>
        </w:rPr>
      </w:pPr>
    </w:p>
    <w:p>
      <w:pPr>
        <w:ind w:left="3" w:right="40" w:firstLine="1166"/>
        <w:spacing w:after="0" w:line="292" w:lineRule="auto"/>
        <w:tabs>
          <w:tab w:leader="none" w:pos="1848" w:val="left"/>
        </w:tabs>
        <w:numPr>
          <w:ilvl w:val="0"/>
          <w:numId w:val="341"/>
        </w:numPr>
        <w:rPr>
          <w:rFonts w:ascii="Arial" w:cs="Arial" w:eastAsia="Arial" w:hAnsi="Arial"/>
          <w:sz w:val="15"/>
          <w:szCs w:val="15"/>
          <w:color w:val="auto"/>
        </w:rPr>
      </w:pPr>
      <w:r>
        <w:rPr>
          <w:rFonts w:ascii="Arial" w:cs="Arial" w:eastAsia="Arial" w:hAnsi="Arial"/>
          <w:sz w:val="15"/>
          <w:szCs w:val="15"/>
          <w:color w:val="auto"/>
        </w:rPr>
        <w:t>Within [*] days after University invoices Company, Company shall reimburse University for all patent-related expenses that have not been paid under Subsection 6.3(a) and that are incurred by University pursuant to Section 6.1. Company may elect, upon [*] days’ written notice to University, to cease payment of the expenses associated with obtaining or maintaining patent protection for one or more Patent Rights in one or more countries. If Company elects to cease payment of any patent expenses, Company loses all rights under this Agreement with respect to the particular Patent Rights in those one or more countries.</w:t>
      </w:r>
    </w:p>
    <w:p>
      <w:pPr>
        <w:spacing w:after="0" w:line="354"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3"/>
          </w:cols>
          <w:pgMar w:left="237" w:top="163" w:right="279" w:bottom="1440" w:gutter="0" w:footer="0" w:header="0"/>
        </w:sectPr>
      </w:pPr>
    </w:p>
    <w:bookmarkStart w:id="374" w:name="page375"/>
    <w:bookmarkEnd w:id="374"/>
    <w:p>
      <w:pPr>
        <w:ind w:left="583"/>
        <w:spacing w:after="0"/>
        <w:tabs>
          <w:tab w:leader="none" w:pos="1302"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5"/>
          <w:szCs w:val="15"/>
          <w:u w:val="single" w:color="auto"/>
          <w:color w:val="auto"/>
        </w:rPr>
        <w:t>Infringement</w:t>
      </w:r>
      <w:r>
        <w:rPr>
          <w:rFonts w:ascii="Arial" w:cs="Arial" w:eastAsia="Arial" w:hAnsi="Arial"/>
          <w:sz w:val="15"/>
          <w:szCs w:val="15"/>
          <w:color w:val="auto"/>
        </w:rPr>
        <w:t>.</w:t>
      </w:r>
    </w:p>
    <w:p>
      <w:pPr>
        <w:spacing w:after="0" w:line="303" w:lineRule="exact"/>
        <w:rPr>
          <w:sz w:val="20"/>
          <w:szCs w:val="20"/>
          <w:color w:val="auto"/>
        </w:rPr>
      </w:pPr>
    </w:p>
    <w:p>
      <w:pPr>
        <w:ind w:left="1843" w:hanging="674"/>
        <w:spacing w:after="0"/>
        <w:tabs>
          <w:tab w:leader="none" w:pos="1843"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Notification of Infringement</w:t>
      </w:r>
      <w:r>
        <w:rPr>
          <w:rFonts w:ascii="Arial" w:cs="Arial" w:eastAsia="Arial" w:hAnsi="Arial"/>
          <w:sz w:val="15"/>
          <w:szCs w:val="15"/>
          <w:color w:val="auto"/>
        </w:rPr>
        <w:t>. Each party agrees to provide written notice to the other party promptly after becoming aware of any infringement of</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Patent Rights.</w:t>
      </w:r>
    </w:p>
    <w:p>
      <w:pPr>
        <w:spacing w:after="0" w:line="291" w:lineRule="exact"/>
        <w:rPr>
          <w:sz w:val="20"/>
          <w:szCs w:val="20"/>
          <w:color w:val="auto"/>
        </w:rPr>
      </w:pPr>
    </w:p>
    <w:p>
      <w:pPr>
        <w:ind w:left="3" w:right="60" w:firstLine="1166"/>
        <w:spacing w:after="0" w:line="261" w:lineRule="auto"/>
        <w:tabs>
          <w:tab w:leader="none" w:pos="1848"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Company Right to Prosecute</w:t>
      </w:r>
      <w:r>
        <w:rPr>
          <w:rFonts w:ascii="Arial" w:cs="Arial" w:eastAsia="Arial" w:hAnsi="Arial"/>
          <w:sz w:val="16"/>
          <w:szCs w:val="16"/>
          <w:color w:val="auto"/>
        </w:rPr>
        <w:t>. As long as Company remains the exclusive licensee of the Patent Rights in the Field, Company may, under its own control and at its own expense, prosecute any third party infringement of the Patent Rights in the Field or, together with licensees of the Patent Rights in other fields (if any), defend the Patent Rights in any declaratory judgment action brought by a third party which alleges invalidity, unenforceability, or infringement of the Patent Rights. Prior to commencing any action, Company shall consult with University and shall consider the views of University regarding the advisability of the proposed action and its effect on the public interest. Company may not enter into any settlement, consent judgment, or other voluntary final disposition of any infringement action under this Subsection 6.4(b) without the prior written consent of University, which consent may not be unreasonably withheld or delayed. Any recovery obtained in an action under this Subsection 6.4(b) shall be distributed as follows: [*]</w:t>
      </w:r>
    </w:p>
    <w:p>
      <w:pPr>
        <w:spacing w:after="0" w:line="255" w:lineRule="exact"/>
        <w:rPr>
          <w:rFonts w:ascii="Arial" w:cs="Arial" w:eastAsia="Arial" w:hAnsi="Arial"/>
          <w:sz w:val="16"/>
          <w:szCs w:val="16"/>
          <w:color w:val="auto"/>
        </w:rPr>
      </w:pPr>
    </w:p>
    <w:p>
      <w:pPr>
        <w:ind w:left="3" w:right="460" w:firstLine="1166"/>
        <w:spacing w:after="0" w:line="276" w:lineRule="auto"/>
        <w:tabs>
          <w:tab w:leader="none" w:pos="1839"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University as Indispensable Party</w:t>
      </w:r>
      <w:r>
        <w:rPr>
          <w:rFonts w:ascii="Arial" w:cs="Arial" w:eastAsia="Arial" w:hAnsi="Arial"/>
          <w:sz w:val="16"/>
          <w:szCs w:val="16"/>
          <w:color w:val="auto"/>
        </w:rPr>
        <w:t>. University shall permit any action under Subsection 6.4(b) to be brought in its name if required by law, provided that Company shall hold University harmless from, and if necessary indemnify University against, any costs, expenses, or liability that University may incur in connection with the action.</w:t>
      </w:r>
    </w:p>
    <w:p>
      <w:pPr>
        <w:spacing w:after="0" w:line="241" w:lineRule="exact"/>
        <w:rPr>
          <w:rFonts w:ascii="Arial" w:cs="Arial" w:eastAsia="Arial" w:hAnsi="Arial"/>
          <w:sz w:val="16"/>
          <w:szCs w:val="16"/>
          <w:color w:val="auto"/>
        </w:rPr>
      </w:pPr>
    </w:p>
    <w:p>
      <w:pPr>
        <w:jc w:val="both"/>
        <w:ind w:left="3" w:firstLine="1166"/>
        <w:spacing w:after="0" w:line="292" w:lineRule="auto"/>
        <w:tabs>
          <w:tab w:leader="none" w:pos="1848"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University Right to Prosecute</w:t>
      </w:r>
      <w:r>
        <w:rPr>
          <w:rFonts w:ascii="Arial" w:cs="Arial" w:eastAsia="Arial" w:hAnsi="Arial"/>
          <w:sz w:val="15"/>
          <w:szCs w:val="15"/>
          <w:color w:val="auto"/>
        </w:rPr>
        <w:t>. If Company fails to initiate an infringement action within a reasonable time after it first becomes aware of the basis for the action, or to answer a declaratory judgment action within a reasonable time after the action is filed, University may prosecute the infringement or answer the declaratory judgment action under its sole control and at its sole expense, and any recovery obtained shall be given to University. If University takes action under this Subsection 6.4(d), University shall keep Company reasonably informed of material actions taken by University pursuant to the infringement or declaratory action.</w:t>
      </w:r>
    </w:p>
    <w:p>
      <w:pPr>
        <w:spacing w:after="0" w:line="232" w:lineRule="exact"/>
        <w:rPr>
          <w:rFonts w:ascii="Arial" w:cs="Arial" w:eastAsia="Arial" w:hAnsi="Arial"/>
          <w:sz w:val="15"/>
          <w:szCs w:val="15"/>
          <w:color w:val="auto"/>
        </w:rPr>
      </w:pPr>
    </w:p>
    <w:p>
      <w:pPr>
        <w:ind w:left="3" w:right="140" w:firstLine="1166"/>
        <w:spacing w:after="0" w:line="376" w:lineRule="auto"/>
        <w:tabs>
          <w:tab w:leader="none" w:pos="1839" w:val="left"/>
        </w:tabs>
        <w:numPr>
          <w:ilvl w:val="1"/>
          <w:numId w:val="343"/>
        </w:numPr>
        <w:rPr>
          <w:rFonts w:ascii="Arial" w:cs="Arial" w:eastAsia="Arial" w:hAnsi="Arial"/>
          <w:sz w:val="14"/>
          <w:szCs w:val="14"/>
          <w:color w:val="auto"/>
        </w:rPr>
      </w:pPr>
      <w:r>
        <w:rPr>
          <w:rFonts w:ascii="Arial" w:cs="Arial" w:eastAsia="Arial" w:hAnsi="Arial"/>
          <w:sz w:val="14"/>
          <w:szCs w:val="14"/>
          <w:u w:val="single" w:color="auto"/>
          <w:color w:val="auto"/>
        </w:rPr>
        <w:t>Cooperation</w:t>
      </w:r>
      <w:r>
        <w:rPr>
          <w:rFonts w:ascii="Arial" w:cs="Arial" w:eastAsia="Arial" w:hAnsi="Arial"/>
          <w:sz w:val="14"/>
          <w:szCs w:val="14"/>
          <w:color w:val="auto"/>
        </w:rPr>
        <w:t>. Both parties shall cooperate fully in any action under this Section 6.4. which is controlled by the other party, provided that the controlling party reimburses the cooperating party promptly for any reasonable costs and expenses incurred by the cooperating party in connection with providing assistance.</w:t>
      </w:r>
    </w:p>
    <w:p>
      <w:pPr>
        <w:spacing w:after="0" w:line="177" w:lineRule="exact"/>
        <w:rPr>
          <w:rFonts w:ascii="Arial" w:cs="Arial" w:eastAsia="Arial" w:hAnsi="Arial"/>
          <w:sz w:val="14"/>
          <w:szCs w:val="14"/>
          <w:color w:val="auto"/>
        </w:rPr>
      </w:pPr>
    </w:p>
    <w:p>
      <w:pPr>
        <w:ind w:left="763" w:hanging="763"/>
        <w:spacing w:after="0"/>
        <w:tabs>
          <w:tab w:leader="none" w:pos="763"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Confidential Information; Publications; Publicity</w:t>
      </w:r>
      <w:r>
        <w:rPr>
          <w:rFonts w:ascii="Arial" w:cs="Arial" w:eastAsia="Arial" w:hAnsi="Arial"/>
          <w:sz w:val="16"/>
          <w:szCs w:val="16"/>
          <w:color w:val="auto"/>
        </w:rPr>
        <w:t>.</w:t>
      </w:r>
    </w:p>
    <w:p>
      <w:pPr>
        <w:spacing w:after="0" w:line="303"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w:t>
      </w:r>
    </w:p>
    <w:p>
      <w:pPr>
        <w:spacing w:after="0" w:line="303" w:lineRule="exact"/>
        <w:rPr>
          <w:sz w:val="20"/>
          <w:szCs w:val="20"/>
          <w:color w:val="auto"/>
        </w:rPr>
      </w:pPr>
    </w:p>
    <w:p>
      <w:pPr>
        <w:jc w:val="both"/>
        <w:ind w:left="3" w:right="60" w:firstLine="1166"/>
        <w:spacing w:after="0" w:line="269" w:lineRule="auto"/>
        <w:tabs>
          <w:tab w:leader="none" w:pos="1839"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The Disclosing Party shall mark Confidential Information that is disclosed in writing with a legend indicating its confidential status (such as, “Confidential” or “Proprietary”). The Disclosing party shall document Confidential Information that is disclosed orally or visually in a written notice and deliver the notice to the Receiving Party within [*] days of the date of disclosure. The notice shall summarize the Confidential Information that was disclosed and reference the time and place of disclosure.</w:t>
      </w:r>
    </w:p>
    <w:p>
      <w:pPr>
        <w:spacing w:after="0" w:line="36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3"/>
          </w:cols>
          <w:pgMar w:left="237" w:top="163" w:right="259" w:bottom="1440" w:gutter="0" w:footer="0" w:header="0"/>
        </w:sectPr>
      </w:pPr>
    </w:p>
    <w:bookmarkStart w:id="375" w:name="page376"/>
    <w:bookmarkEnd w:id="375"/>
    <w:p>
      <w:pPr>
        <w:ind w:right="140" w:firstLine="1166"/>
        <w:spacing w:after="0" w:line="261" w:lineRule="auto"/>
        <w:tabs>
          <w:tab w:leader="none" w:pos="1845"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For [*] years after disclosure of any portion of Confidential Information, the Receiving Party shall: (i) maintain Confidential Information in confidence, except that the Receiving Party may disclose or permit the disclosure of any Confidential Information to its trustees or directors, officers, employees, consultants, and advisors, and those of its Affiliates and Sublicensees who are obligated to maintain the confidential nature of Confidential Information and who need to know Confidential Information for the purposes of this Agreement; (ii) use Confidential Information solely for the purposes of this Agreement; and (iii) allow its trustees or directors, officers, employees, consultants, and advisors to reproduce the Confidential Information only to the extent necessary for the purposes of this Agreement, with all reproductions being Confidential Information. The rights of use and reproduction under (ii) and (iii) above shall extend to Company’s Affiliates with a need for such use and reproduction as well as to Sublicensees.</w:t>
      </w:r>
    </w:p>
    <w:p>
      <w:pPr>
        <w:spacing w:after="0" w:line="255" w:lineRule="exact"/>
        <w:rPr>
          <w:rFonts w:ascii="Arial" w:cs="Arial" w:eastAsia="Arial" w:hAnsi="Arial"/>
          <w:sz w:val="16"/>
          <w:szCs w:val="16"/>
          <w:color w:val="auto"/>
        </w:rPr>
      </w:pPr>
    </w:p>
    <w:p>
      <w:pPr>
        <w:ind w:firstLine="1166"/>
        <w:spacing w:after="0" w:line="261" w:lineRule="auto"/>
        <w:tabs>
          <w:tab w:leader="none" w:pos="1836"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The obligations of the Receiving Party under Subsection 7.1(b) do not apply to the extent that the Receiving Party can demonstrate that Confidential Information: (i) was in the public domain prior to the time of its disclosure under this Agreement; (ii) entered the public domain after the time of its disclosure under this Agreement through means other than an unauthorized disclosure resulting from an act or omission by the Receiving Party; (iii) was already known or independently developed or discovered by the Receiving Party without use of the Confidential Information; (iv) is or was disclosed to the Receiving Party at any time, whether prior to or after the time of its disclosure under this Agreement, by a third party having no fiduciary relationship with the Disclosing Party and having no obligation of confidentiality with respect to the Confidential Information; or (v) is required to be disclosed to comply with applicable laws or regulations or with a court or administrative order, provided that the Disclosing Party receives reasonable prior written notice of the disclosure.</w:t>
      </w:r>
    </w:p>
    <w:p>
      <w:pPr>
        <w:spacing w:after="0" w:line="255" w:lineRule="exact"/>
        <w:rPr>
          <w:rFonts w:ascii="Arial" w:cs="Arial" w:eastAsia="Arial" w:hAnsi="Arial"/>
          <w:sz w:val="16"/>
          <w:szCs w:val="16"/>
          <w:color w:val="auto"/>
        </w:rPr>
      </w:pPr>
    </w:p>
    <w:p>
      <w:pPr>
        <w:ind w:right="320" w:firstLine="1166"/>
        <w:spacing w:after="0" w:line="265" w:lineRule="auto"/>
        <w:tabs>
          <w:tab w:leader="none" w:pos="1845"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Ownership and Return</w:t>
      </w:r>
      <w:r>
        <w:rPr>
          <w:rFonts w:ascii="Arial" w:cs="Arial" w:eastAsia="Arial" w:hAnsi="Arial"/>
          <w:sz w:val="16"/>
          <w:szCs w:val="16"/>
          <w:color w:val="auto"/>
        </w:rPr>
        <w:t>. The Receiving Party acknowledges that the Disclosing Party (or a third party entrusting its own information to the Disclosing Party) owns the Confidential Information in the possession of the Receiving Party. Upon expiration or termination of this Agreement, or at the request of the Disclosing Party, the Receiving Party shall return to the Disclosing Party all originals, copies, and summaries of documents, materials, and other tangible manifestations of Confidential Information in the possession or control of the Receiving Party, except that the Receiving Party may retain one copy of the Confidential Information in the possession of its legal counsel solely for the purpose of monitoring its obligations under this Agreement.</w:t>
      </w:r>
    </w:p>
    <w:p>
      <w:pPr>
        <w:spacing w:after="0" w:line="251" w:lineRule="exact"/>
        <w:rPr>
          <w:sz w:val="20"/>
          <w:szCs w:val="20"/>
          <w:color w:val="auto"/>
        </w:rPr>
      </w:pPr>
    </w:p>
    <w:p>
      <w:pPr>
        <w:ind w:right="40" w:firstLine="584"/>
        <w:spacing w:after="0" w:line="283"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Publicity Restrictions</w:t>
      </w:r>
      <w:r>
        <w:rPr>
          <w:rFonts w:ascii="Arial" w:cs="Arial" w:eastAsia="Arial" w:hAnsi="Arial"/>
          <w:sz w:val="15"/>
          <w:szCs w:val="15"/>
          <w:color w:val="auto"/>
        </w:rPr>
        <w:t>. Company may not use the name of University or any of its trustees, officers, faculty, students, employees, or agents, or any adaptation of their names, or any terms of this Agreement in any promotional material or other public announcement or disclosure without the prior written consent of University. The foregoing notwithstanding, Company may disclose that information without the consent of University in any prospectus, offering memorandum, or other document or filing required by applicable securities laws or other applicable law or regulation, provided that Company provides University at least [*] days (or a shorter period in order to enable Company to make a timely announcement to fulfill applicable securities laws or other applicable law or regulation, while affording University the maximum feasible time to review the announcement) prior written notice of the proposed text for the purpose of giving University the opportunity to comment on the text.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64" w:right="239" w:bottom="1440" w:gutter="0" w:footer="0" w:header="0"/>
        </w:sectPr>
      </w:pPr>
    </w:p>
    <w:bookmarkStart w:id="376" w:name="page377"/>
    <w:bookmarkEnd w:id="376"/>
    <w:p>
      <w:pPr>
        <w:ind w:left="763" w:hanging="763"/>
        <w:spacing w:after="0"/>
        <w:tabs>
          <w:tab w:leader="none" w:pos="763"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Term and Termination</w:t>
      </w:r>
      <w:r>
        <w:rPr>
          <w:rFonts w:ascii="Arial" w:cs="Arial" w:eastAsia="Arial" w:hAnsi="Arial"/>
          <w:sz w:val="16"/>
          <w:szCs w:val="16"/>
          <w:color w:val="auto"/>
        </w:rPr>
        <w:t>.</w:t>
      </w:r>
    </w:p>
    <w:p>
      <w:pPr>
        <w:spacing w:after="0" w:line="303" w:lineRule="exact"/>
        <w:rPr>
          <w:sz w:val="20"/>
          <w:szCs w:val="20"/>
          <w:color w:val="auto"/>
        </w:rPr>
      </w:pPr>
    </w:p>
    <w:p>
      <w:pPr>
        <w:ind w:left="3" w:firstLine="584"/>
        <w:spacing w:after="0" w:line="29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commences on the Commencement Date and remains in effect until the later of: (i) the expiration or abandonment of all Valid Claims in the Patent Rights or (ii) [*] years from the start of the Royalty Period, unless earlier terminated in accordance with the provisions of this Agreement.</w:t>
      </w:r>
    </w:p>
    <w:p>
      <w:pPr>
        <w:spacing w:after="0" w:line="223"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5"/>
          <w:szCs w:val="15"/>
          <w:u w:val="single" w:color="auto"/>
          <w:color w:val="auto"/>
        </w:rPr>
        <w:t>Voluntary Termination by Company</w:t>
      </w:r>
      <w:r>
        <w:rPr>
          <w:rFonts w:ascii="Arial" w:cs="Arial" w:eastAsia="Arial" w:hAnsi="Arial"/>
          <w:sz w:val="15"/>
          <w:szCs w:val="15"/>
          <w:color w:val="auto"/>
        </w:rPr>
        <w:t>. Company may terminate this Agreement for any reason upon [*] days’ prior written notice to University.</w:t>
      </w:r>
    </w:p>
    <w:p>
      <w:pPr>
        <w:spacing w:after="0" w:line="303" w:lineRule="exact"/>
        <w:rPr>
          <w:sz w:val="20"/>
          <w:szCs w:val="20"/>
          <w:color w:val="auto"/>
        </w:rPr>
      </w:pPr>
    </w:p>
    <w:p>
      <w:pPr>
        <w:ind w:left="3" w:right="40" w:firstLine="584"/>
        <w:spacing w:after="0" w:line="292"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Termination for Default</w:t>
      </w:r>
      <w:r>
        <w:rPr>
          <w:rFonts w:ascii="Arial" w:cs="Arial" w:eastAsia="Arial" w:hAnsi="Arial"/>
          <w:sz w:val="15"/>
          <w:szCs w:val="15"/>
          <w:color w:val="auto"/>
        </w:rPr>
        <w:t>. If either party commits a material breach of its obligations under this Agreement other than a failure by Company to pay any amount due to University under this Agreement, and fails to cure that breach within [*] days after receiving written notice of the breach, the other party may terminate this Agreement immediately upon written notice to the party in breach. Neither party will unreasonably withhold consent to a reasonable extension of time to cure any such breach in the event that the breaching party can demonstrate that it has diligently sought to cure such breach within such period, but that Section 8.4. applies.</w:t>
      </w:r>
    </w:p>
    <w:p>
      <w:pPr>
        <w:spacing w:after="0" w:line="196" w:lineRule="exact"/>
        <w:rPr>
          <w:sz w:val="20"/>
          <w:szCs w:val="20"/>
          <w:color w:val="auto"/>
        </w:rPr>
      </w:pPr>
    </w:p>
    <w:p>
      <w:pPr>
        <w:ind w:left="3" w:right="60" w:firstLine="584"/>
        <w:spacing w:after="0" w:line="283" w:lineRule="auto"/>
        <w:rPr>
          <w:sz w:val="20"/>
          <w:szCs w:val="20"/>
          <w:color w:val="auto"/>
        </w:rPr>
      </w:pPr>
      <w:r>
        <w:rPr>
          <w:rFonts w:ascii="Arial" w:cs="Arial" w:eastAsia="Arial" w:hAnsi="Arial"/>
          <w:sz w:val="16"/>
          <w:szCs w:val="16"/>
          <w:color w:val="auto"/>
        </w:rPr>
        <w:t>If the alleged breach consists of nonpayment of any uncontested amounts due University under this Agreement, and Company fails to cure that breach within [*] days after receiving notice of the breach, University may terminate this Agreement immediately upon written notice to Company.</w:t>
      </w:r>
    </w:p>
    <w:p>
      <w:pPr>
        <w:spacing w:after="0" w:line="236" w:lineRule="exact"/>
        <w:rPr>
          <w:sz w:val="20"/>
          <w:szCs w:val="20"/>
          <w:color w:val="auto"/>
        </w:rPr>
      </w:pPr>
    </w:p>
    <w:p>
      <w:pPr>
        <w:ind w:left="3" w:right="100" w:firstLine="584"/>
        <w:spacing w:after="0" w:line="27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is responsible for delays resulting from causes beyond its reasonable control, including without limitation fire, explosion, flood, war, strike, act of terrorism or riot, provided that the nonperforming party uses commercially reasonable efforts to avoid or remove those causes of nonperformance and continues performance under this Agreement with reasonable dispatch whenever the causes are removed.</w:t>
      </w:r>
    </w:p>
    <w:p>
      <w:pPr>
        <w:spacing w:after="0" w:line="242" w:lineRule="exact"/>
        <w:rPr>
          <w:sz w:val="20"/>
          <w:szCs w:val="20"/>
          <w:color w:val="auto"/>
        </w:rPr>
      </w:pPr>
    </w:p>
    <w:p>
      <w:pPr>
        <w:ind w:left="3" w:right="60" w:firstLine="584"/>
        <w:spacing w:after="0" w:line="279"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General Effect of Termination</w:t>
      </w:r>
      <w:r>
        <w:rPr>
          <w:rFonts w:ascii="Arial" w:cs="Arial" w:eastAsia="Arial" w:hAnsi="Arial"/>
          <w:sz w:val="15"/>
          <w:szCs w:val="15"/>
          <w:color w:val="auto"/>
        </w:rPr>
        <w:t>. The following provisions survive the expiration or termination of this Agreement: Sections 1 (Definitions) and 9 (Dispute Resolution); Sections 3.3. (Indemnification), 3.4. (Use of University Name), 3.6. (Compliance with Law), 5.2. (obligation to provide final report and payment), 5.3. (Payments in United States Dollars), 5.4. (Payments in Other Currencies), 5.5. (Records), 5.6. (Late Payments), 5.7. (Method of Payment), 5.8. (Withholding and Similar Taxes), 6.4. (Infringement), 7.1. (Confidential Information), 7.2. (Publicity Restrictions), 8.5. (Effect of Termination), 10.9. (Governing Law), and 10.10 (Notices). Upon the early termination of this Agreement, Company and its Affiliates and Sublicensees may complete and sell any work-in-progress and inventory of Licensed Products that exist as of the effective date of termination, provided that: (a) Company is current in payment of all amounts due University under this Agreement, (b) Company pays University the applicable royalty on sales of Licensed Products in accordance with the terms of this Agreement, and (c) Company and its Affiliates and Sublicensees complete and sell all work-in-progress and inventory of Licensed Products within [*] months after the effective date of termination. Upon the expiration or termination of this Agreement, University may enter into a license agreement directly with each Sublicensee on terms that are reasonably negotiated directly with each Sublicensee.</w:t>
      </w:r>
    </w:p>
    <w:p>
      <w:pPr>
        <w:spacing w:after="0" w:line="3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64" w:right="239" w:bottom="1440" w:gutter="0" w:footer="0" w:header="0"/>
        </w:sectPr>
      </w:pPr>
    </w:p>
    <w:bookmarkStart w:id="377" w:name="page378"/>
    <w:bookmarkEnd w:id="377"/>
    <w:p>
      <w:pPr>
        <w:ind w:left="763" w:hanging="763"/>
        <w:spacing w:after="0"/>
        <w:tabs>
          <w:tab w:leader="none" w:pos="763"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303" w:lineRule="exact"/>
        <w:rPr>
          <w:sz w:val="20"/>
          <w:szCs w:val="20"/>
          <w:color w:val="auto"/>
        </w:rPr>
      </w:pPr>
    </w:p>
    <w:p>
      <w:pPr>
        <w:ind w:left="3" w:right="40" w:firstLine="584"/>
        <w:spacing w:after="0" w:line="303"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Procedures Mandatory</w:t>
      </w:r>
      <w:r>
        <w:rPr>
          <w:rFonts w:ascii="Arial" w:cs="Arial" w:eastAsia="Arial" w:hAnsi="Arial"/>
          <w:sz w:val="15"/>
          <w:szCs w:val="15"/>
          <w:color w:val="auto"/>
        </w:rPr>
        <w:t>. The parties shall resolve any dispute arising out of or relating to this Agreement solely by means of the procedures set forth in this Section. These procedures constitute legally binding obligations that are an essential provision of this Agreement. If either party fails to observe the procedures of this Section, as modified by their written agreement, the other party may bring an action for specific performance in any court of competent jurisdiction.</w:t>
      </w:r>
    </w:p>
    <w:p>
      <w:pPr>
        <w:spacing w:after="0" w:line="223"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u w:val="single" w:color="auto"/>
          <w:color w:val="auto"/>
        </w:rPr>
        <w:t>Dispute Resolution Procedures</w:t>
      </w:r>
      <w:r>
        <w:rPr>
          <w:rFonts w:ascii="Arial" w:cs="Arial" w:eastAsia="Arial" w:hAnsi="Arial"/>
          <w:sz w:val="14"/>
          <w:szCs w:val="14"/>
          <w:color w:val="auto"/>
        </w:rPr>
        <w:t>.</w:t>
      </w:r>
    </w:p>
    <w:p>
      <w:pPr>
        <w:spacing w:after="0" w:line="303" w:lineRule="exact"/>
        <w:rPr>
          <w:sz w:val="20"/>
          <w:szCs w:val="20"/>
          <w:color w:val="auto"/>
        </w:rPr>
      </w:pPr>
    </w:p>
    <w:p>
      <w:pPr>
        <w:ind w:left="3" w:right="140" w:firstLine="1166"/>
        <w:spacing w:after="0" w:line="269" w:lineRule="auto"/>
        <w:tabs>
          <w:tab w:leader="none" w:pos="1839"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Negotiation</w:t>
      </w:r>
      <w:r>
        <w:rPr>
          <w:rFonts w:ascii="Arial" w:cs="Arial" w:eastAsia="Arial" w:hAnsi="Arial"/>
          <w:sz w:val="16"/>
          <w:szCs w:val="16"/>
          <w:color w:val="auto"/>
        </w:rPr>
        <w:t>. In the event of any dispute arising out of or relating to this Agreement, the affected party shall notify the other party, and the parties shall attempt in good faith to resolve the matter within [*] days after the date of notice (the “Notice Date”). Any disputes not resolved by good faith discussions shall be referred to senior executives of each party, who shall meet at a mutually acceptable time and location within [*] days after the Notice Date and attempt to negotiate a settlement.</w:t>
      </w:r>
    </w:p>
    <w:p>
      <w:pPr>
        <w:spacing w:after="0" w:line="246" w:lineRule="exact"/>
        <w:rPr>
          <w:rFonts w:ascii="Arial" w:cs="Arial" w:eastAsia="Arial" w:hAnsi="Arial"/>
          <w:sz w:val="16"/>
          <w:szCs w:val="16"/>
          <w:color w:val="auto"/>
        </w:rPr>
      </w:pPr>
    </w:p>
    <w:p>
      <w:pPr>
        <w:ind w:left="3" w:right="40" w:firstLine="1166"/>
        <w:spacing w:after="0" w:line="281" w:lineRule="auto"/>
        <w:tabs>
          <w:tab w:leader="none" w:pos="1848" w:val="left"/>
        </w:tabs>
        <w:numPr>
          <w:ilvl w:val="0"/>
          <w:numId w:val="349"/>
        </w:numPr>
        <w:rPr>
          <w:rFonts w:ascii="Arial" w:cs="Arial" w:eastAsia="Arial" w:hAnsi="Arial"/>
          <w:sz w:val="15"/>
          <w:szCs w:val="15"/>
          <w:color w:val="auto"/>
        </w:rPr>
      </w:pPr>
      <w:r>
        <w:rPr>
          <w:rFonts w:ascii="Arial" w:cs="Arial" w:eastAsia="Arial" w:hAnsi="Arial"/>
          <w:sz w:val="15"/>
          <w:szCs w:val="15"/>
          <w:u w:val="single" w:color="auto"/>
          <w:color w:val="auto"/>
        </w:rPr>
        <w:t>Mediation</w:t>
      </w:r>
      <w:r>
        <w:rPr>
          <w:rFonts w:ascii="Arial" w:cs="Arial" w:eastAsia="Arial" w:hAnsi="Arial"/>
          <w:sz w:val="15"/>
          <w:szCs w:val="15"/>
          <w:color w:val="auto"/>
        </w:rPr>
        <w:t>. If the matter remains unresolved within [*] days after the Notice Date, or if the senior executives fail to meet within [*] days after the Notice Date, either party may initiate mediation upon written notice to the other party, and both parties shall engage in a mediation proceeding under the then current CPR Institute for Dispute Resolution (“CPR”) Model Procedure for Mediation of Business Disputes. Specific provisions of this Subsection 9.2(b) override inconsistent provisions of the CPR Model Procedure. The parties shall select the mediator from the CPR Panels of Neutrals. If the parties cannot agree upon the selection of a mediator within [*] days after the Notice Date, then upon the request of either party, the CPR shall appoint the mediator. The parties shall attempt to resolve the dispute through mediation until one of the following occurs: (i) the parties reach a written settlement; (ii) the mediator notifies the parties in writing that they have reached an impasse; (iii) the parties agree in writing that they have reached an impasse; or (iv) the parties have not reached a settlement within [*] days after the Notice Date.</w:t>
      </w:r>
    </w:p>
    <w:p>
      <w:pPr>
        <w:spacing w:after="0" w:line="242" w:lineRule="exact"/>
        <w:rPr>
          <w:rFonts w:ascii="Arial" w:cs="Arial" w:eastAsia="Arial" w:hAnsi="Arial"/>
          <w:sz w:val="15"/>
          <w:szCs w:val="15"/>
          <w:color w:val="auto"/>
        </w:rPr>
      </w:pPr>
    </w:p>
    <w:p>
      <w:pPr>
        <w:ind w:left="3" w:right="180" w:firstLine="1166"/>
        <w:spacing w:after="0" w:line="276" w:lineRule="auto"/>
        <w:tabs>
          <w:tab w:leader="none" w:pos="1839"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Trial Without Jury</w:t>
      </w:r>
      <w:r>
        <w:rPr>
          <w:rFonts w:ascii="Arial" w:cs="Arial" w:eastAsia="Arial" w:hAnsi="Arial"/>
          <w:sz w:val="16"/>
          <w:szCs w:val="16"/>
          <w:color w:val="auto"/>
        </w:rPr>
        <w:t>. If the parties fail to resolve the dispute through mediation, or if neither party elects to initiate mediation, each party may pursue any other remedies legally available to resolve the dispute. However, the parties expressly waive the right to a jury trial in the legal proceeding under this Subsection 9.2(c).</w:t>
      </w:r>
    </w:p>
    <w:p>
      <w:pPr>
        <w:spacing w:after="0" w:line="242" w:lineRule="exact"/>
        <w:rPr>
          <w:sz w:val="20"/>
          <w:szCs w:val="20"/>
          <w:color w:val="auto"/>
        </w:rPr>
      </w:pPr>
    </w:p>
    <w:p>
      <w:pPr>
        <w:ind w:left="583"/>
        <w:spacing w:after="0"/>
        <w:tabs>
          <w:tab w:leader="none" w:pos="1302"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Preservation of Rights Pending Resolution</w:t>
      </w:r>
      <w:r>
        <w:rPr>
          <w:rFonts w:ascii="Arial" w:cs="Arial" w:eastAsia="Arial" w:hAnsi="Arial"/>
          <w:sz w:val="14"/>
          <w:szCs w:val="14"/>
          <w:color w:val="auto"/>
        </w:rPr>
        <w:t>.</w:t>
      </w:r>
    </w:p>
    <w:p>
      <w:pPr>
        <w:spacing w:after="0" w:line="303" w:lineRule="exact"/>
        <w:rPr>
          <w:sz w:val="20"/>
          <w:szCs w:val="20"/>
          <w:color w:val="auto"/>
        </w:rPr>
      </w:pPr>
    </w:p>
    <w:p>
      <w:pPr>
        <w:ind w:left="3" w:firstLine="1166"/>
        <w:spacing w:after="0" w:line="276" w:lineRule="auto"/>
        <w:tabs>
          <w:tab w:leader="none" w:pos="1839"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Performance to Continue</w:t>
      </w:r>
      <w:r>
        <w:rPr>
          <w:rFonts w:ascii="Arial" w:cs="Arial" w:eastAsia="Arial" w:hAnsi="Arial"/>
          <w:sz w:val="16"/>
          <w:szCs w:val="16"/>
          <w:color w:val="auto"/>
        </w:rPr>
        <w:t>. Each party shall continue to perform its obligations under this Agreement pending final resolution of any dispute arising out of or relating to this Agreement. However, a party may suspend performance of its obligations during any period in which the other party fails or refuses to perform its obligations.</w:t>
      </w:r>
    </w:p>
    <w:p>
      <w:pPr>
        <w:spacing w:after="0" w:line="364"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03"/>
          </w:cols>
          <w:pgMar w:left="237" w:top="163" w:right="259" w:bottom="1440" w:gutter="0" w:footer="0" w:header="0"/>
        </w:sectPr>
      </w:pPr>
    </w:p>
    <w:bookmarkStart w:id="378" w:name="page379"/>
    <w:bookmarkEnd w:id="378"/>
    <w:p>
      <w:pPr>
        <w:jc w:val="both"/>
        <w:ind w:left="3" w:right="140" w:firstLine="1166"/>
        <w:spacing w:after="0" w:line="276" w:lineRule="auto"/>
        <w:tabs>
          <w:tab w:leader="none" w:pos="1848" w:val="left"/>
        </w:tabs>
        <w:numPr>
          <w:ilvl w:val="1"/>
          <w:numId w:val="351"/>
        </w:numPr>
        <w:rPr>
          <w:rFonts w:ascii="Arial" w:cs="Arial" w:eastAsia="Arial" w:hAnsi="Arial"/>
          <w:sz w:val="16"/>
          <w:szCs w:val="16"/>
          <w:color w:val="auto"/>
        </w:rPr>
      </w:pPr>
      <w:r>
        <w:rPr>
          <w:rFonts w:ascii="Arial" w:cs="Arial" w:eastAsia="Arial" w:hAnsi="Arial"/>
          <w:sz w:val="16"/>
          <w:szCs w:val="16"/>
          <w:u w:val="single" w:color="auto"/>
          <w:color w:val="auto"/>
        </w:rPr>
        <w:t>Provisional Remedies</w:t>
      </w:r>
      <w:r>
        <w:rPr>
          <w:rFonts w:ascii="Arial" w:cs="Arial" w:eastAsia="Arial" w:hAnsi="Arial"/>
          <w:sz w:val="16"/>
          <w:szCs w:val="16"/>
          <w:color w:val="auto"/>
        </w:rPr>
        <w:t>. Although the procedures specified in this Section are the exclusive procedures for resolution of disputes arising out of or relating to this Agreement, either party may seek a preliminary injunction or other provisional equitable relief if, in its reasonable judgment, that action is necessary to avoid irreparable harm to itself or to preserve its rights under this Agreement.</w:t>
      </w:r>
    </w:p>
    <w:p>
      <w:pPr>
        <w:spacing w:after="0" w:line="241" w:lineRule="exact"/>
        <w:rPr>
          <w:rFonts w:ascii="Arial" w:cs="Arial" w:eastAsia="Arial" w:hAnsi="Arial"/>
          <w:sz w:val="16"/>
          <w:szCs w:val="16"/>
          <w:color w:val="auto"/>
        </w:rPr>
      </w:pPr>
    </w:p>
    <w:p>
      <w:pPr>
        <w:ind w:left="3" w:right="60" w:firstLine="1166"/>
        <w:spacing w:after="0" w:line="335" w:lineRule="auto"/>
        <w:tabs>
          <w:tab w:leader="none" w:pos="1839" w:val="left"/>
        </w:tabs>
        <w:numPr>
          <w:ilvl w:val="1"/>
          <w:numId w:val="351"/>
        </w:numPr>
        <w:rPr>
          <w:rFonts w:ascii="Arial" w:cs="Arial" w:eastAsia="Arial" w:hAnsi="Arial"/>
          <w:sz w:val="15"/>
          <w:szCs w:val="15"/>
          <w:color w:val="auto"/>
        </w:rPr>
      </w:pPr>
      <w:r>
        <w:rPr>
          <w:rFonts w:ascii="Arial" w:cs="Arial" w:eastAsia="Arial" w:hAnsi="Arial"/>
          <w:sz w:val="15"/>
          <w:szCs w:val="15"/>
          <w:u w:val="single" w:color="auto"/>
          <w:color w:val="auto"/>
        </w:rPr>
        <w:t>Statute of Limitations</w:t>
      </w:r>
      <w:r>
        <w:rPr>
          <w:rFonts w:ascii="Arial" w:cs="Arial" w:eastAsia="Arial" w:hAnsi="Arial"/>
          <w:sz w:val="15"/>
          <w:szCs w:val="15"/>
          <w:color w:val="auto"/>
        </w:rPr>
        <w:t>. The parties agree that all applicable statutes of limitation and time-based defenses (such as, estoppel and laches) are tolled while the procedures set forth in Subsections 9.2.(a) and 9.2(b) are pending. The parties shall take any actions necessary to effectuate this result.</w:t>
      </w:r>
    </w:p>
    <w:p>
      <w:pPr>
        <w:spacing w:after="0" w:line="200" w:lineRule="exact"/>
        <w:rPr>
          <w:rFonts w:ascii="Arial" w:cs="Arial" w:eastAsia="Arial" w:hAnsi="Arial"/>
          <w:sz w:val="15"/>
          <w:szCs w:val="15"/>
          <w:color w:val="auto"/>
        </w:rPr>
      </w:pPr>
    </w:p>
    <w:p>
      <w:pPr>
        <w:ind w:left="683" w:hanging="683"/>
        <w:spacing w:after="0"/>
        <w:tabs>
          <w:tab w:leader="none" w:pos="683"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303" w:lineRule="exact"/>
        <w:rPr>
          <w:sz w:val="20"/>
          <w:szCs w:val="20"/>
          <w:color w:val="auto"/>
        </w:rPr>
      </w:pPr>
    </w:p>
    <w:p>
      <w:pPr>
        <w:ind w:left="3" w:right="140" w:firstLine="584"/>
        <w:spacing w:after="0" w:line="281"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University represents that its employees have assigned to University their entire right, title, and interest in the Patent Rights, that it has elected to retain title to all inventions constituting the Patent Rights that were funded by the federal government, and that it has authority to grant the rights and licenses set forth in this Agreement, and that it has not granted any rights in the Patent Rights to any third party that is inconsistent with the grant of rights in this Agreement. UNIVERSITY MAKES NO OTHER WARRANTIES CONCERNING THE PATENT RIGHTS, INCLUDING WITHOUT LIMITATION ANY EXPRESS OR IMPLIED WARRANTY OF MERCHANTABILITY OR FITNESS FOR A PARTICULAR PURPOSE. Specifically, University makes no warranty or representation: (a) regarding the validity or scope of the Patent Rights, (b) that the exploitation of the Patent Rights or any Licensed Product will not infringe any patents or other intellectual property rights of a third party, and (c) that any third party is not currently infringing or will not infringe the Patent Rights.</w:t>
      </w:r>
    </w:p>
    <w:p>
      <w:pPr>
        <w:spacing w:after="0" w:line="242" w:lineRule="exact"/>
        <w:rPr>
          <w:sz w:val="20"/>
          <w:szCs w:val="20"/>
          <w:color w:val="auto"/>
        </w:rPr>
      </w:pPr>
    </w:p>
    <w:p>
      <w:pPr>
        <w:ind w:left="3" w:right="200" w:firstLine="584"/>
        <w:spacing w:after="0" w:line="269"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Compliance with Law and Policies</w:t>
      </w:r>
      <w:r>
        <w:rPr>
          <w:rFonts w:ascii="Arial" w:cs="Arial" w:eastAsia="Arial" w:hAnsi="Arial"/>
          <w:sz w:val="16"/>
          <w:szCs w:val="16"/>
          <w:color w:val="auto"/>
        </w:rPr>
        <w:t>. Company agrees to comply with applicable law and the published policies of University in the area of technology transfer communicated to it and shall promptly notify University of any violation that Company knows or has reason to believe has occurred or is likely to occur. The University policies currently in effect at the Worcester campus are the Intellectual Property Policy, Policy on Conflicts of Interest Relating to Intellectual Property and Commercial Ventures, and Policy on Faculty Consulting and Outside Activities.</w:t>
      </w:r>
    </w:p>
    <w:p>
      <w:pPr>
        <w:spacing w:after="0" w:line="247" w:lineRule="exact"/>
        <w:rPr>
          <w:sz w:val="20"/>
          <w:szCs w:val="20"/>
          <w:color w:val="auto"/>
        </w:rPr>
      </w:pPr>
    </w:p>
    <w:p>
      <w:pPr>
        <w:ind w:left="3" w:firstLine="584"/>
        <w:spacing w:after="0" w:line="265"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Tax-Exempt Status</w:t>
      </w:r>
      <w:r>
        <w:rPr>
          <w:rFonts w:ascii="Arial" w:cs="Arial" w:eastAsia="Arial" w:hAnsi="Arial"/>
          <w:sz w:val="16"/>
          <w:szCs w:val="16"/>
          <w:color w:val="auto"/>
        </w:rPr>
        <w:t>. Company acknowledges that University, as a public institution of the Commonwealth of Massachusetts, is an exempt organization under the United States Internal Revenue Code of 1986, as amended. Company also acknowledges that certain facilities in which the licensed inventions were developed may have been financed through offerings of tax-exempt bonds. If the Internal Revenue Service determines, or if counsel to University reasonably determines, that any term of this Agreement jeopardizes the tax-exempt status of University or the bonds used to finance University facilities, the relevant term is invalid and shall be modified in accordance with Section 10.11.</w:t>
      </w:r>
    </w:p>
    <w:p>
      <w:pPr>
        <w:spacing w:after="0" w:line="251" w:lineRule="exact"/>
        <w:rPr>
          <w:sz w:val="20"/>
          <w:szCs w:val="20"/>
          <w:color w:val="auto"/>
        </w:rPr>
      </w:pPr>
    </w:p>
    <w:p>
      <w:pPr>
        <w:ind w:left="583"/>
        <w:spacing w:after="0"/>
        <w:tabs>
          <w:tab w:leader="none" w:pos="1382"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is an original, and all of which together are one instrument.</w:t>
      </w:r>
    </w:p>
    <w:p>
      <w:pPr>
        <w:spacing w:after="0" w:line="200" w:lineRule="exact"/>
        <w:rPr>
          <w:sz w:val="20"/>
          <w:szCs w:val="20"/>
          <w:color w:val="auto"/>
        </w:rPr>
      </w:pPr>
    </w:p>
    <w:p>
      <w:pPr>
        <w:spacing w:after="0" w:line="225"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63"/>
          </w:cols>
          <w:pgMar w:left="237" w:top="163" w:right="299" w:bottom="1440" w:gutter="0" w:footer="0" w:header="0"/>
        </w:sectPr>
      </w:pPr>
    </w:p>
    <w:bookmarkStart w:id="379" w:name="page380"/>
    <w:bookmarkEnd w:id="379"/>
    <w:p>
      <w:pPr>
        <w:ind w:left="580"/>
        <w:spacing w:after="0"/>
        <w:tabs>
          <w:tab w:leader="none" w:pos="138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4"/>
          <w:szCs w:val="14"/>
          <w:u w:val="single" w:color="auto"/>
          <w:color w:val="auto"/>
        </w:rPr>
        <w:t>Headings</w:t>
      </w:r>
      <w:r>
        <w:rPr>
          <w:rFonts w:ascii="Arial" w:cs="Arial" w:eastAsia="Arial" w:hAnsi="Arial"/>
          <w:sz w:val="14"/>
          <w:szCs w:val="14"/>
          <w:color w:val="auto"/>
        </w:rPr>
        <w:t>. All headings are for convenience only and do not affect the meaning of any provision of this Agreement.</w:t>
      </w:r>
    </w:p>
    <w:p>
      <w:pPr>
        <w:spacing w:after="0" w:line="303"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is binding upon and inures to the benefit of the parties and their respective permitted successors and assigns.</w:t>
      </w:r>
    </w:p>
    <w:p>
      <w:pPr>
        <w:spacing w:after="0" w:line="303" w:lineRule="exact"/>
        <w:rPr>
          <w:sz w:val="20"/>
          <w:szCs w:val="20"/>
          <w:color w:val="auto"/>
        </w:rPr>
      </w:pPr>
    </w:p>
    <w:p>
      <w:pPr>
        <w:ind w:firstLine="584"/>
        <w:spacing w:after="0" w:line="27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may not be assigned by either party without the prior written consent of the other party, which consent may not be unreasonably withheld or delayed. Notwithstanding the foregoing, this Agreement may be assigned by either party in connection with a merger, consolidation, sale of all of the equity interests of the party, or a sale of all or substantially all of the assets of the party to which this Agreement relates.</w:t>
      </w:r>
    </w:p>
    <w:p>
      <w:pPr>
        <w:spacing w:after="0" w:line="242" w:lineRule="exact"/>
        <w:rPr>
          <w:sz w:val="20"/>
          <w:szCs w:val="20"/>
          <w:color w:val="auto"/>
        </w:rPr>
      </w:pPr>
    </w:p>
    <w:p>
      <w:pPr>
        <w:ind w:right="320" w:firstLine="584"/>
        <w:spacing w:after="0" w:line="276"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The parties may only amend, supplement, or otherwise modify this Agreement through a written instrument signed by both parties. The waiver of any rights or failure to act in a specific instance relates only to that instance and is not an agreement to waive any rights or fail to act in any other instance.</w:t>
      </w:r>
    </w:p>
    <w:p>
      <w:pPr>
        <w:spacing w:after="0" w:line="242" w:lineRule="exact"/>
        <w:rPr>
          <w:sz w:val="20"/>
          <w:szCs w:val="20"/>
          <w:color w:val="auto"/>
        </w:rPr>
      </w:pPr>
    </w:p>
    <w:p>
      <w:pPr>
        <w:ind w:right="160" w:firstLine="584"/>
        <w:spacing w:after="0" w:line="27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is governed by and construed in accordance with the laws of the Commonwealth of Massachusetts irrespective of any conflicts of law principles. The parties may only bring legal action that arises out of or in connection with this Agreement in the Massachusetts Superior Court in Suffolk County.</w:t>
      </w:r>
    </w:p>
    <w:p>
      <w:pPr>
        <w:spacing w:after="0" w:line="242" w:lineRule="exact"/>
        <w:rPr>
          <w:sz w:val="20"/>
          <w:szCs w:val="20"/>
          <w:color w:val="auto"/>
        </w:rPr>
      </w:pPr>
    </w:p>
    <w:p>
      <w:pPr>
        <w:ind w:right="440" w:firstLine="584"/>
        <w:spacing w:after="0" w:line="299"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Notice</w:t>
      </w:r>
      <w:r>
        <w:rPr>
          <w:rFonts w:ascii="Arial" w:cs="Arial" w:eastAsia="Arial" w:hAnsi="Arial"/>
          <w:sz w:val="16"/>
          <w:szCs w:val="16"/>
          <w:color w:val="auto"/>
        </w:rPr>
        <w:t>. Any notices required or permitted under this Agreement shall be in writing, shall specifically refer to this Agreement, and shall be sent by recognized national overnight courier, or registered or certified mail, postage prepaid, return receipt requested, to the following addresses:</w:t>
      </w:r>
    </w:p>
    <w:p>
      <w:pPr>
        <w:sectPr>
          <w:pgSz w:w="11900" w:h="16838" w:orient="portrait"/>
          <w:cols w:equalWidth="0" w:num="1">
            <w:col w:w="11420"/>
          </w:cols>
          <w:pgMar w:left="240" w:top="164"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to University: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4640"/>
        <w:spacing w:after="0"/>
        <w:rPr>
          <w:sz w:val="20"/>
          <w:szCs w:val="20"/>
          <w:color w:val="auto"/>
        </w:rPr>
      </w:pPr>
      <w:r>
        <w:rPr>
          <w:rFonts w:ascii="Arial" w:cs="Arial" w:eastAsia="Arial" w:hAnsi="Arial"/>
          <w:sz w:val="15"/>
          <w:szCs w:val="15"/>
          <w:b w:val="1"/>
          <w:bCs w:val="1"/>
          <w:color w:val="auto"/>
        </w:rPr>
        <w:t>If to Company:</w:t>
      </w:r>
    </w:p>
    <w:p>
      <w:pPr>
        <w:spacing w:after="0" w:line="200" w:lineRule="exact"/>
        <w:rPr>
          <w:sz w:val="20"/>
          <w:szCs w:val="20"/>
          <w:color w:val="auto"/>
        </w:rPr>
      </w:pPr>
    </w:p>
    <w:p>
      <w:pPr>
        <w:sectPr>
          <w:pgSz w:w="11900" w:h="16838" w:orient="portrait"/>
          <w:cols w:equalWidth="0" w:num="2">
            <w:col w:w="5000" w:space="720"/>
            <w:col w:w="5700"/>
          </w:cols>
          <w:pgMar w:left="240" w:top="164"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Office of Technology Management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University of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222 Maple Ave., Higgins Bldg</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Shrewsbury, MA 01545</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United State of America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Agalimmune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Wilson Wright LLP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1st Floor Thavies Inn House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3-4 Holborn Road, London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United Kingdom EC1N 2HA</w:t>
      </w:r>
    </w:p>
    <w:p>
      <w:pPr>
        <w:spacing w:after="0" w:line="205" w:lineRule="exact"/>
        <w:rPr>
          <w:sz w:val="20"/>
          <w:szCs w:val="20"/>
          <w:color w:val="auto"/>
        </w:rPr>
      </w:pPr>
    </w:p>
    <w:p>
      <w:pPr>
        <w:sectPr>
          <w:pgSz w:w="11900" w:h="16838" w:orient="portrait"/>
          <w:cols w:equalWidth="0" w:num="2">
            <w:col w:w="5000" w:space="720"/>
            <w:col w:w="5700"/>
          </w:cols>
          <w:pgMar w:left="240" w:top="164" w:right="239" w:bottom="1440" w:gutter="0" w:footer="0" w:header="0"/>
          <w:type w:val="continuous"/>
        </w:sectPr>
      </w:pPr>
    </w:p>
    <w:p>
      <w:pPr>
        <w:spacing w:after="0"/>
        <w:rPr>
          <w:sz w:val="20"/>
          <w:szCs w:val="20"/>
          <w:color w:val="auto"/>
        </w:rPr>
      </w:pPr>
      <w:r>
        <w:rPr>
          <w:rFonts w:ascii="Arial" w:cs="Arial" w:eastAsia="Arial" w:hAnsi="Arial"/>
          <w:sz w:val="15"/>
          <w:szCs w:val="15"/>
          <w:color w:val="auto"/>
        </w:rPr>
        <w:t>Attention: Executive Director</w:t>
      </w:r>
    </w:p>
    <w:p>
      <w:pPr>
        <w:spacing w:after="0" w:line="20" w:lineRule="exact"/>
        <w:rPr>
          <w:sz w:val="20"/>
          <w:szCs w:val="20"/>
          <w:color w:val="auto"/>
        </w:rPr>
      </w:pPr>
      <w:r>
        <w:rPr>
          <w:sz w:val="20"/>
          <w:szCs w:val="20"/>
          <w:color w:val="auto"/>
        </w:rPr>
        <w:br w:type="column"/>
      </w:r>
    </w:p>
    <w:p>
      <w:pPr>
        <w:jc w:val="center"/>
        <w:ind w:right="3980"/>
        <w:spacing w:after="0"/>
        <w:rPr>
          <w:sz w:val="20"/>
          <w:szCs w:val="20"/>
          <w:color w:val="auto"/>
        </w:rPr>
      </w:pPr>
      <w:r>
        <w:rPr>
          <w:rFonts w:ascii="Arial" w:cs="Arial" w:eastAsia="Arial" w:hAnsi="Arial"/>
          <w:sz w:val="15"/>
          <w:szCs w:val="15"/>
          <w:color w:val="auto"/>
        </w:rPr>
        <w:t>Attention: CEO/Directors</w:t>
      </w:r>
    </w:p>
    <w:p>
      <w:pPr>
        <w:spacing w:after="0" w:line="200" w:lineRule="exact"/>
        <w:rPr>
          <w:sz w:val="20"/>
          <w:szCs w:val="20"/>
          <w:color w:val="auto"/>
        </w:rPr>
      </w:pPr>
    </w:p>
    <w:p>
      <w:pPr>
        <w:sectPr>
          <w:pgSz w:w="11900" w:h="16838" w:orient="portrait"/>
          <w:cols w:equalWidth="0" w:num="2">
            <w:col w:w="5000" w:space="720"/>
            <w:col w:w="5700"/>
          </w:cols>
          <w:pgMar w:left="240" w:top="164" w:right="239" w:bottom="1440" w:gutter="0" w:footer="0" w:header="0"/>
          <w:type w:val="continuous"/>
        </w:sectPr>
      </w:pPr>
    </w:p>
    <w:p>
      <w:pPr>
        <w:spacing w:after="0" w:line="66"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color w:val="auto"/>
        </w:rPr>
        <w:t>All notices under this Agreement are effective upon receipt. A party may change its contact information immediately upon written notice to the other party in the manner provided in this Section 10.10.</w:t>
      </w:r>
    </w:p>
    <w:p>
      <w:pPr>
        <w:spacing w:after="0" w:line="236" w:lineRule="exact"/>
        <w:rPr>
          <w:sz w:val="20"/>
          <w:szCs w:val="20"/>
          <w:color w:val="auto"/>
        </w:rPr>
      </w:pPr>
    </w:p>
    <w:p>
      <w:pPr>
        <w:ind w:right="160" w:firstLine="584"/>
        <w:spacing w:after="0" w:line="292" w:lineRule="auto"/>
        <w:rPr>
          <w:sz w:val="20"/>
          <w:szCs w:val="20"/>
          <w:color w:val="auto"/>
        </w:rPr>
      </w:pPr>
      <w:r>
        <w:rPr>
          <w:rFonts w:ascii="Arial" w:cs="Arial" w:eastAsia="Arial" w:hAnsi="Arial"/>
          <w:sz w:val="15"/>
          <w:szCs w:val="15"/>
          <w:color w:val="auto"/>
        </w:rPr>
        <w:t xml:space="preserve">10.11.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is held invalid or unenforceable for any reason, the invalidity or unenforceability does not affect any other provision of this Agreement, and the parties shall negotiate in good faith to modify the Agreement to preserve (to the extent possible) their original intent. If the parties fail to reach a modified agreement within [*] days after the relevant provision is held invalid or unenforceable, then the dispute shall be resolved in accordance with the procedures set forth in Section 9. While the dispute is pending resolution, this Agreement shall be construed as if the provision were deleted by agreement of the parties.</w:t>
      </w:r>
    </w:p>
    <w:p>
      <w:pPr>
        <w:spacing w:after="0" w:line="232" w:lineRule="exact"/>
        <w:rPr>
          <w:sz w:val="20"/>
          <w:szCs w:val="20"/>
          <w:color w:val="auto"/>
        </w:rPr>
      </w:pPr>
    </w:p>
    <w:p>
      <w:pPr>
        <w:ind w:right="500" w:firstLine="584"/>
        <w:spacing w:after="0" w:line="299"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parties with respect to its subject matter and supersedes all prior agreements or understandings between the parties relating to its subject matter.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64" w:right="239" w:bottom="1440" w:gutter="0" w:footer="0" w:header="0"/>
          <w:type w:val="continuous"/>
        </w:sectPr>
      </w:pPr>
    </w:p>
    <w:bookmarkStart w:id="380" w:name="page381"/>
    <w:bookmarkEnd w:id="380"/>
    <w:p>
      <w:pPr>
        <w:ind w:left="580"/>
        <w:spacing w:after="0"/>
        <w:rPr>
          <w:sz w:val="20"/>
          <w:szCs w:val="20"/>
          <w:color w:val="auto"/>
        </w:rPr>
      </w:pPr>
      <w:r>
        <w:rPr>
          <w:rFonts w:ascii="Arial" w:cs="Arial" w:eastAsia="Arial" w:hAnsi="Arial"/>
          <w:sz w:val="16"/>
          <w:szCs w:val="16"/>
          <w:color w:val="auto"/>
        </w:rPr>
        <w:t>The parties have caused this Agreement to be executed by their duly authorized representatives as of the Commencement Date.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gridSpan w:val="8"/>
          </w:tcPr>
          <w:p>
            <w:pPr>
              <w:spacing w:after="0"/>
              <w:rPr>
                <w:sz w:val="20"/>
                <w:szCs w:val="20"/>
                <w:color w:val="auto"/>
              </w:rPr>
            </w:pPr>
            <w:r>
              <w:rPr>
                <w:rFonts w:ascii="Arial" w:cs="Arial" w:eastAsia="Arial" w:hAnsi="Arial"/>
                <w:sz w:val="16"/>
                <w:szCs w:val="16"/>
                <w:b w:val="1"/>
                <w:bCs w:val="1"/>
                <w:color w:val="auto"/>
              </w:rPr>
              <w:t>UNIVERSITY OF MASSACHUSETTS</w:t>
            </w:r>
          </w:p>
        </w:tc>
        <w:tc>
          <w:tcPr>
            <w:tcW w:w="6460" w:type="dxa"/>
            <w:vAlign w:val="bottom"/>
            <w:gridSpan w:val="6"/>
          </w:tcPr>
          <w:p>
            <w:pPr>
              <w:ind w:left="740"/>
              <w:spacing w:after="0"/>
              <w:rPr>
                <w:sz w:val="20"/>
                <w:szCs w:val="20"/>
                <w:color w:val="auto"/>
              </w:rPr>
            </w:pPr>
            <w:r>
              <w:rPr>
                <w:rFonts w:ascii="Arial" w:cs="Arial" w:eastAsia="Arial" w:hAnsi="Arial"/>
                <w:sz w:val="16"/>
                <w:szCs w:val="16"/>
                <w:b w:val="1"/>
                <w:bCs w:val="1"/>
                <w:color w:val="auto"/>
              </w:rPr>
              <w:t>AGALIMMUNE LTD</w:t>
            </w:r>
          </w:p>
        </w:tc>
      </w:tr>
      <w:tr>
        <w:trPr>
          <w:trHeight w:val="354"/>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400" w:type="dxa"/>
            <w:vAlign w:val="bottom"/>
            <w:gridSpan w:val="7"/>
          </w:tcPr>
          <w:p>
            <w:pPr>
              <w:ind w:left="140"/>
              <w:spacing w:after="0"/>
              <w:rPr>
                <w:sz w:val="20"/>
                <w:szCs w:val="20"/>
                <w:color w:val="auto"/>
              </w:rPr>
            </w:pPr>
            <w:r>
              <w:rPr>
                <w:rFonts w:ascii="Arial" w:cs="Arial" w:eastAsia="Arial" w:hAnsi="Arial"/>
                <w:sz w:val="16"/>
                <w:szCs w:val="16"/>
                <w:color w:val="auto"/>
              </w:rPr>
              <w:t>[JAMES P. MCNAMARA, PH.D.]</w:t>
            </w:r>
          </w:p>
        </w:tc>
        <w:tc>
          <w:tcPr>
            <w:tcW w:w="1340" w:type="dxa"/>
            <w:vAlign w:val="bottom"/>
          </w:tcPr>
          <w:p>
            <w:pPr>
              <w:ind w:left="740"/>
              <w:spacing w:after="0"/>
              <w:rPr>
                <w:sz w:val="20"/>
                <w:szCs w:val="20"/>
                <w:color w:val="auto"/>
              </w:rPr>
            </w:pPr>
            <w:r>
              <w:rPr>
                <w:rFonts w:ascii="Arial" w:cs="Arial" w:eastAsia="Arial" w:hAnsi="Arial"/>
                <w:sz w:val="16"/>
                <w:szCs w:val="16"/>
                <w:color w:val="auto"/>
              </w:rPr>
              <w:t>By:</w:t>
            </w:r>
          </w:p>
        </w:tc>
        <w:tc>
          <w:tcPr>
            <w:tcW w:w="240" w:type="dxa"/>
            <w:vAlign w:val="bottom"/>
          </w:tcPr>
          <w:p>
            <w:pPr>
              <w:spacing w:after="0"/>
              <w:rPr>
                <w:sz w:val="24"/>
                <w:szCs w:val="24"/>
                <w:color w:val="auto"/>
              </w:rPr>
            </w:pPr>
          </w:p>
        </w:tc>
        <w:tc>
          <w:tcPr>
            <w:tcW w:w="4880" w:type="dxa"/>
            <w:vAlign w:val="bottom"/>
            <w:gridSpan w:val="4"/>
          </w:tcPr>
          <w:p>
            <w:pPr>
              <w:spacing w:after="0"/>
              <w:rPr>
                <w:sz w:val="20"/>
                <w:szCs w:val="20"/>
                <w:color w:val="auto"/>
              </w:rPr>
            </w:pPr>
            <w:r>
              <w:rPr>
                <w:rFonts w:ascii="Arial" w:cs="Arial" w:eastAsia="Arial" w:hAnsi="Arial"/>
                <w:sz w:val="16"/>
                <w:szCs w:val="16"/>
                <w:color w:val="auto"/>
              </w:rPr>
              <w:t>[DAMIAN MARRON]</w:t>
            </w:r>
          </w:p>
        </w:tc>
      </w:tr>
      <w:tr>
        <w:trPr>
          <w:trHeight w:val="175"/>
        </w:trPr>
        <w:tc>
          <w:tcPr>
            <w:tcW w:w="580" w:type="dxa"/>
            <w:vAlign w:val="bottom"/>
          </w:tcPr>
          <w:p>
            <w:pPr>
              <w:spacing w:after="0" w:line="175" w:lineRule="exact"/>
              <w:rPr>
                <w:sz w:val="20"/>
                <w:szCs w:val="20"/>
                <w:color w:val="auto"/>
              </w:rPr>
            </w:pPr>
            <w:r>
              <w:rPr>
                <w:rFonts w:ascii="Arial" w:cs="Arial" w:eastAsia="Arial" w:hAnsi="Arial"/>
                <w:sz w:val="16"/>
                <w:szCs w:val="16"/>
                <w:color w:val="auto"/>
              </w:rPr>
              <w:t>Name:</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gridSpan w:val="2"/>
          </w:tcPr>
          <w:p>
            <w:pPr>
              <w:spacing w:after="0" w:line="175" w:lineRule="exact"/>
              <w:rPr>
                <w:sz w:val="20"/>
                <w:szCs w:val="20"/>
                <w:color w:val="auto"/>
              </w:rPr>
            </w:pPr>
            <w:r>
              <w:rPr>
                <w:rFonts w:ascii="Arial" w:cs="Arial" w:eastAsia="Arial" w:hAnsi="Arial"/>
                <w:sz w:val="16"/>
                <w:szCs w:val="16"/>
                <w:color w:val="auto"/>
              </w:rPr>
              <w:t>James P. McNamara, Ph.D.,</w:t>
            </w:r>
          </w:p>
        </w:tc>
        <w:tc>
          <w:tcPr>
            <w:tcW w:w="1980" w:type="dxa"/>
            <w:vAlign w:val="bottom"/>
            <w:gridSpan w:val="2"/>
          </w:tcPr>
          <w:p>
            <w:pPr>
              <w:spacing w:after="0"/>
              <w:rPr>
                <w:sz w:val="15"/>
                <w:szCs w:val="15"/>
                <w:color w:val="auto"/>
              </w:rPr>
            </w:pPr>
          </w:p>
        </w:tc>
        <w:tc>
          <w:tcPr>
            <w:tcW w:w="1340" w:type="dxa"/>
            <w:vAlign w:val="bottom"/>
          </w:tcPr>
          <w:p>
            <w:pPr>
              <w:ind w:left="740"/>
              <w:spacing w:after="0" w:line="175" w:lineRule="exact"/>
              <w:rPr>
                <w:sz w:val="20"/>
                <w:szCs w:val="20"/>
                <w:color w:val="auto"/>
              </w:rPr>
            </w:pPr>
            <w:r>
              <w:rPr>
                <w:rFonts w:ascii="Arial" w:cs="Arial" w:eastAsia="Arial" w:hAnsi="Arial"/>
                <w:sz w:val="16"/>
                <w:szCs w:val="16"/>
                <w:color w:val="auto"/>
              </w:rPr>
              <w:t>Name:</w:t>
            </w:r>
          </w:p>
        </w:tc>
        <w:tc>
          <w:tcPr>
            <w:tcW w:w="240" w:type="dxa"/>
            <w:vAlign w:val="bottom"/>
          </w:tcPr>
          <w:p>
            <w:pPr>
              <w:spacing w:after="0"/>
              <w:rPr>
                <w:sz w:val="15"/>
                <w:szCs w:val="15"/>
                <w:color w:val="auto"/>
              </w:rPr>
            </w:pPr>
          </w:p>
        </w:tc>
        <w:tc>
          <w:tcPr>
            <w:tcW w:w="1540" w:type="dxa"/>
            <w:vAlign w:val="bottom"/>
            <w:tcBorders>
              <w:top w:val="single" w:sz="8" w:color="auto"/>
            </w:tcBorders>
            <w:gridSpan w:val="3"/>
          </w:tcPr>
          <w:p>
            <w:pPr>
              <w:spacing w:after="0" w:line="175" w:lineRule="exact"/>
              <w:rPr>
                <w:sz w:val="20"/>
                <w:szCs w:val="20"/>
                <w:color w:val="auto"/>
              </w:rPr>
            </w:pPr>
            <w:r>
              <w:rPr>
                <w:rFonts w:ascii="Arial" w:cs="Arial" w:eastAsia="Arial" w:hAnsi="Arial"/>
                <w:sz w:val="16"/>
                <w:szCs w:val="16"/>
                <w:color w:val="auto"/>
              </w:rPr>
              <w:t>Damian Marron</w:t>
            </w:r>
          </w:p>
        </w:tc>
        <w:tc>
          <w:tcPr>
            <w:tcW w:w="334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75"/>
        </w:trPr>
        <w:tc>
          <w:tcPr>
            <w:tcW w:w="580" w:type="dxa"/>
            <w:vAlign w:val="bottom"/>
          </w:tcPr>
          <w:p>
            <w:pPr>
              <w:spacing w:after="0" w:line="175" w:lineRule="exact"/>
              <w:rPr>
                <w:sz w:val="20"/>
                <w:szCs w:val="20"/>
                <w:color w:val="auto"/>
              </w:rPr>
            </w:pPr>
            <w:r>
              <w:rPr>
                <w:rFonts w:ascii="Arial" w:cs="Arial" w:eastAsia="Arial" w:hAnsi="Arial"/>
                <w:sz w:val="16"/>
                <w:szCs w:val="16"/>
                <w:color w:val="auto"/>
              </w:rPr>
              <w:t>Title: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gridSpan w:val="4"/>
          </w:tcPr>
          <w:p>
            <w:pPr>
              <w:spacing w:after="0" w:line="175" w:lineRule="exact"/>
              <w:rPr>
                <w:sz w:val="20"/>
                <w:szCs w:val="20"/>
                <w:color w:val="auto"/>
              </w:rPr>
            </w:pPr>
            <w:r>
              <w:rPr>
                <w:rFonts w:ascii="Arial" w:cs="Arial" w:eastAsia="Arial" w:hAnsi="Arial"/>
                <w:sz w:val="16"/>
                <w:szCs w:val="16"/>
                <w:color w:val="auto"/>
                <w:w w:val="93"/>
              </w:rPr>
              <w:t>Executive Director, Office of Technology Management</w:t>
            </w:r>
          </w:p>
        </w:tc>
        <w:tc>
          <w:tcPr>
            <w:tcW w:w="640" w:type="dxa"/>
            <w:vAlign w:val="bottom"/>
          </w:tcPr>
          <w:p>
            <w:pPr>
              <w:spacing w:after="0"/>
              <w:rPr>
                <w:sz w:val="15"/>
                <w:szCs w:val="15"/>
                <w:color w:val="auto"/>
              </w:rPr>
            </w:pPr>
          </w:p>
        </w:tc>
        <w:tc>
          <w:tcPr>
            <w:tcW w:w="1340" w:type="dxa"/>
            <w:vAlign w:val="bottom"/>
          </w:tcPr>
          <w:p>
            <w:pPr>
              <w:ind w:left="740"/>
              <w:spacing w:after="0" w:line="175" w:lineRule="exact"/>
              <w:rPr>
                <w:sz w:val="20"/>
                <w:szCs w:val="20"/>
                <w:color w:val="auto"/>
              </w:rPr>
            </w:pPr>
            <w:r>
              <w:rPr>
                <w:rFonts w:ascii="Arial" w:cs="Arial" w:eastAsia="Arial" w:hAnsi="Arial"/>
                <w:sz w:val="16"/>
                <w:szCs w:val="16"/>
                <w:color w:val="auto"/>
              </w:rPr>
              <w:t>Title:</w:t>
            </w:r>
          </w:p>
        </w:tc>
        <w:tc>
          <w:tcPr>
            <w:tcW w:w="5120" w:type="dxa"/>
            <w:vAlign w:val="bottom"/>
            <w:gridSpan w:val="5"/>
          </w:tcPr>
          <w:p>
            <w:pPr>
              <w:ind w:left="240"/>
              <w:spacing w:after="0" w:line="175" w:lineRule="exact"/>
              <w:rPr>
                <w:sz w:val="20"/>
                <w:szCs w:val="20"/>
                <w:color w:val="auto"/>
              </w:rPr>
            </w:pPr>
            <w:r>
              <w:rPr>
                <w:rFonts w:ascii="Arial" w:cs="Arial" w:eastAsia="Arial" w:hAnsi="Arial"/>
                <w:sz w:val="16"/>
                <w:szCs w:val="16"/>
                <w:color w:val="auto"/>
              </w:rPr>
              <w:t>CEO</w:t>
            </w:r>
          </w:p>
        </w:tc>
      </w:tr>
      <w:tr>
        <w:trPr>
          <w:trHeight w:val="20"/>
        </w:trPr>
        <w:tc>
          <w:tcPr>
            <w:tcW w:w="5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1"/>
        </w:trPr>
        <w:tc>
          <w:tcPr>
            <w:tcW w:w="580" w:type="dxa"/>
            <w:vAlign w:val="bottom"/>
          </w:tcPr>
          <w:p>
            <w:pPr>
              <w:spacing w:after="0"/>
              <w:rPr>
                <w:sz w:val="20"/>
                <w:szCs w:val="20"/>
                <w:color w:val="auto"/>
              </w:rPr>
            </w:pPr>
            <w:r>
              <w:rPr>
                <w:rFonts w:ascii="Arial" w:cs="Arial" w:eastAsia="Arial" w:hAnsi="Arial"/>
                <w:sz w:val="16"/>
                <w:szCs w:val="16"/>
                <w:color w:val="auto"/>
              </w:rPr>
              <w:t>Date:</w:t>
            </w:r>
          </w:p>
        </w:tc>
        <w:tc>
          <w:tcPr>
            <w:tcW w:w="1980" w:type="dxa"/>
            <w:vAlign w:val="bottom"/>
            <w:gridSpan w:val="4"/>
          </w:tcPr>
          <w:p>
            <w:pPr>
              <w:ind w:left="140"/>
              <w:spacing w:after="0"/>
              <w:rPr>
                <w:sz w:val="20"/>
                <w:szCs w:val="20"/>
                <w:color w:val="auto"/>
              </w:rPr>
            </w:pPr>
            <w:r>
              <w:rPr>
                <w:rFonts w:ascii="Arial" w:cs="Arial" w:eastAsia="Arial" w:hAnsi="Arial"/>
                <w:sz w:val="16"/>
                <w:szCs w:val="16"/>
                <w:color w:val="auto"/>
                <w:w w:val="97"/>
              </w:rPr>
              <w:t>_____________________</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ind w:left="740"/>
              <w:spacing w:after="0"/>
              <w:rPr>
                <w:sz w:val="20"/>
                <w:szCs w:val="20"/>
                <w:color w:val="auto"/>
              </w:rPr>
            </w:pPr>
            <w:r>
              <w:rPr>
                <w:rFonts w:ascii="Arial" w:cs="Arial" w:eastAsia="Arial" w:hAnsi="Arial"/>
                <w:sz w:val="16"/>
                <w:szCs w:val="16"/>
                <w:color w:val="auto"/>
              </w:rPr>
              <w:t>Date:</w:t>
            </w:r>
          </w:p>
        </w:tc>
        <w:tc>
          <w:tcPr>
            <w:tcW w:w="5120" w:type="dxa"/>
            <w:vAlign w:val="bottom"/>
            <w:gridSpan w:val="5"/>
          </w:tcPr>
          <w:p>
            <w:pPr>
              <w:jc w:val="right"/>
              <w:ind w:right="3340"/>
              <w:spacing w:after="0"/>
              <w:rPr>
                <w:sz w:val="20"/>
                <w:szCs w:val="20"/>
                <w:color w:val="auto"/>
              </w:rPr>
            </w:pPr>
            <w:r>
              <w:rPr>
                <w:rFonts w:ascii="Arial" w:cs="Arial" w:eastAsia="Arial" w:hAnsi="Arial"/>
                <w:sz w:val="16"/>
                <w:szCs w:val="16"/>
                <w:color w:val="auto"/>
                <w:w w:val="98"/>
              </w:rPr>
              <w:t>____________________</w:t>
            </w:r>
          </w:p>
        </w:tc>
      </w:tr>
      <w:tr>
        <w:trPr>
          <w:trHeight w:val="597"/>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4"/>
        </w:trPr>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7" w:right="219" w:bottom="1440" w:gutter="0" w:footer="0" w:header="0"/>
        </w:sectPr>
      </w:pPr>
    </w:p>
    <w:bookmarkStart w:id="381" w:name="page382"/>
    <w:bookmarkEnd w:id="381"/>
    <w:p>
      <w:pPr>
        <w:jc w:val="center"/>
        <w:ind w:right="20"/>
        <w:spacing w:after="0"/>
        <w:rPr>
          <w:sz w:val="20"/>
          <w:szCs w:val="20"/>
          <w:color w:val="auto"/>
        </w:rPr>
      </w:pPr>
      <w:r>
        <w:rPr>
          <w:rFonts w:ascii="Arial" w:cs="Arial" w:eastAsia="Arial" w:hAnsi="Arial"/>
          <w:sz w:val="16"/>
          <w:szCs w:val="16"/>
          <w:b w:val="1"/>
          <w:bCs w:val="1"/>
          <w:color w:val="auto"/>
        </w:rPr>
        <w:t>EXHIBIT A</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Patent Rights</w:t>
      </w:r>
    </w:p>
    <w:p>
      <w:pPr>
        <w:spacing w:after="0" w:line="254" w:lineRule="exact"/>
        <w:rPr>
          <w:sz w:val="20"/>
          <w:szCs w:val="20"/>
          <w:color w:val="auto"/>
        </w:rPr>
      </w:pPr>
    </w:p>
    <w:p>
      <w:pPr>
        <w:ind w:left="460" w:right="1120" w:hanging="414"/>
        <w:spacing w:after="0" w:line="582" w:lineRule="auto"/>
        <w:tabs>
          <w:tab w:leader="none" w:pos="450"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Tumor Lesion Regression And Conversion In Situ Into Autologous Tumor Vaccines by Compositions that Result in Anti-Gal Antibody Binding Inventor: [*]</w:t>
      </w:r>
    </w:p>
    <w:tbl>
      <w:tblPr>
        <w:tblLayout w:type="fixed"/>
        <w:tblInd w:w="570" w:type="dxa"/>
        <w:tblCellMar>
          <w:top w:w="0" w:type="dxa"/>
          <w:left w:w="0" w:type="dxa"/>
          <w:bottom w:w="0" w:type="dxa"/>
          <w:right w:w="0" w:type="dxa"/>
        </w:tblCellMar>
      </w:tblPr>
      <w:tr>
        <w:trPr>
          <w:trHeight w:val="208"/>
        </w:trPr>
        <w:tc>
          <w:tcPr>
            <w:tcW w:w="1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UMass Docket #</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Country</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Application #</w:t>
            </w:r>
          </w:p>
        </w:tc>
        <w:tc>
          <w:tcPr>
            <w:tcW w:w="1420" w:type="dxa"/>
            <w:vAlign w:val="bottom"/>
            <w:tcBorders>
              <w:top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Filing Date</w:t>
            </w:r>
          </w:p>
        </w:tc>
        <w:tc>
          <w:tcPr>
            <w:tcW w:w="2980" w:type="dxa"/>
            <w:vAlign w:val="bottom"/>
            <w:tcBorders>
              <w:top w:val="single" w:sz="8" w:color="auto"/>
              <w:right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Publication Number (Date)</w:t>
            </w:r>
          </w:p>
        </w:tc>
      </w:tr>
      <w:tr>
        <w:trPr>
          <w:trHeight w:val="240"/>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(Application Type)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(Patent Number)</w:t>
            </w:r>
          </w:p>
        </w:tc>
        <w:tc>
          <w:tcPr>
            <w:tcW w:w="142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r>
      <w:tr>
        <w:trPr>
          <w:trHeight w:val="218"/>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20" w:type="dxa"/>
            <w:vAlign w:val="bottom"/>
            <w:tcBorders>
              <w:right w:val="single" w:sz="8" w:color="auto"/>
            </w:tcBorders>
          </w:tcPr>
          <w:p>
            <w:pPr>
              <w:jc w:val="right"/>
              <w:ind w:right="1119"/>
              <w:spacing w:after="0"/>
              <w:rPr>
                <w:sz w:val="20"/>
                <w:szCs w:val="20"/>
                <w:color w:val="auto"/>
              </w:rPr>
            </w:pPr>
            <w:r>
              <w:rPr>
                <w:rFonts w:ascii="Arial" w:cs="Arial" w:eastAsia="Arial" w:hAnsi="Arial"/>
                <w:sz w:val="16"/>
                <w:szCs w:val="16"/>
                <w:color w:val="auto"/>
              </w:rPr>
              <w:t>[*]</w:t>
            </w:r>
          </w:p>
        </w:tc>
        <w:tc>
          <w:tcPr>
            <w:tcW w:w="2980" w:type="dxa"/>
            <w:vAlign w:val="bottom"/>
            <w:tcBorders>
              <w:right w:val="single" w:sz="8" w:color="auto"/>
            </w:tcBorders>
          </w:tcPr>
          <w:p>
            <w:pPr>
              <w:jc w:val="right"/>
              <w:ind w:right="2699"/>
              <w:spacing w:after="0"/>
              <w:rPr>
                <w:sz w:val="20"/>
                <w:szCs w:val="20"/>
                <w:color w:val="auto"/>
              </w:rPr>
            </w:pPr>
            <w:r>
              <w:rPr>
                <w:rFonts w:ascii="Arial" w:cs="Arial" w:eastAsia="Arial" w:hAnsi="Arial"/>
                <w:sz w:val="16"/>
                <w:szCs w:val="16"/>
                <w:color w:val="auto"/>
              </w:rPr>
              <w:t>[*]</w:t>
            </w:r>
          </w:p>
        </w:tc>
      </w:tr>
      <w:tr>
        <w:trPr>
          <w:trHeight w:val="29"/>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980" w:type="dxa"/>
            <w:vAlign w:val="bottom"/>
            <w:tcBorders>
              <w:right w:val="single" w:sz="8" w:color="auto"/>
            </w:tcBorders>
          </w:tcPr>
          <w:p>
            <w:pPr>
              <w:spacing w:after="0"/>
              <w:rPr>
                <w:sz w:val="2"/>
                <w:szCs w:val="2"/>
                <w:color w:val="auto"/>
              </w:rPr>
            </w:pPr>
          </w:p>
        </w:tc>
      </w:tr>
      <w:tr>
        <w:trPr>
          <w:trHeight w:val="218"/>
        </w:trPr>
        <w:tc>
          <w:tcPr>
            <w:tcW w:w="1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20" w:type="dxa"/>
            <w:vAlign w:val="bottom"/>
            <w:tcBorders>
              <w:right w:val="single" w:sz="8" w:color="auto"/>
            </w:tcBorders>
          </w:tcPr>
          <w:p>
            <w:pPr>
              <w:jc w:val="right"/>
              <w:ind w:right="1119"/>
              <w:spacing w:after="0"/>
              <w:rPr>
                <w:sz w:val="20"/>
                <w:szCs w:val="20"/>
                <w:color w:val="auto"/>
              </w:rPr>
            </w:pPr>
            <w:r>
              <w:rPr>
                <w:rFonts w:ascii="Arial" w:cs="Arial" w:eastAsia="Arial" w:hAnsi="Arial"/>
                <w:sz w:val="16"/>
                <w:szCs w:val="16"/>
                <w:color w:val="auto"/>
              </w:rPr>
              <w:t>[*]</w:t>
            </w:r>
          </w:p>
        </w:tc>
        <w:tc>
          <w:tcPr>
            <w:tcW w:w="2980" w:type="dxa"/>
            <w:vAlign w:val="bottom"/>
            <w:tcBorders>
              <w:right w:val="single" w:sz="8" w:color="auto"/>
            </w:tcBorders>
          </w:tcPr>
          <w:p>
            <w:pPr>
              <w:spacing w:after="0"/>
              <w:rPr>
                <w:sz w:val="18"/>
                <w:szCs w:val="18"/>
                <w:color w:val="auto"/>
              </w:rPr>
            </w:pPr>
          </w:p>
        </w:tc>
      </w:tr>
      <w:tr>
        <w:trPr>
          <w:trHeight w:val="29"/>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bl>
    <w:p>
      <w:pPr>
        <w:spacing w:after="0" w:line="227" w:lineRule="exact"/>
        <w:rPr>
          <w:sz w:val="20"/>
          <w:szCs w:val="20"/>
          <w:color w:val="auto"/>
        </w:rPr>
      </w:pPr>
    </w:p>
    <w:p>
      <w:pPr>
        <w:ind w:left="460" w:right="1580" w:hanging="414"/>
        <w:spacing w:after="0" w:line="582" w:lineRule="auto"/>
        <w:tabs>
          <w:tab w:leader="none" w:pos="450"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color w:val="auto"/>
        </w:rPr>
        <w:t>Single-Stage Neoadjuvant Autologous Immunotherapy, Using Intratumoral Injection of Compounds Recruiting Pre-Existing Antibodies Inventor: [*]</w:t>
      </w:r>
    </w:p>
    <w:tbl>
      <w:tblPr>
        <w:tblLayout w:type="fixed"/>
        <w:tblInd w:w="0" w:type="dxa"/>
        <w:tblCellMar>
          <w:top w:w="0" w:type="dxa"/>
          <w:left w:w="0" w:type="dxa"/>
          <w:bottom w:w="0" w:type="dxa"/>
          <w:right w:w="0" w:type="dxa"/>
        </w:tblCellMar>
      </w:tblPr>
      <w:tr>
        <w:trPr>
          <w:trHeight w:val="253"/>
        </w:trPr>
        <w:tc>
          <w:tcPr>
            <w:tcW w:w="600" w:type="dxa"/>
            <w:vAlign w:val="bottom"/>
            <w:tcBorders>
              <w:right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UMass Docket #</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Country (Application Type)</w:t>
            </w:r>
          </w:p>
        </w:tc>
        <w:tc>
          <w:tcPr>
            <w:tcW w:w="200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Application No.</w:t>
            </w:r>
          </w:p>
        </w:tc>
        <w:tc>
          <w:tcPr>
            <w:tcW w:w="1360" w:type="dxa"/>
            <w:vAlign w:val="bottom"/>
            <w:tcBorders>
              <w:top w:val="single" w:sz="8" w:color="auto"/>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Filing Date</w:t>
            </w:r>
          </w:p>
        </w:tc>
        <w:tc>
          <w:tcPr>
            <w:tcW w:w="2880" w:type="dxa"/>
            <w:vAlign w:val="bottom"/>
            <w:tcBorders>
              <w:top w:val="single" w:sz="8" w:color="auto"/>
              <w:bottom w:val="single" w:sz="8" w:color="auto"/>
              <w:right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Publication Number(Date)</w:t>
            </w:r>
          </w:p>
        </w:tc>
      </w:tr>
      <w:tr>
        <w:trPr>
          <w:trHeight w:val="218"/>
        </w:trPr>
        <w:tc>
          <w:tcPr>
            <w:tcW w:w="6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2860" w:type="dxa"/>
            <w:vAlign w:val="bottom"/>
            <w:tcBorders>
              <w:right w:val="single" w:sz="8" w:color="auto"/>
            </w:tcBorders>
          </w:tcPr>
          <w:p>
            <w:pPr>
              <w:jc w:val="right"/>
              <w:ind w:right="1259"/>
              <w:spacing w:after="0"/>
              <w:rPr>
                <w:sz w:val="20"/>
                <w:szCs w:val="20"/>
                <w:color w:val="auto"/>
              </w:rPr>
            </w:pPr>
            <w:r>
              <w:rPr>
                <w:rFonts w:ascii="Arial" w:cs="Arial" w:eastAsia="Arial" w:hAnsi="Arial"/>
                <w:sz w:val="16"/>
                <w:szCs w:val="16"/>
                <w:color w:val="auto"/>
              </w:rPr>
              <w:t>[*]</w:t>
            </w:r>
          </w:p>
        </w:tc>
        <w:tc>
          <w:tcPr>
            <w:tcW w:w="2000" w:type="dxa"/>
            <w:vAlign w:val="bottom"/>
            <w:tcBorders>
              <w:right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2880" w:type="dxa"/>
            <w:vAlign w:val="bottom"/>
            <w:tcBorders>
              <w:right w:val="single" w:sz="8" w:color="auto"/>
            </w:tcBorders>
          </w:tcPr>
          <w:p>
            <w:pPr>
              <w:jc w:val="right"/>
              <w:ind w:right="2599"/>
              <w:spacing w:after="0"/>
              <w:rPr>
                <w:sz w:val="20"/>
                <w:szCs w:val="20"/>
                <w:color w:val="auto"/>
              </w:rPr>
            </w:pPr>
            <w:r>
              <w:rPr>
                <w:rFonts w:ascii="Arial" w:cs="Arial" w:eastAsia="Arial" w:hAnsi="Arial"/>
                <w:sz w:val="16"/>
                <w:szCs w:val="16"/>
                <w:color w:val="auto"/>
              </w:rPr>
              <w:t>[*]</w:t>
            </w:r>
          </w:p>
        </w:tc>
      </w:tr>
      <w:tr>
        <w:trPr>
          <w:trHeight w:val="29"/>
        </w:trPr>
        <w:tc>
          <w:tcPr>
            <w:tcW w:w="600" w:type="dxa"/>
            <w:vAlign w:val="bottom"/>
            <w:tcBorders>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438"/>
        </w:trPr>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0" w:type="dxa"/>
            <w:vAlign w:val="bottom"/>
          </w:tcPr>
          <w:p>
            <w:pPr>
              <w:ind w:left="440"/>
              <w:spacing w:after="0"/>
              <w:rPr>
                <w:sz w:val="20"/>
                <w:szCs w:val="20"/>
                <w:color w:val="auto"/>
              </w:rPr>
            </w:pPr>
            <w:r>
              <w:rPr>
                <w:rFonts w:ascii="Arial" w:cs="Arial" w:eastAsia="Arial" w:hAnsi="Arial"/>
                <w:sz w:val="16"/>
                <w:szCs w:val="16"/>
                <w:color w:val="auto"/>
              </w:rPr>
              <w:t>21</w:t>
            </w:r>
          </w:p>
        </w:tc>
        <w:tc>
          <w:tcPr>
            <w:tcW w:w="13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42"/>
        </w:trPr>
        <w:tc>
          <w:tcPr>
            <w:tcW w:w="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143"/>
        </w:trPr>
        <w:tc>
          <w:tcPr>
            <w:tcW w:w="6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r>
    </w:tbl>
    <w:p>
      <w:pPr>
        <w:sectPr>
          <w:pgSz w:w="11900" w:h="16838" w:orient="portrait"/>
          <w:cols w:equalWidth="0" w:num="1">
            <w:col w:w="11440"/>
          </w:cols>
          <w:pgMar w:left="240" w:top="366" w:right="219" w:bottom="1440" w:gutter="0" w:footer="0" w:header="0"/>
        </w:sectPr>
      </w:pPr>
    </w:p>
    <w:bookmarkStart w:id="382" w:name="page383"/>
    <w:bookmarkEnd w:id="382"/>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196850</wp:posOffset>
            </wp:positionV>
            <wp:extent cx="725995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4.47</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CONFIDENTIAL</w:t>
      </w:r>
    </w:p>
    <w:p>
      <w:pPr>
        <w:spacing w:after="0" w:line="206" w:lineRule="exact"/>
        <w:rPr>
          <w:sz w:val="20"/>
          <w:szCs w:val="20"/>
          <w:color w:val="auto"/>
        </w:rPr>
      </w:pPr>
    </w:p>
    <w:p>
      <w:pPr>
        <w:ind w:left="3" w:right="140" w:hanging="3"/>
        <w:spacing w:after="0" w:line="283" w:lineRule="auto"/>
        <w:tabs>
          <w:tab w:leader="none" w:pos="23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Represents material that has been omitted and will be filed separately with the Securities and Exchange Commission pursuant to a request for confidential treatment under Rule 24b-2 of the Securities and Exchange Act of 1934, as amended.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EVALUATION LICENSE</w:t>
      </w:r>
    </w:p>
    <w:p>
      <w:pPr>
        <w:spacing w:after="0" w:line="2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AND</w:t>
      </w:r>
    </w:p>
    <w:p>
      <w:pPr>
        <w:spacing w:after="0" w:line="1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OPTION AGREEMENT</w:t>
      </w:r>
    </w:p>
    <w:p>
      <w:pPr>
        <w:spacing w:after="0" w:line="24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Agreement dated March 31, 2015 is between the following Parties:</w:t>
      </w:r>
    </w:p>
    <w:p>
      <w:pPr>
        <w:spacing w:after="0" w:line="244" w:lineRule="exact"/>
        <w:rPr>
          <w:sz w:val="20"/>
          <w:szCs w:val="20"/>
          <w:color w:val="auto"/>
        </w:rPr>
      </w:pPr>
    </w:p>
    <w:p>
      <w:pPr>
        <w:ind w:left="443" w:right="320" w:hanging="443"/>
        <w:spacing w:after="0" w:line="199" w:lineRule="auto"/>
        <w:tabs>
          <w:tab w:leader="none" w:pos="443" w:val="left"/>
        </w:tabs>
        <w:numPr>
          <w:ilvl w:val="0"/>
          <w:numId w:val="356"/>
        </w:numPr>
        <w:rPr>
          <w:rFonts w:ascii="Arial" w:cs="Arial" w:eastAsia="Arial" w:hAnsi="Arial"/>
          <w:sz w:val="16"/>
          <w:szCs w:val="16"/>
          <w:color w:val="auto"/>
        </w:rPr>
      </w:pPr>
      <w:r>
        <w:rPr>
          <w:rFonts w:ascii="Arial" w:cs="Arial" w:eastAsia="Arial" w:hAnsi="Arial"/>
          <w:sz w:val="16"/>
          <w:szCs w:val="16"/>
          <w:b w:val="1"/>
          <w:bCs w:val="1"/>
          <w:color w:val="auto"/>
        </w:rPr>
        <w:t>Agalimmune Limited</w:t>
      </w:r>
      <w:r>
        <w:rPr>
          <w:rFonts w:ascii="Arial" w:cs="Arial" w:eastAsia="Arial" w:hAnsi="Arial"/>
          <w:sz w:val="16"/>
          <w:szCs w:val="16"/>
          <w:color w:val="auto"/>
        </w:rPr>
        <w:t>, a private limited company incorporated in England and Wales (Company no. 08504603) having its registered office at 1</w:t>
      </w:r>
      <w:r>
        <w:rPr>
          <w:rFonts w:ascii="Arial" w:cs="Arial" w:eastAsia="Arial" w:hAnsi="Arial"/>
          <w:sz w:val="27"/>
          <w:szCs w:val="27"/>
          <w:color w:val="auto"/>
          <w:vertAlign w:val="superscript"/>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Floor, Thavies Inn</w:t>
      </w:r>
      <w:r>
        <w:rPr>
          <w:rFonts w:ascii="Arial" w:cs="Arial" w:eastAsia="Arial" w:hAnsi="Arial"/>
          <w:sz w:val="16"/>
          <w:szCs w:val="16"/>
          <w:b w:val="1"/>
          <w:bCs w:val="1"/>
          <w:color w:val="auto"/>
        </w:rPr>
        <w:t xml:space="preserve"> </w:t>
      </w:r>
      <w:r>
        <w:rPr>
          <w:rFonts w:ascii="Arial" w:cs="Arial" w:eastAsia="Arial" w:hAnsi="Arial"/>
          <w:sz w:val="16"/>
          <w:szCs w:val="16"/>
          <w:color w:val="auto"/>
        </w:rPr>
        <w:t>House, 3-4 Holborn Circus, London EC1N 2HA United Kingdom (</w:t>
      </w:r>
      <w:r>
        <w:rPr>
          <w:rFonts w:ascii="Arial" w:cs="Arial" w:eastAsia="Arial" w:hAnsi="Arial"/>
          <w:sz w:val="16"/>
          <w:szCs w:val="16"/>
          <w:i w:val="1"/>
          <w:iCs w:val="1"/>
          <w:color w:val="auto"/>
        </w:rPr>
        <w:t>Agalimmune</w:t>
      </w:r>
      <w:r>
        <w:rPr>
          <w:rFonts w:ascii="Arial" w:cs="Arial" w:eastAsia="Arial" w:hAnsi="Arial"/>
          <w:sz w:val="16"/>
          <w:szCs w:val="16"/>
          <w:color w:val="auto"/>
        </w:rPr>
        <w:t>); and</w:t>
      </w:r>
    </w:p>
    <w:p>
      <w:pPr>
        <w:spacing w:after="0" w:line="229" w:lineRule="exact"/>
        <w:rPr>
          <w:rFonts w:ascii="Arial" w:cs="Arial" w:eastAsia="Arial" w:hAnsi="Arial"/>
          <w:sz w:val="16"/>
          <w:szCs w:val="16"/>
          <w:color w:val="auto"/>
        </w:rPr>
      </w:pPr>
    </w:p>
    <w:p>
      <w:pPr>
        <w:ind w:left="443" w:right="40" w:hanging="443"/>
        <w:spacing w:after="0" w:line="288" w:lineRule="auto"/>
        <w:tabs>
          <w:tab w:leader="none" w:pos="443" w:val="left"/>
        </w:tabs>
        <w:numPr>
          <w:ilvl w:val="0"/>
          <w:numId w:val="356"/>
        </w:numPr>
        <w:rPr>
          <w:rFonts w:ascii="Arial" w:cs="Arial" w:eastAsia="Arial" w:hAnsi="Arial"/>
          <w:sz w:val="16"/>
          <w:szCs w:val="16"/>
          <w:color w:val="auto"/>
        </w:rPr>
      </w:pPr>
      <w:r>
        <w:rPr>
          <w:rFonts w:ascii="Arial" w:cs="Arial" w:eastAsia="Arial" w:hAnsi="Arial"/>
          <w:sz w:val="16"/>
          <w:szCs w:val="16"/>
          <w:b w:val="1"/>
          <w:bCs w:val="1"/>
          <w:color w:val="auto"/>
        </w:rPr>
        <w:t>KODE Biotech Limited</w:t>
      </w:r>
      <w:r>
        <w:rPr>
          <w:rFonts w:ascii="Arial" w:cs="Arial" w:eastAsia="Arial" w:hAnsi="Arial"/>
          <w:sz w:val="16"/>
          <w:szCs w:val="16"/>
          <w:color w:val="auto"/>
        </w:rPr>
        <w:t>, a New Zealand Limited Company (company no. 713905) having its registered office at 19 Mount Street, Scott Laboratory Building, Auckland</w:t>
      </w:r>
      <w:r>
        <w:rPr>
          <w:rFonts w:ascii="Arial" w:cs="Arial" w:eastAsia="Arial" w:hAnsi="Arial"/>
          <w:sz w:val="16"/>
          <w:szCs w:val="16"/>
          <w:b w:val="1"/>
          <w:bCs w:val="1"/>
          <w:color w:val="auto"/>
        </w:rPr>
        <w:t xml:space="preserve"> </w:t>
      </w:r>
      <w:r>
        <w:rPr>
          <w:rFonts w:ascii="Arial" w:cs="Arial" w:eastAsia="Arial" w:hAnsi="Arial"/>
          <w:sz w:val="16"/>
          <w:szCs w:val="16"/>
          <w:color w:val="auto"/>
        </w:rPr>
        <w:t>University of Technology, Auckland, New Zealand (</w:t>
      </w:r>
      <w:r>
        <w:rPr>
          <w:rFonts w:ascii="Arial" w:cs="Arial" w:eastAsia="Arial" w:hAnsi="Arial"/>
          <w:sz w:val="16"/>
          <w:szCs w:val="16"/>
          <w:i w:val="1"/>
          <w:iCs w:val="1"/>
          <w:color w:val="auto"/>
        </w:rPr>
        <w:t>KBL</w:t>
      </w:r>
      <w:r>
        <w:rPr>
          <w:rFonts w:ascii="Arial" w:cs="Arial" w:eastAsia="Arial" w:hAnsi="Arial"/>
          <w:sz w:val="16"/>
          <w:szCs w:val="16"/>
          <w:color w:val="auto"/>
        </w:rPr>
        <w:t>).</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Background</w:t>
      </w:r>
    </w:p>
    <w:p>
      <w:pPr>
        <w:spacing w:after="0" w:line="258" w:lineRule="exact"/>
        <w:rPr>
          <w:sz w:val="20"/>
          <w:szCs w:val="20"/>
          <w:color w:val="auto"/>
        </w:rPr>
      </w:pPr>
    </w:p>
    <w:p>
      <w:pPr>
        <w:ind w:left="443" w:hanging="443"/>
        <w:spacing w:after="0"/>
        <w:tabs>
          <w:tab w:leader="none" w:pos="443" w:val="left"/>
        </w:tabs>
        <w:numPr>
          <w:ilvl w:val="0"/>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Agalimmune </w:t>
      </w:r>
      <w:r>
        <w:rPr>
          <w:rFonts w:ascii="Arial" w:cs="Arial" w:eastAsia="Arial" w:hAnsi="Arial"/>
          <w:sz w:val="16"/>
          <w:szCs w:val="16"/>
          <w:color w:val="auto"/>
        </w:rPr>
        <w:t>is developing a method of promoting tumour regression or destruction by the administration of [*].</w:t>
      </w:r>
    </w:p>
    <w:p>
      <w:pPr>
        <w:spacing w:after="0" w:line="290" w:lineRule="exact"/>
        <w:rPr>
          <w:rFonts w:ascii="Arial" w:cs="Arial" w:eastAsia="Arial" w:hAnsi="Arial"/>
          <w:sz w:val="16"/>
          <w:szCs w:val="16"/>
          <w:color w:val="auto"/>
        </w:rPr>
      </w:pPr>
    </w:p>
    <w:p>
      <w:pPr>
        <w:ind w:left="643" w:hanging="643"/>
        <w:spacing w:after="0"/>
        <w:tabs>
          <w:tab w:leader="none" w:pos="643" w:val="left"/>
        </w:tabs>
        <w:numPr>
          <w:ilvl w:val="0"/>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KBL </w:t>
      </w:r>
      <w:r>
        <w:rPr>
          <w:rFonts w:ascii="Arial" w:cs="Arial" w:eastAsia="Arial" w:hAnsi="Arial"/>
          <w:sz w:val="16"/>
          <w:szCs w:val="16"/>
          <w:color w:val="auto"/>
        </w:rPr>
        <w:t>has developed a range of [*] (</w:t>
      </w:r>
      <w:r>
        <w:rPr>
          <w:rFonts w:ascii="Arial" w:cs="Arial" w:eastAsia="Arial" w:hAnsi="Arial"/>
          <w:sz w:val="16"/>
          <w:szCs w:val="16"/>
          <w:i w:val="1"/>
          <w:iCs w:val="1"/>
          <w:color w:val="auto"/>
        </w:rPr>
        <w:t>KODE™ Constructs</w:t>
      </w:r>
      <w:r>
        <w:rPr>
          <w:rFonts w:ascii="Arial" w:cs="Arial" w:eastAsia="Arial" w:hAnsi="Arial"/>
          <w:sz w:val="16"/>
          <w:szCs w:val="16"/>
          <w:color w:val="auto"/>
        </w:rPr>
        <w:t>).</w:t>
      </w:r>
    </w:p>
    <w:p>
      <w:pPr>
        <w:spacing w:after="0" w:line="266" w:lineRule="exact"/>
        <w:rPr>
          <w:rFonts w:ascii="Arial" w:cs="Arial" w:eastAsia="Arial" w:hAnsi="Arial"/>
          <w:sz w:val="16"/>
          <w:szCs w:val="16"/>
          <w:color w:val="auto"/>
        </w:rPr>
      </w:pPr>
    </w:p>
    <w:p>
      <w:pPr>
        <w:ind w:left="443" w:hanging="443"/>
        <w:spacing w:after="0"/>
        <w:tabs>
          <w:tab w:leader="none" w:pos="443" w:val="left"/>
        </w:tabs>
        <w:numPr>
          <w:ilvl w:val="0"/>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Agalimmune </w:t>
      </w:r>
      <w:r>
        <w:rPr>
          <w:rFonts w:ascii="Arial" w:cs="Arial" w:eastAsia="Arial" w:hAnsi="Arial"/>
          <w:sz w:val="16"/>
          <w:szCs w:val="16"/>
          <w:color w:val="auto"/>
        </w:rPr>
        <w:t>wishes to</w:t>
      </w:r>
      <w:r>
        <w:rPr>
          <w:rFonts w:ascii="Arial" w:cs="Arial" w:eastAsia="Arial" w:hAnsi="Arial"/>
          <w:sz w:val="16"/>
          <w:szCs w:val="16"/>
          <w:i w:val="1"/>
          <w:iCs w:val="1"/>
          <w:color w:val="auto"/>
        </w:rPr>
        <w:t xml:space="preserve"> Evaluate </w:t>
      </w:r>
      <w:r>
        <w:rPr>
          <w:rFonts w:ascii="Arial" w:cs="Arial" w:eastAsia="Arial" w:hAnsi="Arial"/>
          <w:sz w:val="16"/>
          <w:szCs w:val="16"/>
          <w:color w:val="auto"/>
        </w:rPr>
        <w:t>the use of</w:t>
      </w:r>
      <w:r>
        <w:rPr>
          <w:rFonts w:ascii="Arial" w:cs="Arial" w:eastAsia="Arial" w:hAnsi="Arial"/>
          <w:sz w:val="16"/>
          <w:szCs w:val="16"/>
          <w:i w:val="1"/>
          <w:iCs w:val="1"/>
          <w:color w:val="auto"/>
        </w:rPr>
        <w:t xml:space="preserve"> KODE™ Constructs </w:t>
      </w:r>
      <w:r>
        <w:rPr>
          <w:rFonts w:ascii="Arial" w:cs="Arial" w:eastAsia="Arial" w:hAnsi="Arial"/>
          <w:sz w:val="16"/>
          <w:szCs w:val="16"/>
          <w:color w:val="auto"/>
        </w:rPr>
        <w:t>in its method of promoting tumour regression or destruction.</w:t>
      </w:r>
    </w:p>
    <w:p>
      <w:pPr>
        <w:spacing w:after="0" w:line="254" w:lineRule="exact"/>
        <w:rPr>
          <w:rFonts w:ascii="Arial" w:cs="Arial" w:eastAsia="Arial" w:hAnsi="Arial"/>
          <w:sz w:val="16"/>
          <w:szCs w:val="16"/>
          <w:color w:val="auto"/>
        </w:rPr>
      </w:pPr>
    </w:p>
    <w:p>
      <w:pPr>
        <w:ind w:left="443" w:hanging="443"/>
        <w:spacing w:after="0"/>
        <w:tabs>
          <w:tab w:leader="none" w:pos="443" w:val="left"/>
        </w:tabs>
        <w:numPr>
          <w:ilvl w:val="0"/>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KBL </w:t>
      </w:r>
      <w:r>
        <w:rPr>
          <w:rFonts w:ascii="Arial" w:cs="Arial" w:eastAsia="Arial" w:hAnsi="Arial"/>
          <w:sz w:val="16"/>
          <w:szCs w:val="16"/>
          <w:color w:val="auto"/>
        </w:rPr>
        <w:t>is the owner of</w:t>
      </w:r>
      <w:r>
        <w:rPr>
          <w:rFonts w:ascii="Arial" w:cs="Arial" w:eastAsia="Arial" w:hAnsi="Arial"/>
          <w:sz w:val="16"/>
          <w:szCs w:val="16"/>
          <w:i w:val="1"/>
          <w:iCs w:val="1"/>
          <w:color w:val="auto"/>
        </w:rPr>
        <w:t xml:space="preserve"> Exclusionary Rights </w:t>
      </w:r>
      <w:r>
        <w:rPr>
          <w:rFonts w:ascii="Arial" w:cs="Arial" w:eastAsia="Arial" w:hAnsi="Arial"/>
          <w:sz w:val="16"/>
          <w:szCs w:val="16"/>
          <w:color w:val="auto"/>
        </w:rPr>
        <w:t>in respect of the</w:t>
      </w:r>
      <w:r>
        <w:rPr>
          <w:rFonts w:ascii="Arial" w:cs="Arial" w:eastAsia="Arial" w:hAnsi="Arial"/>
          <w:sz w:val="16"/>
          <w:szCs w:val="16"/>
          <w:i w:val="1"/>
          <w:iCs w:val="1"/>
          <w:color w:val="auto"/>
        </w:rPr>
        <w:t xml:space="preserve"> KODE™ Constructs</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443" w:hanging="443"/>
        <w:spacing w:after="0"/>
        <w:tabs>
          <w:tab w:leader="none" w:pos="443" w:val="left"/>
        </w:tabs>
        <w:numPr>
          <w:ilvl w:val="0"/>
          <w:numId w:val="357"/>
        </w:numPr>
        <w:rPr>
          <w:rFonts w:ascii="Arial" w:cs="Arial" w:eastAsia="Arial" w:hAnsi="Arial"/>
          <w:sz w:val="14"/>
          <w:szCs w:val="14"/>
          <w:color w:val="auto"/>
        </w:rPr>
      </w:pPr>
      <w:r>
        <w:rPr>
          <w:rFonts w:ascii="Arial" w:cs="Arial" w:eastAsia="Arial" w:hAnsi="Arial"/>
          <w:sz w:val="14"/>
          <w:szCs w:val="14"/>
          <w:i w:val="1"/>
          <w:iCs w:val="1"/>
          <w:color w:val="auto"/>
        </w:rPr>
        <w:t xml:space="preserve">Agalimmune </w:t>
      </w:r>
      <w:r>
        <w:rPr>
          <w:rFonts w:ascii="Arial" w:cs="Arial" w:eastAsia="Arial" w:hAnsi="Arial"/>
          <w:sz w:val="14"/>
          <w:szCs w:val="14"/>
          <w:color w:val="auto"/>
        </w:rPr>
        <w:t>wishes to be granted a license to pursue</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assessment of the use of the</w:t>
      </w:r>
      <w:r>
        <w:rPr>
          <w:rFonts w:ascii="Arial" w:cs="Arial" w:eastAsia="Arial" w:hAnsi="Arial"/>
          <w:sz w:val="14"/>
          <w:szCs w:val="14"/>
          <w:i w:val="1"/>
          <w:iCs w:val="1"/>
          <w:color w:val="auto"/>
        </w:rPr>
        <w:t xml:space="preserve"> KODE™ Constructs </w:t>
      </w:r>
      <w:r>
        <w:rPr>
          <w:rFonts w:ascii="Arial" w:cs="Arial" w:eastAsia="Arial" w:hAnsi="Arial"/>
          <w:sz w:val="14"/>
          <w:szCs w:val="14"/>
          <w:color w:val="auto"/>
        </w:rPr>
        <w:t>in its method of promoting tumour anticancer therapy.</w:t>
      </w:r>
    </w:p>
    <w:p>
      <w:pPr>
        <w:spacing w:after="0" w:line="277" w:lineRule="exact"/>
        <w:rPr>
          <w:rFonts w:ascii="Arial" w:cs="Arial" w:eastAsia="Arial" w:hAnsi="Arial"/>
          <w:sz w:val="14"/>
          <w:szCs w:val="14"/>
          <w:color w:val="auto"/>
        </w:rPr>
      </w:pPr>
    </w:p>
    <w:p>
      <w:pPr>
        <w:ind w:left="443" w:right="500" w:hanging="443"/>
        <w:spacing w:after="0" w:line="283" w:lineRule="auto"/>
        <w:tabs>
          <w:tab w:leader="none" w:pos="443" w:val="left"/>
        </w:tabs>
        <w:numPr>
          <w:ilvl w:val="0"/>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Agalimmune </w:t>
      </w:r>
      <w:r>
        <w:rPr>
          <w:rFonts w:ascii="Arial" w:cs="Arial" w:eastAsia="Arial" w:hAnsi="Arial"/>
          <w:sz w:val="16"/>
          <w:szCs w:val="16"/>
          <w:color w:val="auto"/>
        </w:rPr>
        <w:t>wishes to be granted the right to require</w:t>
      </w:r>
      <w:r>
        <w:rPr>
          <w:rFonts w:ascii="Arial" w:cs="Arial" w:eastAsia="Arial" w:hAnsi="Arial"/>
          <w:sz w:val="16"/>
          <w:szCs w:val="16"/>
          <w:i w:val="1"/>
          <w:iCs w:val="1"/>
          <w:color w:val="auto"/>
        </w:rPr>
        <w:t xml:space="preserve"> KBL </w:t>
      </w:r>
      <w:r>
        <w:rPr>
          <w:rFonts w:ascii="Arial" w:cs="Arial" w:eastAsia="Arial" w:hAnsi="Arial"/>
          <w:sz w:val="16"/>
          <w:szCs w:val="16"/>
          <w:color w:val="auto"/>
        </w:rPr>
        <w:t>to enter into a license to pursue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commercialisation of the use of the</w:t>
      </w:r>
      <w:r>
        <w:rPr>
          <w:rFonts w:ascii="Arial" w:cs="Arial" w:eastAsia="Arial" w:hAnsi="Arial"/>
          <w:sz w:val="16"/>
          <w:szCs w:val="16"/>
          <w:i w:val="1"/>
          <w:iCs w:val="1"/>
          <w:color w:val="auto"/>
        </w:rPr>
        <w:t xml:space="preserve"> KODE™ Constructs </w:t>
      </w:r>
      <w:r>
        <w:rPr>
          <w:rFonts w:ascii="Arial" w:cs="Arial" w:eastAsia="Arial" w:hAnsi="Arial"/>
          <w:sz w:val="16"/>
          <w:szCs w:val="16"/>
          <w:color w:val="auto"/>
        </w:rPr>
        <w:t>in its method.</w:t>
      </w:r>
    </w:p>
    <w:p>
      <w:pPr>
        <w:spacing w:after="0" w:line="199" w:lineRule="exact"/>
        <w:rPr>
          <w:rFonts w:ascii="Arial" w:cs="Arial" w:eastAsia="Arial" w:hAnsi="Arial"/>
          <w:sz w:val="16"/>
          <w:szCs w:val="16"/>
          <w:color w:val="auto"/>
        </w:rPr>
      </w:pPr>
    </w:p>
    <w:p>
      <w:pPr>
        <w:ind w:left="443" w:hanging="443"/>
        <w:spacing w:after="0"/>
        <w:tabs>
          <w:tab w:leader="none" w:pos="443" w:val="left"/>
        </w:tabs>
        <w:numPr>
          <w:ilvl w:val="0"/>
          <w:numId w:val="357"/>
        </w:numPr>
        <w:rPr>
          <w:rFonts w:ascii="Arial" w:cs="Arial" w:eastAsia="Arial" w:hAnsi="Arial"/>
          <w:sz w:val="16"/>
          <w:szCs w:val="16"/>
          <w:color w:val="auto"/>
        </w:rPr>
      </w:pPr>
      <w:r>
        <w:rPr>
          <w:rFonts w:ascii="Arial" w:cs="Arial" w:eastAsia="Arial" w:hAnsi="Arial"/>
          <w:sz w:val="16"/>
          <w:szCs w:val="16"/>
          <w:i w:val="1"/>
          <w:iCs w:val="1"/>
          <w:color w:val="auto"/>
        </w:rPr>
        <w:t xml:space="preserve">KBL </w:t>
      </w:r>
      <w:r>
        <w:rPr>
          <w:rFonts w:ascii="Arial" w:cs="Arial" w:eastAsia="Arial" w:hAnsi="Arial"/>
          <w:sz w:val="16"/>
          <w:szCs w:val="16"/>
          <w:color w:val="auto"/>
        </w:rPr>
        <w:t>wishes to grant (i) the license to pursue preclinical assessment and (ii) the option, as referred to in the preceding paragraphs.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269875</wp:posOffset>
            </wp:positionV>
            <wp:extent cx="7259955" cy="152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622" w:right="219" w:bottom="1440" w:gutter="0" w:footer="0" w:header="0"/>
        </w:sectPr>
      </w:pPr>
    </w:p>
    <w:bookmarkStart w:id="383" w:name="page384"/>
    <w:bookmarkEnd w:id="383"/>
    <w:p>
      <w:pPr>
        <w:ind w:left="3"/>
        <w:spacing w:after="0"/>
        <w:rPr>
          <w:sz w:val="20"/>
          <w:szCs w:val="20"/>
          <w:color w:val="auto"/>
        </w:rPr>
      </w:pPr>
      <w:r>
        <w:rPr>
          <w:rFonts w:ascii="Arial" w:cs="Arial" w:eastAsia="Arial" w:hAnsi="Arial"/>
          <w:sz w:val="16"/>
          <w:szCs w:val="16"/>
          <w:b w:val="1"/>
          <w:bCs w:val="1"/>
          <w:color w:val="auto"/>
        </w:rPr>
        <w:t>In pursuit of these mutual objectives the Parties agree as follows:</w:t>
      </w:r>
    </w:p>
    <w:p>
      <w:pPr>
        <w:spacing w:after="0" w:line="254" w:lineRule="exact"/>
        <w:rPr>
          <w:sz w:val="20"/>
          <w:szCs w:val="20"/>
          <w:color w:val="auto"/>
        </w:rPr>
      </w:pPr>
    </w:p>
    <w:p>
      <w:pPr>
        <w:ind w:left="443" w:hanging="443"/>
        <w:spacing w:after="0"/>
        <w:tabs>
          <w:tab w:leader="none" w:pos="443"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58" w:lineRule="exact"/>
        <w:rPr>
          <w:rFonts w:ascii="Arial" w:cs="Arial" w:eastAsia="Arial" w:hAnsi="Arial"/>
          <w:sz w:val="16"/>
          <w:szCs w:val="16"/>
          <w:b w:val="1"/>
          <w:bCs w:val="1"/>
          <w:color w:val="auto"/>
        </w:rPr>
      </w:pPr>
    </w:p>
    <w:p>
      <w:pPr>
        <w:ind w:left="463"/>
        <w:spacing w:after="0"/>
        <w:rPr>
          <w:rFonts w:ascii="Arial" w:cs="Arial" w:eastAsia="Arial" w:hAnsi="Arial"/>
          <w:sz w:val="16"/>
          <w:szCs w:val="16"/>
          <w:b w:val="1"/>
          <w:bCs w:val="1"/>
          <w:color w:val="auto"/>
        </w:rPr>
      </w:pPr>
      <w:r>
        <w:rPr>
          <w:rFonts w:ascii="Arial" w:cs="Arial" w:eastAsia="Arial" w:hAnsi="Arial"/>
          <w:sz w:val="16"/>
          <w:szCs w:val="16"/>
          <w:color w:val="auto"/>
        </w:rPr>
        <w:t>In this Agreement, the following words shall have the following meanings:</w:t>
      </w:r>
    </w:p>
    <w:p>
      <w:pPr>
        <w:spacing w:after="0" w:line="287"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Commencement Date</w:t>
            </w:r>
          </w:p>
        </w:tc>
        <w:tc>
          <w:tcPr>
            <w:tcW w:w="9020" w:type="dxa"/>
            <w:vAlign w:val="bottom"/>
          </w:tcPr>
          <w:p>
            <w:pPr>
              <w:ind w:left="340"/>
              <w:spacing w:after="0"/>
              <w:rPr>
                <w:sz w:val="20"/>
                <w:szCs w:val="20"/>
                <w:color w:val="auto"/>
              </w:rPr>
            </w:pPr>
            <w:r>
              <w:rPr>
                <w:rFonts w:ascii="Arial" w:cs="Arial" w:eastAsia="Arial" w:hAnsi="Arial"/>
                <w:sz w:val="16"/>
                <w:szCs w:val="16"/>
                <w:color w:val="auto"/>
              </w:rPr>
              <w:t>March 31, 2015.</w:t>
            </w:r>
          </w:p>
        </w:tc>
      </w:tr>
      <w:tr>
        <w:trPr>
          <w:trHeight w:val="256"/>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Control</w:t>
            </w:r>
          </w:p>
        </w:tc>
        <w:tc>
          <w:tcPr>
            <w:tcW w:w="9020" w:type="dxa"/>
            <w:vAlign w:val="bottom"/>
          </w:tcPr>
          <w:p>
            <w:pPr>
              <w:ind w:left="340"/>
              <w:spacing w:after="0"/>
              <w:rPr>
                <w:sz w:val="20"/>
                <w:szCs w:val="20"/>
                <w:color w:val="auto"/>
              </w:rPr>
            </w:pPr>
            <w:r>
              <w:rPr>
                <w:rFonts w:ascii="Arial" w:cs="Arial" w:eastAsia="Arial" w:hAnsi="Arial"/>
                <w:sz w:val="16"/>
                <w:szCs w:val="16"/>
                <w:color w:val="auto"/>
                <w:w w:val="94"/>
              </w:rPr>
              <w:t>in relation to a body corporate, the power of a person to secure that the affairs of the body corporate are conducted in accordance</w:t>
            </w:r>
          </w:p>
        </w:tc>
      </w:tr>
      <w:tr>
        <w:trPr>
          <w:trHeight w:val="195"/>
        </w:trPr>
        <w:tc>
          <w:tcPr>
            <w:tcW w:w="2420" w:type="dxa"/>
            <w:vAlign w:val="bottom"/>
          </w:tcPr>
          <w:p>
            <w:pPr>
              <w:spacing w:after="0"/>
              <w:rPr>
                <w:sz w:val="16"/>
                <w:szCs w:val="16"/>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w w:val="93"/>
              </w:rPr>
              <w:t>with the wishes of that person (or persons) (a) by means of the holding of shares, or the possession of voting power, in or in relation</w:t>
            </w:r>
          </w:p>
        </w:tc>
      </w:tr>
      <w:tr>
        <w:trPr>
          <w:trHeight w:val="195"/>
        </w:trPr>
        <w:tc>
          <w:tcPr>
            <w:tcW w:w="2420" w:type="dxa"/>
            <w:vAlign w:val="bottom"/>
          </w:tcPr>
          <w:p>
            <w:pPr>
              <w:spacing w:after="0"/>
              <w:rPr>
                <w:sz w:val="16"/>
                <w:szCs w:val="16"/>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w w:val="95"/>
              </w:rPr>
              <w:t>to, that or any other body corporate; or (b) by virtue of any powers conferred by the constitutional or corporate documents, or any</w:t>
            </w:r>
          </w:p>
        </w:tc>
      </w:tr>
      <w:tr>
        <w:trPr>
          <w:trHeight w:val="195"/>
        </w:trPr>
        <w:tc>
          <w:tcPr>
            <w:tcW w:w="2420" w:type="dxa"/>
            <w:vAlign w:val="bottom"/>
          </w:tcPr>
          <w:p>
            <w:pPr>
              <w:spacing w:after="0"/>
              <w:rPr>
                <w:sz w:val="16"/>
                <w:szCs w:val="16"/>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w w:val="95"/>
              </w:rPr>
              <w:t>other document, regulating that or any other body corporate, and a “</w:t>
            </w:r>
            <w:r>
              <w:rPr>
                <w:rFonts w:ascii="Arial" w:cs="Arial" w:eastAsia="Arial" w:hAnsi="Arial"/>
                <w:sz w:val="16"/>
                <w:szCs w:val="16"/>
                <w:i w:val="1"/>
                <w:iCs w:val="1"/>
                <w:color w:val="auto"/>
                <w:w w:val="95"/>
              </w:rPr>
              <w:t>Change of Control</w:t>
            </w:r>
            <w:r>
              <w:rPr>
                <w:rFonts w:ascii="Arial" w:cs="Arial" w:eastAsia="Arial" w:hAnsi="Arial"/>
                <w:sz w:val="16"/>
                <w:szCs w:val="16"/>
                <w:color w:val="auto"/>
                <w:w w:val="95"/>
              </w:rPr>
              <w:t>” occurs if a person who controls any body</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rPr>
              <w:t>corporate ceases to do so or if another person acquires control of it.</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Execution Fee</w:t>
            </w:r>
          </w:p>
        </w:tc>
        <w:tc>
          <w:tcPr>
            <w:tcW w:w="902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Evaluate</w:t>
            </w:r>
          </w:p>
        </w:tc>
        <w:tc>
          <w:tcPr>
            <w:tcW w:w="9020" w:type="dxa"/>
            <w:vAlign w:val="bottom"/>
          </w:tcPr>
          <w:p>
            <w:pPr>
              <w:ind w:left="340"/>
              <w:spacing w:after="0"/>
              <w:rPr>
                <w:sz w:val="20"/>
                <w:szCs w:val="20"/>
                <w:color w:val="auto"/>
              </w:rPr>
            </w:pPr>
            <w:r>
              <w:rPr>
                <w:rFonts w:ascii="Arial" w:cs="Arial" w:eastAsia="Arial" w:hAnsi="Arial"/>
                <w:sz w:val="16"/>
                <w:szCs w:val="16"/>
                <w:color w:val="auto"/>
              </w:rPr>
              <w:t>Pre-clinical assessment (and “</w:t>
            </w:r>
            <w:r>
              <w:rPr>
                <w:rFonts w:ascii="Arial" w:cs="Arial" w:eastAsia="Arial" w:hAnsi="Arial"/>
                <w:sz w:val="16"/>
                <w:szCs w:val="16"/>
                <w:i w:val="1"/>
                <w:iCs w:val="1"/>
                <w:color w:val="auto"/>
              </w:rPr>
              <w:t>Evaluation</w:t>
            </w:r>
            <w:r>
              <w:rPr>
                <w:rFonts w:ascii="Arial" w:cs="Arial" w:eastAsia="Arial" w:hAnsi="Arial"/>
                <w:sz w:val="16"/>
                <w:szCs w:val="16"/>
                <w:color w:val="auto"/>
              </w:rPr>
              <w:t>” has a corresponding meaning).</w:t>
            </w:r>
          </w:p>
        </w:tc>
      </w:tr>
      <w:tr>
        <w:trPr>
          <w:trHeight w:val="256"/>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Exclusionary Rights</w:t>
            </w:r>
          </w:p>
        </w:tc>
        <w:tc>
          <w:tcPr>
            <w:tcW w:w="9020" w:type="dxa"/>
            <w:vAlign w:val="bottom"/>
          </w:tcPr>
          <w:p>
            <w:pPr>
              <w:ind w:left="340"/>
              <w:spacing w:after="0"/>
              <w:rPr>
                <w:sz w:val="20"/>
                <w:szCs w:val="20"/>
                <w:color w:val="auto"/>
              </w:rPr>
            </w:pPr>
            <w:r>
              <w:rPr>
                <w:rFonts w:ascii="Arial" w:cs="Arial" w:eastAsia="Arial" w:hAnsi="Arial"/>
                <w:sz w:val="16"/>
                <w:szCs w:val="16"/>
                <w:color w:val="auto"/>
                <w:w w:val="92"/>
              </w:rPr>
              <w:t>Intellectual property or other proprietary rights (such as registered designs, patents and registered trademarks) that provide the right</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rPr>
              <w:t>to exclude others from using the claimed subject matter.</w:t>
            </w:r>
          </w:p>
        </w:tc>
      </w:tr>
      <w:tr>
        <w:trPr>
          <w:trHeight w:val="256"/>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Exploitation Licence</w:t>
            </w:r>
          </w:p>
        </w:tc>
        <w:tc>
          <w:tcPr>
            <w:tcW w:w="9020" w:type="dxa"/>
            <w:vAlign w:val="bottom"/>
          </w:tcPr>
          <w:p>
            <w:pPr>
              <w:ind w:left="340"/>
              <w:spacing w:after="0"/>
              <w:rPr>
                <w:sz w:val="20"/>
                <w:szCs w:val="20"/>
                <w:color w:val="auto"/>
              </w:rPr>
            </w:pPr>
            <w:r>
              <w:rPr>
                <w:rFonts w:ascii="Arial" w:cs="Arial" w:eastAsia="Arial" w:hAnsi="Arial"/>
                <w:sz w:val="16"/>
                <w:szCs w:val="16"/>
                <w:color w:val="auto"/>
                <w:w w:val="94"/>
              </w:rPr>
              <w:t xml:space="preserve">The licence to use </w:t>
            </w:r>
            <w:r>
              <w:rPr>
                <w:rFonts w:ascii="Arial" w:cs="Arial" w:eastAsia="Arial" w:hAnsi="Arial"/>
                <w:sz w:val="16"/>
                <w:szCs w:val="16"/>
                <w:i w:val="1"/>
                <w:iCs w:val="1"/>
                <w:color w:val="auto"/>
                <w:w w:val="94"/>
              </w:rPr>
              <w:t>KODE™ Technology</w:t>
            </w:r>
            <w:r>
              <w:rPr>
                <w:rFonts w:ascii="Arial" w:cs="Arial" w:eastAsia="Arial" w:hAnsi="Arial"/>
                <w:sz w:val="16"/>
                <w:szCs w:val="16"/>
                <w:color w:val="auto"/>
                <w:w w:val="94"/>
              </w:rPr>
              <w:t xml:space="preserve"> and </w:t>
            </w:r>
            <w:r>
              <w:rPr>
                <w:rFonts w:ascii="Arial" w:cs="Arial" w:eastAsia="Arial" w:hAnsi="Arial"/>
                <w:sz w:val="16"/>
                <w:szCs w:val="16"/>
                <w:i w:val="1"/>
                <w:iCs w:val="1"/>
                <w:color w:val="auto"/>
                <w:w w:val="94"/>
              </w:rPr>
              <w:t>KODE™ Know-How</w:t>
            </w:r>
            <w:r>
              <w:rPr>
                <w:rFonts w:ascii="Arial" w:cs="Arial" w:eastAsia="Arial" w:hAnsi="Arial"/>
                <w:sz w:val="16"/>
                <w:szCs w:val="16"/>
                <w:color w:val="auto"/>
                <w:w w:val="94"/>
              </w:rPr>
              <w:t xml:space="preserve"> in the </w:t>
            </w:r>
            <w:r>
              <w:rPr>
                <w:rFonts w:ascii="Arial" w:cs="Arial" w:eastAsia="Arial" w:hAnsi="Arial"/>
                <w:sz w:val="16"/>
                <w:szCs w:val="16"/>
                <w:i w:val="1"/>
                <w:iCs w:val="1"/>
                <w:color w:val="auto"/>
                <w:w w:val="94"/>
              </w:rPr>
              <w:t>Field</w:t>
            </w:r>
            <w:r>
              <w:rPr>
                <w:rFonts w:ascii="Arial" w:cs="Arial" w:eastAsia="Arial" w:hAnsi="Arial"/>
                <w:sz w:val="16"/>
                <w:szCs w:val="16"/>
                <w:color w:val="auto"/>
                <w:w w:val="94"/>
              </w:rPr>
              <w:t>, the terms of which are set out in Schedule 2, which</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rPr>
              <w:t xml:space="preserve">licence comes into effect upon exercise of the </w:t>
            </w:r>
            <w:r>
              <w:rPr>
                <w:rFonts w:ascii="Arial" w:cs="Arial" w:eastAsia="Arial" w:hAnsi="Arial"/>
                <w:sz w:val="16"/>
                <w:szCs w:val="16"/>
                <w:i w:val="1"/>
                <w:iCs w:val="1"/>
                <w:color w:val="auto"/>
              </w:rPr>
              <w:t>Option</w:t>
            </w:r>
            <w:r>
              <w:rPr>
                <w:rFonts w:ascii="Arial" w:cs="Arial" w:eastAsia="Arial" w:hAnsi="Arial"/>
                <w:sz w:val="16"/>
                <w:szCs w:val="16"/>
                <w:color w:val="auto"/>
              </w:rPr>
              <w:t>.</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Dollar or $</w:t>
            </w:r>
          </w:p>
        </w:tc>
        <w:tc>
          <w:tcPr>
            <w:tcW w:w="9020" w:type="dxa"/>
            <w:vAlign w:val="bottom"/>
          </w:tcPr>
          <w:p>
            <w:pPr>
              <w:ind w:left="340"/>
              <w:spacing w:after="0"/>
              <w:rPr>
                <w:sz w:val="20"/>
                <w:szCs w:val="20"/>
                <w:color w:val="auto"/>
              </w:rPr>
            </w:pPr>
            <w:r>
              <w:rPr>
                <w:rFonts w:ascii="Arial" w:cs="Arial" w:eastAsia="Arial" w:hAnsi="Arial"/>
                <w:sz w:val="16"/>
                <w:szCs w:val="16"/>
                <w:color w:val="auto"/>
              </w:rPr>
              <w:t>US Dollar.</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Field</w:t>
            </w:r>
          </w:p>
        </w:tc>
        <w:tc>
          <w:tcPr>
            <w:tcW w:w="9020" w:type="dxa"/>
            <w:vAlign w:val="bottom"/>
          </w:tcPr>
          <w:p>
            <w:pPr>
              <w:ind w:left="340"/>
              <w:spacing w:after="0"/>
              <w:rPr>
                <w:sz w:val="20"/>
                <w:szCs w:val="20"/>
                <w:color w:val="auto"/>
              </w:rPr>
            </w:pPr>
            <w:r>
              <w:rPr>
                <w:rFonts w:ascii="Arial" w:cs="Arial" w:eastAsia="Arial" w:hAnsi="Arial"/>
                <w:sz w:val="16"/>
                <w:szCs w:val="16"/>
                <w:color w:val="auto"/>
              </w:rPr>
              <w:t>Treatment of cancer in humans including by intratumoral injection or direct application to tumours.</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KODE™ Constructs</w:t>
            </w:r>
          </w:p>
        </w:tc>
        <w:tc>
          <w:tcPr>
            <w:tcW w:w="902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609"/>
        </w:trPr>
        <w:tc>
          <w:tcPr>
            <w:tcW w:w="2420" w:type="dxa"/>
            <w:vAlign w:val="bottom"/>
          </w:tcPr>
          <w:p>
            <w:pPr>
              <w:spacing w:after="0"/>
              <w:rPr>
                <w:sz w:val="24"/>
                <w:szCs w:val="24"/>
                <w:color w:val="auto"/>
              </w:rPr>
            </w:pPr>
          </w:p>
        </w:tc>
        <w:tc>
          <w:tcPr>
            <w:tcW w:w="9020" w:type="dxa"/>
            <w:vAlign w:val="bottom"/>
          </w:tcPr>
          <w:p>
            <w:pPr>
              <w:ind w:left="3260"/>
              <w:spacing w:after="0"/>
              <w:rPr>
                <w:sz w:val="20"/>
                <w:szCs w:val="20"/>
                <w:color w:val="auto"/>
              </w:rPr>
            </w:pPr>
            <w:r>
              <w:rPr>
                <w:rFonts w:ascii="Arial" w:cs="Arial" w:eastAsia="Arial" w:hAnsi="Arial"/>
                <w:sz w:val="16"/>
                <w:szCs w:val="16"/>
                <w:color w:val="auto"/>
              </w:rPr>
              <w:t>2</w:t>
            </w:r>
          </w:p>
        </w:tc>
      </w:tr>
      <w:tr>
        <w:trPr>
          <w:trHeight w:val="54"/>
        </w:trPr>
        <w:tc>
          <w:tcPr>
            <w:tcW w:w="2420" w:type="dxa"/>
            <w:vAlign w:val="bottom"/>
            <w:tcBorders>
              <w:bottom w:val="single" w:sz="8" w:color="auto"/>
            </w:tcBorders>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r>
    </w:tbl>
    <w:p>
      <w:pPr>
        <w:sectPr>
          <w:pgSz w:w="11900" w:h="16838" w:orient="portrait"/>
          <w:cols w:equalWidth="0" w:num="1">
            <w:col w:w="11443"/>
          </w:cols>
          <w:pgMar w:left="237" w:top="123" w:right="219" w:bottom="1440" w:gutter="0" w:footer="0" w:header="0"/>
        </w:sectPr>
      </w:pPr>
    </w:p>
    <w:bookmarkStart w:id="384" w:name="page385"/>
    <w:bookmarkEnd w:id="3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KODE™ Know-How</w:t>
            </w:r>
          </w:p>
        </w:tc>
        <w:tc>
          <w:tcPr>
            <w:tcW w:w="9020" w:type="dxa"/>
            <w:vAlign w:val="bottom"/>
          </w:tcPr>
          <w:p>
            <w:pPr>
              <w:ind w:left="340"/>
              <w:spacing w:after="0"/>
              <w:rPr>
                <w:sz w:val="20"/>
                <w:szCs w:val="20"/>
                <w:color w:val="auto"/>
              </w:rPr>
            </w:pPr>
            <w:r>
              <w:rPr>
                <w:rFonts w:ascii="Arial" w:cs="Arial" w:eastAsia="Arial" w:hAnsi="Arial"/>
                <w:sz w:val="16"/>
                <w:szCs w:val="16"/>
                <w:color w:val="auto"/>
                <w:w w:val="96"/>
              </w:rPr>
              <w:t xml:space="preserve">Information owned by </w:t>
            </w:r>
            <w:r>
              <w:rPr>
                <w:rFonts w:ascii="Arial" w:cs="Arial" w:eastAsia="Arial" w:hAnsi="Arial"/>
                <w:sz w:val="16"/>
                <w:szCs w:val="16"/>
                <w:i w:val="1"/>
                <w:iCs w:val="1"/>
                <w:color w:val="auto"/>
                <w:w w:val="96"/>
              </w:rPr>
              <w:t>KBL</w:t>
            </w:r>
            <w:r>
              <w:rPr>
                <w:rFonts w:ascii="Arial" w:cs="Arial" w:eastAsia="Arial" w:hAnsi="Arial"/>
                <w:sz w:val="16"/>
                <w:szCs w:val="16"/>
                <w:color w:val="auto"/>
                <w:w w:val="96"/>
              </w:rPr>
              <w:t xml:space="preserve"> relating to </w:t>
            </w:r>
            <w:r>
              <w:rPr>
                <w:rFonts w:ascii="Arial" w:cs="Arial" w:eastAsia="Arial" w:hAnsi="Arial"/>
                <w:sz w:val="16"/>
                <w:szCs w:val="16"/>
                <w:i w:val="1"/>
                <w:iCs w:val="1"/>
                <w:color w:val="auto"/>
                <w:w w:val="96"/>
              </w:rPr>
              <w:t>KODE™ Technology</w:t>
            </w:r>
            <w:r>
              <w:rPr>
                <w:rFonts w:ascii="Arial" w:cs="Arial" w:eastAsia="Arial" w:hAnsi="Arial"/>
                <w:sz w:val="16"/>
                <w:szCs w:val="16"/>
                <w:color w:val="auto"/>
                <w:w w:val="96"/>
              </w:rPr>
              <w:t xml:space="preserve"> and that is not generally known and is necessary for </w:t>
            </w:r>
            <w:r>
              <w:rPr>
                <w:rFonts w:ascii="Arial" w:cs="Arial" w:eastAsia="Arial" w:hAnsi="Arial"/>
                <w:sz w:val="16"/>
                <w:szCs w:val="16"/>
                <w:i w:val="1"/>
                <w:iCs w:val="1"/>
                <w:color w:val="auto"/>
                <w:w w:val="96"/>
              </w:rPr>
              <w:t>Agalimmune</w:t>
            </w:r>
            <w:r>
              <w:rPr>
                <w:rFonts w:ascii="Arial" w:cs="Arial" w:eastAsia="Arial" w:hAnsi="Arial"/>
                <w:sz w:val="16"/>
                <w:szCs w:val="16"/>
                <w:color w:val="auto"/>
                <w:w w:val="96"/>
              </w:rPr>
              <w:t xml:space="preserve"> to</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rPr>
              <w:t xml:space="preserve">enjoy the benefits of the right and licence granted by </w:t>
            </w:r>
            <w:r>
              <w:rPr>
                <w:rFonts w:ascii="Arial" w:cs="Arial" w:eastAsia="Arial" w:hAnsi="Arial"/>
                <w:sz w:val="16"/>
                <w:szCs w:val="16"/>
                <w:i w:val="1"/>
                <w:iCs w:val="1"/>
                <w:color w:val="auto"/>
              </w:rPr>
              <w:t>KBL</w:t>
            </w:r>
            <w:r>
              <w:rPr>
                <w:rFonts w:ascii="Arial" w:cs="Arial" w:eastAsia="Arial" w:hAnsi="Arial"/>
                <w:sz w:val="16"/>
                <w:szCs w:val="16"/>
                <w:color w:val="auto"/>
              </w:rPr>
              <w:t xml:space="preserve"> hereunder.</w:t>
            </w:r>
          </w:p>
        </w:tc>
      </w:tr>
      <w:tr>
        <w:trPr>
          <w:trHeight w:val="256"/>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KODE™ Technology</w:t>
            </w:r>
          </w:p>
        </w:tc>
        <w:tc>
          <w:tcPr>
            <w:tcW w:w="9020" w:type="dxa"/>
            <w:vAlign w:val="bottom"/>
          </w:tcPr>
          <w:p>
            <w:pPr>
              <w:ind w:left="340"/>
              <w:spacing w:after="0"/>
              <w:rPr>
                <w:sz w:val="20"/>
                <w:szCs w:val="20"/>
                <w:color w:val="auto"/>
              </w:rPr>
            </w:pPr>
            <w:r>
              <w:rPr>
                <w:rFonts w:ascii="Arial" w:cs="Arial" w:eastAsia="Arial" w:hAnsi="Arial"/>
                <w:sz w:val="16"/>
                <w:szCs w:val="16"/>
                <w:color w:val="auto"/>
                <w:w w:val="95"/>
              </w:rPr>
              <w:t xml:space="preserve">The </w:t>
            </w:r>
            <w:r>
              <w:rPr>
                <w:rFonts w:ascii="Arial" w:cs="Arial" w:eastAsia="Arial" w:hAnsi="Arial"/>
                <w:sz w:val="16"/>
                <w:szCs w:val="16"/>
                <w:i w:val="1"/>
                <w:iCs w:val="1"/>
                <w:color w:val="auto"/>
                <w:w w:val="95"/>
              </w:rPr>
              <w:t>KODE™ Constructs</w:t>
            </w:r>
            <w:r>
              <w:rPr>
                <w:rFonts w:ascii="Arial" w:cs="Arial" w:eastAsia="Arial" w:hAnsi="Arial"/>
                <w:sz w:val="16"/>
                <w:szCs w:val="16"/>
                <w:color w:val="auto"/>
                <w:w w:val="95"/>
              </w:rPr>
              <w:t>, their preparation, biological entities (including cells and virions) incorporating or prepared using one or</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rPr>
              <w:t xml:space="preserve">more </w:t>
            </w:r>
            <w:r>
              <w:rPr>
                <w:rFonts w:ascii="Arial" w:cs="Arial" w:eastAsia="Arial" w:hAnsi="Arial"/>
                <w:sz w:val="16"/>
                <w:szCs w:val="16"/>
                <w:i w:val="1"/>
                <w:iCs w:val="1"/>
                <w:color w:val="auto"/>
              </w:rPr>
              <w:t>KODE™ Constructs</w:t>
            </w:r>
            <w:r>
              <w:rPr>
                <w:rFonts w:ascii="Arial" w:cs="Arial" w:eastAsia="Arial" w:hAnsi="Arial"/>
                <w:sz w:val="16"/>
                <w:szCs w:val="16"/>
                <w:color w:val="auto"/>
              </w:rPr>
              <w:t>.</w:t>
            </w:r>
          </w:p>
        </w:tc>
      </w:tr>
      <w:tr>
        <w:trPr>
          <w:trHeight w:val="256"/>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Licensed Patents</w:t>
            </w:r>
          </w:p>
        </w:tc>
        <w:tc>
          <w:tcPr>
            <w:tcW w:w="9020" w:type="dxa"/>
            <w:vAlign w:val="bottom"/>
          </w:tcPr>
          <w:p>
            <w:pPr>
              <w:ind w:left="340"/>
              <w:spacing w:after="0"/>
              <w:rPr>
                <w:sz w:val="20"/>
                <w:szCs w:val="20"/>
                <w:color w:val="auto"/>
              </w:rPr>
            </w:pPr>
            <w:r>
              <w:rPr>
                <w:rFonts w:ascii="Arial" w:cs="Arial" w:eastAsia="Arial" w:hAnsi="Arial"/>
                <w:sz w:val="16"/>
                <w:szCs w:val="16"/>
                <w:color w:val="auto"/>
                <w:w w:val="94"/>
              </w:rPr>
              <w:t xml:space="preserve">All </w:t>
            </w:r>
            <w:r>
              <w:rPr>
                <w:rFonts w:ascii="Arial" w:cs="Arial" w:eastAsia="Arial" w:hAnsi="Arial"/>
                <w:sz w:val="16"/>
                <w:szCs w:val="16"/>
                <w:i w:val="1"/>
                <w:iCs w:val="1"/>
                <w:color w:val="auto"/>
                <w:w w:val="94"/>
              </w:rPr>
              <w:t>KODE™ Technology</w:t>
            </w:r>
            <w:r>
              <w:rPr>
                <w:rFonts w:ascii="Arial" w:cs="Arial" w:eastAsia="Arial" w:hAnsi="Arial"/>
                <w:sz w:val="16"/>
                <w:szCs w:val="16"/>
                <w:color w:val="auto"/>
                <w:w w:val="94"/>
              </w:rPr>
              <w:t xml:space="preserve"> granted patents and patent applications owned by </w:t>
            </w:r>
            <w:r>
              <w:rPr>
                <w:rFonts w:ascii="Arial" w:cs="Arial" w:eastAsia="Arial" w:hAnsi="Arial"/>
                <w:sz w:val="16"/>
                <w:szCs w:val="16"/>
                <w:i w:val="1"/>
                <w:iCs w:val="1"/>
                <w:color w:val="auto"/>
                <w:w w:val="94"/>
              </w:rPr>
              <w:t>KBL</w:t>
            </w:r>
            <w:r>
              <w:rPr>
                <w:rFonts w:ascii="Arial" w:cs="Arial" w:eastAsia="Arial" w:hAnsi="Arial"/>
                <w:sz w:val="16"/>
                <w:szCs w:val="16"/>
                <w:color w:val="auto"/>
                <w:w w:val="94"/>
              </w:rPr>
              <w:t xml:space="preserve"> including those listed in Schedule 1 together with</w:t>
            </w:r>
          </w:p>
        </w:tc>
      </w:tr>
      <w:tr>
        <w:trPr>
          <w:trHeight w:val="195"/>
        </w:trPr>
        <w:tc>
          <w:tcPr>
            <w:tcW w:w="2420" w:type="dxa"/>
            <w:vAlign w:val="bottom"/>
          </w:tcPr>
          <w:p>
            <w:pPr>
              <w:spacing w:after="0"/>
              <w:rPr>
                <w:sz w:val="16"/>
                <w:szCs w:val="16"/>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w w:val="93"/>
              </w:rPr>
              <w:t>any improvements, continuations, continuations-in-part, divisionals, extensions, reissues, supplementary protection certificates and</w:t>
            </w:r>
          </w:p>
        </w:tc>
      </w:tr>
      <w:tr>
        <w:trPr>
          <w:trHeight w:val="195"/>
        </w:trPr>
        <w:tc>
          <w:tcPr>
            <w:tcW w:w="2420" w:type="dxa"/>
            <w:vAlign w:val="bottom"/>
          </w:tcPr>
          <w:p>
            <w:pPr>
              <w:spacing w:after="0"/>
              <w:rPr>
                <w:sz w:val="16"/>
                <w:szCs w:val="16"/>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w w:val="96"/>
              </w:rPr>
              <w:t xml:space="preserve">similar rights that are based on or derive priority from the foregoing. The </w:t>
            </w:r>
            <w:r>
              <w:rPr>
                <w:rFonts w:ascii="Arial" w:cs="Arial" w:eastAsia="Arial" w:hAnsi="Arial"/>
                <w:sz w:val="16"/>
                <w:szCs w:val="16"/>
                <w:i w:val="1"/>
                <w:iCs w:val="1"/>
                <w:color w:val="auto"/>
                <w:w w:val="96"/>
              </w:rPr>
              <w:t>Licensed Patents</w:t>
            </w:r>
            <w:r>
              <w:rPr>
                <w:rFonts w:ascii="Arial" w:cs="Arial" w:eastAsia="Arial" w:hAnsi="Arial"/>
                <w:sz w:val="16"/>
                <w:szCs w:val="16"/>
                <w:color w:val="auto"/>
                <w:w w:val="96"/>
              </w:rPr>
              <w:t xml:space="preserve"> also include any granted patents and</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rPr>
              <w:t xml:space="preserve">patent applications forming part of the </w:t>
            </w:r>
            <w:r>
              <w:rPr>
                <w:rFonts w:ascii="Arial" w:cs="Arial" w:eastAsia="Arial" w:hAnsi="Arial"/>
                <w:sz w:val="16"/>
                <w:szCs w:val="16"/>
                <w:i w:val="1"/>
                <w:iCs w:val="1"/>
                <w:color w:val="auto"/>
              </w:rPr>
              <w:t>New Rights</w:t>
            </w:r>
            <w:r>
              <w:rPr>
                <w:rFonts w:ascii="Arial" w:cs="Arial" w:eastAsia="Arial" w:hAnsi="Arial"/>
                <w:sz w:val="16"/>
                <w:szCs w:val="16"/>
                <w:color w:val="auto"/>
              </w:rPr>
              <w:t xml:space="preserve"> created or acquired by </w:t>
            </w:r>
            <w:r>
              <w:rPr>
                <w:rFonts w:ascii="Arial" w:cs="Arial" w:eastAsia="Arial" w:hAnsi="Arial"/>
                <w:sz w:val="16"/>
                <w:szCs w:val="16"/>
                <w:i w:val="1"/>
                <w:iCs w:val="1"/>
                <w:color w:val="auto"/>
              </w:rPr>
              <w:t>KBL</w:t>
            </w:r>
            <w:r>
              <w:rPr>
                <w:rFonts w:ascii="Arial" w:cs="Arial" w:eastAsia="Arial" w:hAnsi="Arial"/>
                <w:sz w:val="16"/>
                <w:szCs w:val="16"/>
                <w:color w:val="auto"/>
              </w:rPr>
              <w:t xml:space="preserve"> during the Term.</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Maintenance Fee</w:t>
            </w:r>
          </w:p>
        </w:tc>
        <w:tc>
          <w:tcPr>
            <w:tcW w:w="902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New Rights</w:t>
            </w:r>
          </w:p>
        </w:tc>
        <w:tc>
          <w:tcPr>
            <w:tcW w:w="9020" w:type="dxa"/>
            <w:vAlign w:val="bottom"/>
          </w:tcPr>
          <w:p>
            <w:pPr>
              <w:ind w:left="340"/>
              <w:spacing w:after="0"/>
              <w:rPr>
                <w:sz w:val="20"/>
                <w:szCs w:val="20"/>
                <w:color w:val="auto"/>
              </w:rPr>
            </w:pPr>
            <w:r>
              <w:rPr>
                <w:rFonts w:ascii="Arial" w:cs="Arial" w:eastAsia="Arial" w:hAnsi="Arial"/>
                <w:sz w:val="16"/>
                <w:szCs w:val="16"/>
                <w:color w:val="auto"/>
              </w:rPr>
              <w:t>Has the meaning given in Clause 5.2.</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Option Exercise Fee</w:t>
            </w:r>
          </w:p>
        </w:tc>
        <w:tc>
          <w:tcPr>
            <w:tcW w:w="9020" w:type="dxa"/>
            <w:vAlign w:val="bottom"/>
          </w:tcPr>
          <w:p>
            <w:pPr>
              <w:ind w:left="340"/>
              <w:spacing w:after="0"/>
              <w:rPr>
                <w:sz w:val="20"/>
                <w:szCs w:val="20"/>
                <w:color w:val="auto"/>
              </w:rPr>
            </w:pPr>
            <w:r>
              <w:rPr>
                <w:rFonts w:ascii="Arial" w:cs="Arial" w:eastAsia="Arial" w:hAnsi="Arial"/>
                <w:sz w:val="16"/>
                <w:szCs w:val="16"/>
                <w:color w:val="auto"/>
              </w:rPr>
              <w:t>[*]</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Parties</w:t>
            </w:r>
          </w:p>
        </w:tc>
        <w:tc>
          <w:tcPr>
            <w:tcW w:w="9020" w:type="dxa"/>
            <w:vAlign w:val="bottom"/>
          </w:tcPr>
          <w:p>
            <w:pPr>
              <w:ind w:left="340"/>
              <w:spacing w:after="0"/>
              <w:rPr>
                <w:sz w:val="20"/>
                <w:szCs w:val="20"/>
                <w:color w:val="auto"/>
              </w:rPr>
            </w:pPr>
            <w:r>
              <w:rPr>
                <w:rFonts w:ascii="Arial" w:cs="Arial" w:eastAsia="Arial" w:hAnsi="Arial"/>
                <w:sz w:val="16"/>
                <w:szCs w:val="16"/>
                <w:i w:val="1"/>
                <w:iCs w:val="1"/>
                <w:color w:val="auto"/>
              </w:rPr>
              <w:t xml:space="preserve">KBL </w:t>
            </w:r>
            <w:r>
              <w:rPr>
                <w:rFonts w:ascii="Arial" w:cs="Arial" w:eastAsia="Arial" w:hAnsi="Arial"/>
                <w:sz w:val="16"/>
                <w:szCs w:val="16"/>
                <w:color w:val="auto"/>
              </w:rPr>
              <w:t>and</w:t>
            </w:r>
            <w:r>
              <w:rPr>
                <w:rFonts w:ascii="Arial" w:cs="Arial" w:eastAsia="Arial" w:hAnsi="Arial"/>
                <w:sz w:val="16"/>
                <w:szCs w:val="16"/>
                <w:i w:val="1"/>
                <w:iCs w:val="1"/>
                <w:color w:val="auto"/>
              </w:rPr>
              <w:t xml:space="preserve"> Agalimmune</w:t>
            </w:r>
            <w:r>
              <w:rPr>
                <w:rFonts w:ascii="Arial" w:cs="Arial" w:eastAsia="Arial" w:hAnsi="Arial"/>
                <w:sz w:val="16"/>
                <w:szCs w:val="16"/>
                <w:color w:val="auto"/>
              </w:rPr>
              <w:t>, and ‘</w:t>
            </w:r>
            <w:r>
              <w:rPr>
                <w:rFonts w:ascii="Arial" w:cs="Arial" w:eastAsia="Arial" w:hAnsi="Arial"/>
                <w:sz w:val="16"/>
                <w:szCs w:val="16"/>
                <w:b w:val="1"/>
                <w:bCs w:val="1"/>
                <w:color w:val="auto"/>
              </w:rPr>
              <w:t>Party</w:t>
            </w:r>
            <w:r>
              <w:rPr>
                <w:rFonts w:ascii="Arial" w:cs="Arial" w:eastAsia="Arial" w:hAnsi="Arial"/>
                <w:sz w:val="16"/>
                <w:szCs w:val="16"/>
                <w:color w:val="auto"/>
              </w:rPr>
              <w:t>’ shall mean either of them.</w:t>
            </w:r>
          </w:p>
        </w:tc>
      </w:tr>
      <w:tr>
        <w:trPr>
          <w:trHeight w:val="256"/>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Research Report</w:t>
            </w:r>
          </w:p>
        </w:tc>
        <w:tc>
          <w:tcPr>
            <w:tcW w:w="9020" w:type="dxa"/>
            <w:vAlign w:val="bottom"/>
          </w:tcPr>
          <w:p>
            <w:pPr>
              <w:ind w:left="340"/>
              <w:spacing w:after="0"/>
              <w:rPr>
                <w:sz w:val="20"/>
                <w:szCs w:val="20"/>
                <w:color w:val="auto"/>
              </w:rPr>
            </w:pPr>
            <w:r>
              <w:rPr>
                <w:rFonts w:ascii="Arial" w:cs="Arial" w:eastAsia="Arial" w:hAnsi="Arial"/>
                <w:sz w:val="16"/>
                <w:szCs w:val="16"/>
                <w:color w:val="auto"/>
                <w:w w:val="95"/>
              </w:rPr>
              <w:t xml:space="preserve">A written report providing the identity, source and volumes of </w:t>
            </w:r>
            <w:r>
              <w:rPr>
                <w:rFonts w:ascii="Arial" w:cs="Arial" w:eastAsia="Arial" w:hAnsi="Arial"/>
                <w:sz w:val="16"/>
                <w:szCs w:val="16"/>
                <w:i w:val="1"/>
                <w:iCs w:val="1"/>
                <w:color w:val="auto"/>
                <w:w w:val="95"/>
              </w:rPr>
              <w:t>KODE™ Constructs</w:t>
            </w:r>
            <w:r>
              <w:rPr>
                <w:rFonts w:ascii="Arial" w:cs="Arial" w:eastAsia="Arial" w:hAnsi="Arial"/>
                <w:sz w:val="16"/>
                <w:szCs w:val="16"/>
                <w:color w:val="auto"/>
                <w:w w:val="95"/>
              </w:rPr>
              <w:t xml:space="preserve"> procured since the </w:t>
            </w:r>
            <w:r>
              <w:rPr>
                <w:rFonts w:ascii="Arial" w:cs="Arial" w:eastAsia="Arial" w:hAnsi="Arial"/>
                <w:sz w:val="16"/>
                <w:szCs w:val="16"/>
                <w:i w:val="1"/>
                <w:iCs w:val="1"/>
                <w:color w:val="auto"/>
                <w:w w:val="95"/>
              </w:rPr>
              <w:t>Commencement Date</w:t>
            </w:r>
            <w:r>
              <w:rPr>
                <w:rFonts w:ascii="Arial" w:cs="Arial" w:eastAsia="Arial" w:hAnsi="Arial"/>
                <w:sz w:val="16"/>
                <w:szCs w:val="16"/>
                <w:color w:val="auto"/>
                <w:w w:val="95"/>
              </w:rPr>
              <w:t xml:space="preserve"> and</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w w:val="98"/>
              </w:rPr>
              <w:t>providing a description of their use and the results obtained in sufficient detail for the results to be independently reproduced.</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Term</w:t>
            </w:r>
          </w:p>
        </w:tc>
        <w:tc>
          <w:tcPr>
            <w:tcW w:w="9020" w:type="dxa"/>
            <w:vAlign w:val="bottom"/>
          </w:tcPr>
          <w:p>
            <w:pPr>
              <w:ind w:left="340"/>
              <w:spacing w:after="0"/>
              <w:rPr>
                <w:sz w:val="20"/>
                <w:szCs w:val="20"/>
                <w:color w:val="auto"/>
              </w:rPr>
            </w:pPr>
            <w:r>
              <w:rPr>
                <w:rFonts w:ascii="Arial" w:cs="Arial" w:eastAsia="Arial" w:hAnsi="Arial"/>
                <w:sz w:val="16"/>
                <w:szCs w:val="16"/>
                <w:color w:val="auto"/>
              </w:rPr>
              <w:t>The period defined in Clause 7.1.</w:t>
            </w:r>
          </w:p>
        </w:tc>
      </w:tr>
      <w:tr>
        <w:trPr>
          <w:trHeight w:val="268"/>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Third Party</w:t>
            </w:r>
          </w:p>
        </w:tc>
        <w:tc>
          <w:tcPr>
            <w:tcW w:w="9020" w:type="dxa"/>
            <w:vAlign w:val="bottom"/>
          </w:tcPr>
          <w:p>
            <w:pPr>
              <w:ind w:left="340"/>
              <w:spacing w:after="0"/>
              <w:rPr>
                <w:sz w:val="20"/>
                <w:szCs w:val="20"/>
                <w:color w:val="auto"/>
              </w:rPr>
            </w:pPr>
            <w:r>
              <w:rPr>
                <w:rFonts w:ascii="Arial" w:cs="Arial" w:eastAsia="Arial" w:hAnsi="Arial"/>
                <w:sz w:val="16"/>
                <w:szCs w:val="16"/>
                <w:color w:val="auto"/>
              </w:rPr>
              <w:t>Any person other than a Party.</w:t>
            </w:r>
          </w:p>
        </w:tc>
      </w:tr>
      <w:tr>
        <w:trPr>
          <w:trHeight w:val="256"/>
        </w:trPr>
        <w:tc>
          <w:tcPr>
            <w:tcW w:w="2420" w:type="dxa"/>
            <w:vAlign w:val="bottom"/>
          </w:tcPr>
          <w:p>
            <w:pPr>
              <w:ind w:left="600"/>
              <w:spacing w:after="0"/>
              <w:rPr>
                <w:sz w:val="20"/>
                <w:szCs w:val="20"/>
                <w:color w:val="auto"/>
              </w:rPr>
            </w:pPr>
            <w:r>
              <w:rPr>
                <w:rFonts w:ascii="Arial" w:cs="Arial" w:eastAsia="Arial" w:hAnsi="Arial"/>
                <w:sz w:val="16"/>
                <w:szCs w:val="16"/>
                <w:b w:val="1"/>
                <w:bCs w:val="1"/>
                <w:color w:val="auto"/>
              </w:rPr>
              <w:t>Working Day</w:t>
            </w:r>
          </w:p>
        </w:tc>
        <w:tc>
          <w:tcPr>
            <w:tcW w:w="9020" w:type="dxa"/>
            <w:vAlign w:val="bottom"/>
          </w:tcPr>
          <w:p>
            <w:pPr>
              <w:ind w:left="340"/>
              <w:spacing w:after="0"/>
              <w:rPr>
                <w:sz w:val="20"/>
                <w:szCs w:val="20"/>
                <w:color w:val="auto"/>
              </w:rPr>
            </w:pPr>
            <w:r>
              <w:rPr>
                <w:rFonts w:ascii="Arial" w:cs="Arial" w:eastAsia="Arial" w:hAnsi="Arial"/>
                <w:sz w:val="16"/>
                <w:szCs w:val="16"/>
                <w:color w:val="auto"/>
                <w:w w:val="93"/>
              </w:rPr>
              <w:t>A day (other than a Saturday, Sunday or public holiday) when banks in the City of London are open for business Provided that if the</w:t>
            </w:r>
          </w:p>
        </w:tc>
      </w:tr>
      <w:tr>
        <w:trPr>
          <w:trHeight w:val="195"/>
        </w:trPr>
        <w:tc>
          <w:tcPr>
            <w:tcW w:w="2420" w:type="dxa"/>
            <w:vAlign w:val="bottom"/>
          </w:tcPr>
          <w:p>
            <w:pPr>
              <w:spacing w:after="0"/>
              <w:rPr>
                <w:sz w:val="16"/>
                <w:szCs w:val="16"/>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w w:val="94"/>
              </w:rPr>
              <w:t>deemed day of receipt is not a working day in the recipient Party’s country or region, such deemed day of receipt shall be the next</w:t>
            </w:r>
          </w:p>
        </w:tc>
      </w:tr>
      <w:tr>
        <w:trPr>
          <w:trHeight w:val="207"/>
        </w:trPr>
        <w:tc>
          <w:tcPr>
            <w:tcW w:w="2420" w:type="dxa"/>
            <w:vAlign w:val="bottom"/>
          </w:tcPr>
          <w:p>
            <w:pPr>
              <w:spacing w:after="0"/>
              <w:rPr>
                <w:sz w:val="17"/>
                <w:szCs w:val="17"/>
                <w:color w:val="auto"/>
              </w:rPr>
            </w:pPr>
          </w:p>
        </w:tc>
        <w:tc>
          <w:tcPr>
            <w:tcW w:w="9020" w:type="dxa"/>
            <w:vAlign w:val="bottom"/>
          </w:tcPr>
          <w:p>
            <w:pPr>
              <w:ind w:left="340"/>
              <w:spacing w:after="0"/>
              <w:rPr>
                <w:sz w:val="20"/>
                <w:szCs w:val="20"/>
                <w:color w:val="auto"/>
              </w:rPr>
            </w:pPr>
            <w:r>
              <w:rPr>
                <w:rFonts w:ascii="Arial" w:cs="Arial" w:eastAsia="Arial" w:hAnsi="Arial"/>
                <w:sz w:val="16"/>
                <w:szCs w:val="16"/>
                <w:color w:val="auto"/>
              </w:rPr>
              <w:t>working day in the recipient Party’s country or region.</w:t>
            </w:r>
          </w:p>
        </w:tc>
      </w:tr>
      <w:tr>
        <w:trPr>
          <w:trHeight w:val="633"/>
        </w:trPr>
        <w:tc>
          <w:tcPr>
            <w:tcW w:w="2420" w:type="dxa"/>
            <w:vAlign w:val="bottom"/>
          </w:tcPr>
          <w:p>
            <w:pPr>
              <w:spacing w:after="0"/>
              <w:rPr>
                <w:sz w:val="24"/>
                <w:szCs w:val="24"/>
                <w:color w:val="auto"/>
              </w:rPr>
            </w:pPr>
          </w:p>
        </w:tc>
        <w:tc>
          <w:tcPr>
            <w:tcW w:w="9020" w:type="dxa"/>
            <w:vAlign w:val="bottom"/>
          </w:tcPr>
          <w:p>
            <w:pPr>
              <w:ind w:left="3260"/>
              <w:spacing w:after="0"/>
              <w:rPr>
                <w:sz w:val="20"/>
                <w:szCs w:val="20"/>
                <w:color w:val="auto"/>
              </w:rPr>
            </w:pPr>
            <w:r>
              <w:rPr>
                <w:rFonts w:ascii="Arial" w:cs="Arial" w:eastAsia="Arial" w:hAnsi="Arial"/>
                <w:sz w:val="16"/>
                <w:szCs w:val="16"/>
                <w:color w:val="auto"/>
              </w:rPr>
              <w:t>3</w:t>
            </w:r>
          </w:p>
        </w:tc>
      </w:tr>
      <w:tr>
        <w:trPr>
          <w:trHeight w:val="54"/>
        </w:trPr>
        <w:tc>
          <w:tcPr>
            <w:tcW w:w="2420" w:type="dxa"/>
            <w:vAlign w:val="bottom"/>
            <w:tcBorders>
              <w:bottom w:val="single" w:sz="8" w:color="auto"/>
            </w:tcBorders>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79" w:right="219" w:bottom="1440" w:gutter="0" w:footer="0" w:header="0"/>
        </w:sectPr>
      </w:pPr>
    </w:p>
    <w:bookmarkStart w:id="385" w:name="page386"/>
    <w:bookmarkEnd w:id="385"/>
    <w:p>
      <w:pPr>
        <w:ind w:left="443" w:hanging="443"/>
        <w:spacing w:after="0"/>
        <w:tabs>
          <w:tab w:leader="none" w:pos="443" w:val="left"/>
        </w:tabs>
        <w:numPr>
          <w:ilvl w:val="0"/>
          <w:numId w:val="359"/>
        </w:numPr>
        <w:rPr>
          <w:rFonts w:ascii="Arial" w:cs="Arial" w:eastAsia="Arial" w:hAnsi="Arial"/>
          <w:sz w:val="16"/>
          <w:szCs w:val="16"/>
          <w:b w:val="1"/>
          <w:bCs w:val="1"/>
          <w:color w:val="auto"/>
        </w:rPr>
      </w:pPr>
      <w:r>
        <w:rPr>
          <w:rFonts w:ascii="Arial" w:cs="Arial" w:eastAsia="Arial" w:hAnsi="Arial"/>
          <w:sz w:val="16"/>
          <w:szCs w:val="16"/>
          <w:b w:val="1"/>
          <w:bCs w:val="1"/>
          <w:color w:val="auto"/>
        </w:rPr>
        <w:t>License and Option</w:t>
      </w:r>
    </w:p>
    <w:p>
      <w:pPr>
        <w:spacing w:after="0" w:line="258" w:lineRule="exact"/>
        <w:rPr>
          <w:sz w:val="20"/>
          <w:szCs w:val="20"/>
          <w:color w:val="auto"/>
        </w:rPr>
      </w:pPr>
    </w:p>
    <w:p>
      <w:pPr>
        <w:ind w:left="3"/>
        <w:spacing w:after="0"/>
        <w:tabs>
          <w:tab w:leader="none" w:pos="422"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i w:val="1"/>
          <w:iCs w:val="1"/>
          <w:color w:val="auto"/>
        </w:rPr>
        <w:t xml:space="preserve">Grant of License and Option. </w:t>
      </w:r>
      <w:r>
        <w:rPr>
          <w:rFonts w:ascii="Arial" w:cs="Arial" w:eastAsia="Arial" w:hAnsi="Arial"/>
          <w:sz w:val="14"/>
          <w:szCs w:val="14"/>
          <w:color w:val="auto"/>
        </w:rPr>
        <w:t>For the</w:t>
      </w:r>
      <w:r>
        <w:rPr>
          <w:rFonts w:ascii="Arial" w:cs="Arial" w:eastAsia="Arial" w:hAnsi="Arial"/>
          <w:sz w:val="14"/>
          <w:szCs w:val="14"/>
          <w:i w:val="1"/>
          <w:iCs w:val="1"/>
          <w:color w:val="auto"/>
        </w:rPr>
        <w:t xml:space="preserve"> Term</w:t>
      </w:r>
      <w:r>
        <w:rPr>
          <w:rFonts w:ascii="Arial" w:cs="Arial" w:eastAsia="Arial" w:hAnsi="Arial"/>
          <w:sz w:val="14"/>
          <w:szCs w:val="14"/>
          <w:color w:val="auto"/>
        </w:rPr>
        <w:t>, and subject to the provisions of this Agreement,</w:t>
      </w:r>
      <w:r>
        <w:rPr>
          <w:rFonts w:ascii="Arial" w:cs="Arial" w:eastAsia="Arial" w:hAnsi="Arial"/>
          <w:sz w:val="14"/>
          <w:szCs w:val="14"/>
          <w:i w:val="1"/>
          <w:iCs w:val="1"/>
          <w:color w:val="auto"/>
        </w:rPr>
        <w:t xml:space="preserve"> KBL </w:t>
      </w:r>
      <w:r>
        <w:rPr>
          <w:rFonts w:ascii="Arial" w:cs="Arial" w:eastAsia="Arial" w:hAnsi="Arial"/>
          <w:sz w:val="14"/>
          <w:szCs w:val="14"/>
          <w:color w:val="auto"/>
        </w:rPr>
        <w:t>hereby grants to</w:t>
      </w:r>
      <w:r>
        <w:rPr>
          <w:rFonts w:ascii="Arial" w:cs="Arial" w:eastAsia="Arial" w:hAnsi="Arial"/>
          <w:sz w:val="14"/>
          <w:szCs w:val="14"/>
          <w:i w:val="1"/>
          <w:iCs w:val="1"/>
          <w:color w:val="auto"/>
        </w:rPr>
        <w:t xml:space="preserve"> Agalimmune</w:t>
      </w:r>
      <w:r>
        <w:rPr>
          <w:rFonts w:ascii="Arial" w:cs="Arial" w:eastAsia="Arial" w:hAnsi="Arial"/>
          <w:sz w:val="14"/>
          <w:szCs w:val="14"/>
          <w:color w:val="auto"/>
        </w:rPr>
        <w:t>:</w:t>
      </w:r>
    </w:p>
    <w:p>
      <w:pPr>
        <w:spacing w:after="0" w:line="254" w:lineRule="exact"/>
        <w:rPr>
          <w:sz w:val="20"/>
          <w:szCs w:val="20"/>
          <w:color w:val="auto"/>
        </w:rPr>
      </w:pPr>
    </w:p>
    <w:p>
      <w:pPr>
        <w:ind w:left="903" w:right="20" w:hanging="452"/>
        <w:spacing w:after="0" w:line="283" w:lineRule="auto"/>
        <w:tabs>
          <w:tab w:leader="none" w:pos="903"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A worldwide, exclusive, non-sublicensable, non-transferable license under the </w:t>
      </w:r>
      <w:r>
        <w:rPr>
          <w:rFonts w:ascii="Arial" w:cs="Arial" w:eastAsia="Arial" w:hAnsi="Arial"/>
          <w:sz w:val="16"/>
          <w:szCs w:val="16"/>
          <w:i w:val="1"/>
          <w:iCs w:val="1"/>
          <w:color w:val="auto"/>
        </w:rPr>
        <w:t>Licensed Patents</w:t>
      </w:r>
      <w:r>
        <w:rPr>
          <w:rFonts w:ascii="Arial" w:cs="Arial" w:eastAsia="Arial" w:hAnsi="Arial"/>
          <w:sz w:val="16"/>
          <w:szCs w:val="16"/>
          <w:color w:val="auto"/>
        </w:rPr>
        <w:t xml:space="preserve"> to </w:t>
      </w:r>
      <w:r>
        <w:rPr>
          <w:rFonts w:ascii="Arial" w:cs="Arial" w:eastAsia="Arial" w:hAnsi="Arial"/>
          <w:sz w:val="16"/>
          <w:szCs w:val="16"/>
          <w:i w:val="1"/>
          <w:iCs w:val="1"/>
          <w:color w:val="auto"/>
        </w:rPr>
        <w:t>Evaluate</w:t>
      </w:r>
      <w:r>
        <w:rPr>
          <w:rFonts w:ascii="Arial" w:cs="Arial" w:eastAsia="Arial" w:hAnsi="Arial"/>
          <w:sz w:val="16"/>
          <w:szCs w:val="16"/>
          <w:color w:val="auto"/>
        </w:rPr>
        <w:t xml:space="preserve"> the use of </w:t>
      </w:r>
      <w:r>
        <w:rPr>
          <w:rFonts w:ascii="Arial" w:cs="Arial" w:eastAsia="Arial" w:hAnsi="Arial"/>
          <w:sz w:val="16"/>
          <w:szCs w:val="16"/>
          <w:i w:val="1"/>
          <w:iCs w:val="1"/>
          <w:color w:val="auto"/>
        </w:rPr>
        <w:t>KODE™ Technology</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KODE™ Know-How </w:t>
      </w:r>
      <w:r>
        <w:rPr>
          <w:rFonts w:ascii="Arial" w:cs="Arial" w:eastAsia="Arial" w:hAnsi="Arial"/>
          <w:sz w:val="16"/>
          <w:szCs w:val="16"/>
          <w:color w:val="auto"/>
        </w:rPr>
        <w:t>in the</w:t>
      </w:r>
      <w:r>
        <w:rPr>
          <w:rFonts w:ascii="Arial" w:cs="Arial" w:eastAsia="Arial" w:hAnsi="Arial"/>
          <w:sz w:val="16"/>
          <w:szCs w:val="16"/>
          <w:i w:val="1"/>
          <w:iCs w:val="1"/>
          <w:color w:val="auto"/>
        </w:rPr>
        <w:t xml:space="preserve"> Field (</w:t>
      </w:r>
      <w:r>
        <w:rPr>
          <w:rFonts w:ascii="Arial" w:cs="Arial" w:eastAsia="Arial" w:hAnsi="Arial"/>
          <w:sz w:val="16"/>
          <w:szCs w:val="16"/>
          <w:color w:val="auto"/>
        </w:rPr>
        <w:t>the</w:t>
      </w:r>
      <w:r>
        <w:rPr>
          <w:rFonts w:ascii="Arial" w:cs="Arial" w:eastAsia="Arial" w:hAnsi="Arial"/>
          <w:sz w:val="16"/>
          <w:szCs w:val="16"/>
          <w:i w:val="1"/>
          <w:iCs w:val="1"/>
          <w:color w:val="auto"/>
        </w:rPr>
        <w:t xml:space="preserve"> Evaluation Licence)</w:t>
      </w:r>
      <w:r>
        <w:rPr>
          <w:rFonts w:ascii="Arial" w:cs="Arial" w:eastAsia="Arial" w:hAnsi="Arial"/>
          <w:sz w:val="16"/>
          <w:szCs w:val="16"/>
          <w:color w:val="auto"/>
        </w:rPr>
        <w:t>; and</w:t>
      </w:r>
    </w:p>
    <w:p>
      <w:pPr>
        <w:spacing w:after="0" w:line="199" w:lineRule="exact"/>
        <w:rPr>
          <w:rFonts w:ascii="Arial" w:cs="Arial" w:eastAsia="Arial" w:hAnsi="Arial"/>
          <w:sz w:val="16"/>
          <w:szCs w:val="16"/>
          <w:color w:val="auto"/>
        </w:rPr>
      </w:pPr>
    </w:p>
    <w:p>
      <w:pPr>
        <w:ind w:left="903" w:hanging="452"/>
        <w:spacing w:after="0"/>
        <w:tabs>
          <w:tab w:leader="none" w:pos="903"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An exclusive right to require </w:t>
      </w:r>
      <w:r>
        <w:rPr>
          <w:rFonts w:ascii="Arial" w:cs="Arial" w:eastAsia="Arial" w:hAnsi="Arial"/>
          <w:sz w:val="16"/>
          <w:szCs w:val="16"/>
          <w:i w:val="1"/>
          <w:iCs w:val="1"/>
          <w:color w:val="auto"/>
        </w:rPr>
        <w:t>KBL</w:t>
      </w:r>
      <w:r>
        <w:rPr>
          <w:rFonts w:ascii="Arial" w:cs="Arial" w:eastAsia="Arial" w:hAnsi="Arial"/>
          <w:sz w:val="16"/>
          <w:szCs w:val="16"/>
          <w:color w:val="auto"/>
        </w:rPr>
        <w:t xml:space="preserve"> to grant the </w:t>
      </w:r>
      <w:r>
        <w:rPr>
          <w:rFonts w:ascii="Arial" w:cs="Arial" w:eastAsia="Arial" w:hAnsi="Arial"/>
          <w:sz w:val="16"/>
          <w:szCs w:val="16"/>
          <w:i w:val="1"/>
          <w:iCs w:val="1"/>
          <w:color w:val="auto"/>
        </w:rPr>
        <w:t>Exploitation License</w:t>
      </w:r>
      <w:r>
        <w:rPr>
          <w:rFonts w:ascii="Arial" w:cs="Arial" w:eastAsia="Arial" w:hAnsi="Arial"/>
          <w:sz w:val="16"/>
          <w:szCs w:val="16"/>
          <w:color w:val="auto"/>
        </w:rPr>
        <w:t xml:space="preserve"> to </w:t>
      </w:r>
      <w:r>
        <w:rPr>
          <w:rFonts w:ascii="Arial" w:cs="Arial" w:eastAsia="Arial" w:hAnsi="Arial"/>
          <w:sz w:val="16"/>
          <w:szCs w:val="16"/>
          <w:i w:val="1"/>
          <w:iCs w:val="1"/>
          <w:color w:val="auto"/>
        </w:rPr>
        <w:t>Agalimmune</w:t>
      </w:r>
      <w:r>
        <w:rPr>
          <w:rFonts w:ascii="Arial" w:cs="Arial" w:eastAsia="Arial" w:hAnsi="Arial"/>
          <w:sz w:val="16"/>
          <w:szCs w:val="16"/>
          <w:color w:val="auto"/>
        </w:rPr>
        <w:t xml:space="preserve"> (the </w:t>
      </w:r>
      <w:r>
        <w:rPr>
          <w:rFonts w:ascii="Arial" w:cs="Arial" w:eastAsia="Arial" w:hAnsi="Arial"/>
          <w:sz w:val="16"/>
          <w:szCs w:val="16"/>
          <w:i w:val="1"/>
          <w:iCs w:val="1"/>
          <w:color w:val="auto"/>
        </w:rPr>
        <w:t>Option</w:t>
      </w:r>
      <w:r>
        <w:rPr>
          <w:rFonts w:ascii="Arial" w:cs="Arial" w:eastAsia="Arial" w:hAnsi="Arial"/>
          <w:sz w:val="16"/>
          <w:szCs w:val="16"/>
          <w:color w:val="auto"/>
        </w:rPr>
        <w:t>).</w:t>
      </w:r>
    </w:p>
    <w:p>
      <w:pPr>
        <w:spacing w:after="0" w:line="254" w:lineRule="exact"/>
        <w:rPr>
          <w:sz w:val="20"/>
          <w:szCs w:val="20"/>
          <w:color w:val="auto"/>
        </w:rPr>
      </w:pPr>
    </w:p>
    <w:p>
      <w:pPr>
        <w:ind w:left="443" w:hanging="450"/>
        <w:spacing w:after="0" w:line="268" w:lineRule="auto"/>
        <w:tabs>
          <w:tab w:leader="none" w:pos="422"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i w:val="1"/>
          <w:iCs w:val="1"/>
          <w:color w:val="auto"/>
        </w:rPr>
        <w:t xml:space="preserve">Exercise of Option. KBL </w:t>
      </w:r>
      <w:r>
        <w:rPr>
          <w:rFonts w:ascii="Arial" w:cs="Arial" w:eastAsia="Arial" w:hAnsi="Arial"/>
          <w:sz w:val="16"/>
          <w:szCs w:val="16"/>
          <w:color w:val="auto"/>
        </w:rPr>
        <w:t>agrees that if during the</w:t>
      </w:r>
      <w:r>
        <w:rPr>
          <w:rFonts w:ascii="Arial" w:cs="Arial" w:eastAsia="Arial" w:hAnsi="Arial"/>
          <w:sz w:val="16"/>
          <w:szCs w:val="16"/>
          <w:i w:val="1"/>
          <w:iCs w:val="1"/>
          <w:color w:val="auto"/>
        </w:rPr>
        <w:t xml:space="preserve"> Term Agalimmune </w:t>
      </w:r>
      <w:r>
        <w:rPr>
          <w:rFonts w:ascii="Arial" w:cs="Arial" w:eastAsia="Arial" w:hAnsi="Arial"/>
          <w:sz w:val="16"/>
          <w:szCs w:val="16"/>
          <w:color w:val="auto"/>
        </w:rPr>
        <w:t>delivers notice in writing exercising the Option referred to in Clause 2.1(b) (</w:t>
      </w:r>
      <w:r>
        <w:rPr>
          <w:rFonts w:ascii="Arial" w:cs="Arial" w:eastAsia="Arial" w:hAnsi="Arial"/>
          <w:sz w:val="16"/>
          <w:szCs w:val="16"/>
          <w:i w:val="1"/>
          <w:iCs w:val="1"/>
          <w:color w:val="auto"/>
        </w:rPr>
        <w:t>Option Exercise Notice</w:t>
      </w:r>
      <w:r>
        <w:rPr>
          <w:rFonts w:ascii="Arial" w:cs="Arial" w:eastAsia="Arial" w:hAnsi="Arial"/>
          <w:sz w:val="16"/>
          <w:szCs w:val="16"/>
          <w:color w:val="auto"/>
        </w:rPr>
        <w:t>) KBL will be deemed to have granted the</w:t>
      </w:r>
      <w:r>
        <w:rPr>
          <w:rFonts w:ascii="Arial" w:cs="Arial" w:eastAsia="Arial" w:hAnsi="Arial"/>
          <w:sz w:val="16"/>
          <w:szCs w:val="16"/>
          <w:i w:val="1"/>
          <w:iCs w:val="1"/>
          <w:color w:val="auto"/>
        </w:rPr>
        <w:t xml:space="preserve"> Exploitation Licence </w:t>
      </w:r>
      <w:r>
        <w:rPr>
          <w:rFonts w:ascii="Arial" w:cs="Arial" w:eastAsia="Arial" w:hAnsi="Arial"/>
          <w:sz w:val="16"/>
          <w:szCs w:val="16"/>
          <w:color w:val="auto"/>
        </w:rPr>
        <w:t>upon, and with immediate effect from, delivery of such notice. Within [*] days following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Option Exercise Notice:</w:t>
      </w:r>
    </w:p>
    <w:p>
      <w:pPr>
        <w:spacing w:after="0" w:line="212" w:lineRule="exact"/>
        <w:rPr>
          <w:sz w:val="20"/>
          <w:szCs w:val="20"/>
          <w:color w:val="auto"/>
        </w:rPr>
      </w:pPr>
    </w:p>
    <w:p>
      <w:pPr>
        <w:ind w:left="903" w:hanging="452"/>
        <w:spacing w:after="0"/>
        <w:tabs>
          <w:tab w:leader="none" w:pos="903" w:val="left"/>
        </w:tabs>
        <w:numPr>
          <w:ilvl w:val="0"/>
          <w:numId w:val="361"/>
        </w:numPr>
        <w:rPr>
          <w:rFonts w:ascii="Arial" w:cs="Arial" w:eastAsia="Arial" w:hAnsi="Arial"/>
          <w:sz w:val="16"/>
          <w:szCs w:val="16"/>
          <w:color w:val="auto"/>
        </w:rPr>
      </w:pPr>
      <w:r>
        <w:rPr>
          <w:rFonts w:ascii="Arial" w:cs="Arial" w:eastAsia="Arial" w:hAnsi="Arial"/>
          <w:sz w:val="16"/>
          <w:szCs w:val="16"/>
          <w:i w:val="1"/>
          <w:iCs w:val="1"/>
          <w:color w:val="auto"/>
        </w:rPr>
        <w:t xml:space="preserve">Agalimmune </w:t>
      </w:r>
      <w:r>
        <w:rPr>
          <w:rFonts w:ascii="Arial" w:cs="Arial" w:eastAsia="Arial" w:hAnsi="Arial"/>
          <w:sz w:val="16"/>
          <w:szCs w:val="16"/>
          <w:color w:val="auto"/>
        </w:rPr>
        <w:t>shall make payment of the Option Exercise Fee; and</w:t>
      </w:r>
    </w:p>
    <w:p>
      <w:pPr>
        <w:spacing w:after="0" w:line="254" w:lineRule="exact"/>
        <w:rPr>
          <w:rFonts w:ascii="Arial" w:cs="Arial" w:eastAsia="Arial" w:hAnsi="Arial"/>
          <w:sz w:val="16"/>
          <w:szCs w:val="16"/>
          <w:color w:val="auto"/>
        </w:rPr>
      </w:pPr>
    </w:p>
    <w:p>
      <w:pPr>
        <w:ind w:left="903" w:hanging="452"/>
        <w:spacing w:after="0"/>
        <w:tabs>
          <w:tab w:leader="none" w:pos="903"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Parties shall exchange an executed written form of the Exploitation Licence.</w:t>
      </w:r>
    </w:p>
    <w:p>
      <w:pPr>
        <w:spacing w:after="0" w:line="254" w:lineRule="exact"/>
        <w:rPr>
          <w:sz w:val="20"/>
          <w:szCs w:val="20"/>
          <w:color w:val="auto"/>
        </w:rPr>
      </w:pPr>
    </w:p>
    <w:p>
      <w:pPr>
        <w:ind w:left="3"/>
        <w:spacing w:after="0"/>
        <w:tabs>
          <w:tab w:leader="none" w:pos="42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i w:val="1"/>
          <w:iCs w:val="1"/>
          <w:color w:val="auto"/>
        </w:rPr>
        <w:t xml:space="preserve">Term of Option. </w:t>
      </w:r>
      <w:r>
        <w:rPr>
          <w:rFonts w:ascii="Arial" w:cs="Arial" w:eastAsia="Arial" w:hAnsi="Arial"/>
          <w:sz w:val="15"/>
          <w:szCs w:val="15"/>
          <w:color w:val="auto"/>
        </w:rPr>
        <w:t>If Agalimmune fails to deliver the Option Exercise Notice referred to in Clause 2.2 during the</w:t>
      </w:r>
      <w:r>
        <w:rPr>
          <w:rFonts w:ascii="Arial" w:cs="Arial" w:eastAsia="Arial" w:hAnsi="Arial"/>
          <w:sz w:val="15"/>
          <w:szCs w:val="15"/>
          <w:i w:val="1"/>
          <w:iCs w:val="1"/>
          <w:color w:val="auto"/>
        </w:rPr>
        <w:t xml:space="preserve"> Term</w:t>
      </w:r>
      <w:r>
        <w:rPr>
          <w:rFonts w:ascii="Arial" w:cs="Arial" w:eastAsia="Arial" w:hAnsi="Arial"/>
          <w:sz w:val="15"/>
          <w:szCs w:val="15"/>
          <w:color w:val="auto"/>
        </w:rPr>
        <w:t>, the</w:t>
      </w:r>
      <w:r>
        <w:rPr>
          <w:rFonts w:ascii="Arial" w:cs="Arial" w:eastAsia="Arial" w:hAnsi="Arial"/>
          <w:sz w:val="15"/>
          <w:szCs w:val="15"/>
          <w:i w:val="1"/>
          <w:iCs w:val="1"/>
          <w:color w:val="auto"/>
        </w:rPr>
        <w:t xml:space="preserve"> Option </w:t>
      </w:r>
      <w:r>
        <w:rPr>
          <w:rFonts w:ascii="Arial" w:cs="Arial" w:eastAsia="Arial" w:hAnsi="Arial"/>
          <w:sz w:val="15"/>
          <w:szCs w:val="15"/>
          <w:color w:val="auto"/>
        </w:rPr>
        <w:t>will lapse.</w:t>
      </w:r>
    </w:p>
    <w:p>
      <w:pPr>
        <w:spacing w:after="0" w:line="254" w:lineRule="exact"/>
        <w:rPr>
          <w:sz w:val="20"/>
          <w:szCs w:val="20"/>
          <w:color w:val="auto"/>
        </w:rPr>
      </w:pPr>
    </w:p>
    <w:p>
      <w:pPr>
        <w:ind w:left="443" w:hanging="450"/>
        <w:spacing w:after="0" w:line="261" w:lineRule="auto"/>
        <w:tabs>
          <w:tab w:leader="none" w:pos="422"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i w:val="1"/>
          <w:iCs w:val="1"/>
          <w:color w:val="auto"/>
        </w:rPr>
        <w:t xml:space="preserve">Negotiations with Third Parties. </w:t>
      </w:r>
      <w:r>
        <w:rPr>
          <w:rFonts w:ascii="Arial" w:cs="Arial" w:eastAsia="Arial" w:hAnsi="Arial"/>
          <w:sz w:val="16"/>
          <w:szCs w:val="16"/>
          <w:color w:val="auto"/>
        </w:rPr>
        <w:t>If the</w:t>
      </w:r>
      <w:r>
        <w:rPr>
          <w:rFonts w:ascii="Arial" w:cs="Arial" w:eastAsia="Arial" w:hAnsi="Arial"/>
          <w:sz w:val="16"/>
          <w:szCs w:val="16"/>
          <w:i w:val="1"/>
          <w:iCs w:val="1"/>
          <w:color w:val="auto"/>
        </w:rPr>
        <w:t xml:space="preserve"> Option </w:t>
      </w:r>
      <w:r>
        <w:rPr>
          <w:rFonts w:ascii="Arial" w:cs="Arial" w:eastAsia="Arial" w:hAnsi="Arial"/>
          <w:sz w:val="16"/>
          <w:szCs w:val="16"/>
          <w:color w:val="auto"/>
        </w:rPr>
        <w:t>lapses in accordance with Clause 2.3,</w:t>
      </w:r>
      <w:r>
        <w:rPr>
          <w:rFonts w:ascii="Arial" w:cs="Arial" w:eastAsia="Arial" w:hAnsi="Arial"/>
          <w:sz w:val="16"/>
          <w:szCs w:val="16"/>
          <w:i w:val="1"/>
          <w:iCs w:val="1"/>
          <w:color w:val="auto"/>
        </w:rPr>
        <w:t xml:space="preserve"> KBL </w:t>
      </w:r>
      <w:r>
        <w:rPr>
          <w:rFonts w:ascii="Arial" w:cs="Arial" w:eastAsia="Arial" w:hAnsi="Arial"/>
          <w:sz w:val="16"/>
          <w:szCs w:val="16"/>
          <w:color w:val="auto"/>
        </w:rPr>
        <w:t>shall not within [*] year after the end of the</w:t>
      </w:r>
      <w:r>
        <w:rPr>
          <w:rFonts w:ascii="Arial" w:cs="Arial" w:eastAsia="Arial" w:hAnsi="Arial"/>
          <w:sz w:val="16"/>
          <w:szCs w:val="16"/>
          <w:i w:val="1"/>
          <w:iCs w:val="1"/>
          <w:color w:val="auto"/>
        </w:rPr>
        <w:t xml:space="preserve"> Term </w:t>
      </w:r>
      <w:r>
        <w:rPr>
          <w:rFonts w:ascii="Arial" w:cs="Arial" w:eastAsia="Arial" w:hAnsi="Arial"/>
          <w:sz w:val="16"/>
          <w:szCs w:val="16"/>
          <w:color w:val="auto"/>
        </w:rPr>
        <w:t>enter into a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with a </w:t>
      </w:r>
      <w:r>
        <w:rPr>
          <w:rFonts w:ascii="Arial" w:cs="Arial" w:eastAsia="Arial" w:hAnsi="Arial"/>
          <w:sz w:val="16"/>
          <w:szCs w:val="16"/>
          <w:i w:val="1"/>
          <w:iCs w:val="1"/>
          <w:color w:val="auto"/>
        </w:rPr>
        <w:t>Third Party</w:t>
      </w:r>
      <w:r>
        <w:rPr>
          <w:rFonts w:ascii="Arial" w:cs="Arial" w:eastAsia="Arial" w:hAnsi="Arial"/>
          <w:sz w:val="16"/>
          <w:szCs w:val="16"/>
          <w:color w:val="auto"/>
        </w:rPr>
        <w:t xml:space="preserve"> on terms equally or more favourable to the </w:t>
      </w:r>
      <w:r>
        <w:rPr>
          <w:rFonts w:ascii="Arial" w:cs="Arial" w:eastAsia="Arial" w:hAnsi="Arial"/>
          <w:sz w:val="16"/>
          <w:szCs w:val="16"/>
          <w:i w:val="1"/>
          <w:iCs w:val="1"/>
          <w:color w:val="auto"/>
        </w:rPr>
        <w:t>Third Party</w:t>
      </w:r>
      <w:r>
        <w:rPr>
          <w:rFonts w:ascii="Arial" w:cs="Arial" w:eastAsia="Arial" w:hAnsi="Arial"/>
          <w:sz w:val="16"/>
          <w:szCs w:val="16"/>
          <w:color w:val="auto"/>
        </w:rPr>
        <w:t xml:space="preserve"> than the terms that </w:t>
      </w:r>
      <w:r>
        <w:rPr>
          <w:rFonts w:ascii="Arial" w:cs="Arial" w:eastAsia="Arial" w:hAnsi="Arial"/>
          <w:sz w:val="16"/>
          <w:szCs w:val="16"/>
          <w:i w:val="1"/>
          <w:iCs w:val="1"/>
          <w:color w:val="auto"/>
        </w:rPr>
        <w:t>KBL</w:t>
      </w:r>
      <w:r>
        <w:rPr>
          <w:rFonts w:ascii="Arial" w:cs="Arial" w:eastAsia="Arial" w:hAnsi="Arial"/>
          <w:sz w:val="16"/>
          <w:szCs w:val="16"/>
          <w:color w:val="auto"/>
        </w:rPr>
        <w:t xml:space="preserve"> had offered to </w:t>
      </w:r>
      <w:r>
        <w:rPr>
          <w:rFonts w:ascii="Arial" w:cs="Arial" w:eastAsia="Arial" w:hAnsi="Arial"/>
          <w:sz w:val="16"/>
          <w:szCs w:val="16"/>
          <w:i w:val="1"/>
          <w:iCs w:val="1"/>
          <w:color w:val="auto"/>
        </w:rPr>
        <w:t>Agalimmune</w:t>
      </w:r>
      <w:r>
        <w:rPr>
          <w:rFonts w:ascii="Arial" w:cs="Arial" w:eastAsia="Arial" w:hAnsi="Arial"/>
          <w:sz w:val="16"/>
          <w:szCs w:val="16"/>
          <w:color w:val="auto"/>
        </w:rPr>
        <w:t xml:space="preserve">, without first offering the same terms to </w:t>
      </w:r>
      <w:r>
        <w:rPr>
          <w:rFonts w:ascii="Arial" w:cs="Arial" w:eastAsia="Arial" w:hAnsi="Arial"/>
          <w:sz w:val="16"/>
          <w:szCs w:val="16"/>
          <w:i w:val="1"/>
          <w:iCs w:val="1"/>
          <w:color w:val="auto"/>
        </w:rPr>
        <w:t>Agalimmune</w:t>
      </w:r>
      <w:r>
        <w:rPr>
          <w:rFonts w:ascii="Arial" w:cs="Arial" w:eastAsia="Arial" w:hAnsi="Arial"/>
          <w:sz w:val="16"/>
          <w:szCs w:val="16"/>
          <w:color w:val="auto"/>
        </w:rPr>
        <w:t xml:space="preserve">. If </w:t>
      </w:r>
      <w:r>
        <w:rPr>
          <w:rFonts w:ascii="Arial" w:cs="Arial" w:eastAsia="Arial" w:hAnsi="Arial"/>
          <w:sz w:val="16"/>
          <w:szCs w:val="16"/>
          <w:i w:val="1"/>
          <w:iCs w:val="1"/>
          <w:color w:val="auto"/>
        </w:rPr>
        <w:t>KBL</w:t>
      </w:r>
      <w:r>
        <w:rPr>
          <w:rFonts w:ascii="Arial" w:cs="Arial" w:eastAsia="Arial" w:hAnsi="Arial"/>
          <w:sz w:val="16"/>
          <w:szCs w:val="16"/>
          <w:color w:val="auto"/>
        </w:rPr>
        <w:t xml:space="preserve"> wishes to enter into such a license agreement with a </w:t>
      </w:r>
      <w:r>
        <w:rPr>
          <w:rFonts w:ascii="Arial" w:cs="Arial" w:eastAsia="Arial" w:hAnsi="Arial"/>
          <w:sz w:val="16"/>
          <w:szCs w:val="16"/>
          <w:i w:val="1"/>
          <w:iCs w:val="1"/>
          <w:color w:val="auto"/>
        </w:rPr>
        <w:t>Third Party</w:t>
      </w:r>
      <w:r>
        <w:rPr>
          <w:rFonts w:ascii="Arial" w:cs="Arial" w:eastAsia="Arial" w:hAnsi="Arial"/>
          <w:sz w:val="16"/>
          <w:szCs w:val="16"/>
          <w:color w:val="auto"/>
        </w:rPr>
        <w:t xml:space="preserve">, it must first offer the same terms to </w:t>
      </w:r>
      <w:r>
        <w:rPr>
          <w:rFonts w:ascii="Arial" w:cs="Arial" w:eastAsia="Arial" w:hAnsi="Arial"/>
          <w:sz w:val="16"/>
          <w:szCs w:val="16"/>
          <w:i w:val="1"/>
          <w:iCs w:val="1"/>
          <w:color w:val="auto"/>
        </w:rPr>
        <w:t>Agalimmune</w:t>
      </w:r>
      <w:r>
        <w:rPr>
          <w:rFonts w:ascii="Arial" w:cs="Arial" w:eastAsia="Arial" w:hAnsi="Arial"/>
          <w:sz w:val="16"/>
          <w:szCs w:val="16"/>
          <w:color w:val="auto"/>
        </w:rPr>
        <w:t xml:space="preserve">, which shall have [*] days in which to notify </w:t>
      </w:r>
      <w:r>
        <w:rPr>
          <w:rFonts w:ascii="Arial" w:cs="Arial" w:eastAsia="Arial" w:hAnsi="Arial"/>
          <w:sz w:val="16"/>
          <w:szCs w:val="16"/>
          <w:i w:val="1"/>
          <w:iCs w:val="1"/>
          <w:color w:val="auto"/>
        </w:rPr>
        <w:t>KBL</w:t>
      </w:r>
      <w:r>
        <w:rPr>
          <w:rFonts w:ascii="Arial" w:cs="Arial" w:eastAsia="Arial" w:hAnsi="Arial"/>
          <w:sz w:val="16"/>
          <w:szCs w:val="16"/>
          <w:color w:val="auto"/>
        </w:rPr>
        <w:t xml:space="preserve"> of its acceptance or rejection of the offer in writing. If </w:t>
      </w:r>
      <w:r>
        <w:rPr>
          <w:rFonts w:ascii="Arial" w:cs="Arial" w:eastAsia="Arial" w:hAnsi="Arial"/>
          <w:sz w:val="16"/>
          <w:szCs w:val="16"/>
          <w:i w:val="1"/>
          <w:iCs w:val="1"/>
          <w:color w:val="auto"/>
        </w:rPr>
        <w:t>Agalimmune</w:t>
      </w:r>
      <w:r>
        <w:rPr>
          <w:rFonts w:ascii="Arial" w:cs="Arial" w:eastAsia="Arial" w:hAnsi="Arial"/>
          <w:sz w:val="16"/>
          <w:szCs w:val="16"/>
          <w:color w:val="auto"/>
        </w:rPr>
        <w:t xml:space="preserve"> accepts the offer, the </w:t>
      </w:r>
      <w:r>
        <w:rPr>
          <w:rFonts w:ascii="Arial" w:cs="Arial" w:eastAsia="Arial" w:hAnsi="Arial"/>
          <w:sz w:val="16"/>
          <w:szCs w:val="16"/>
          <w:i w:val="1"/>
          <w:iCs w:val="1"/>
          <w:color w:val="auto"/>
        </w:rPr>
        <w:t>Parties</w:t>
      </w:r>
      <w:r>
        <w:rPr>
          <w:rFonts w:ascii="Arial" w:cs="Arial" w:eastAsia="Arial" w:hAnsi="Arial"/>
          <w:sz w:val="16"/>
          <w:szCs w:val="16"/>
          <w:color w:val="auto"/>
        </w:rPr>
        <w:t xml:space="preserve"> shall immediately execute a license agreement between them on such terms.</w:t>
      </w:r>
    </w:p>
    <w:p>
      <w:pPr>
        <w:spacing w:after="0" w:line="213" w:lineRule="exact"/>
        <w:rPr>
          <w:sz w:val="20"/>
          <w:szCs w:val="20"/>
          <w:color w:val="auto"/>
        </w:rPr>
      </w:pPr>
    </w:p>
    <w:p>
      <w:pPr>
        <w:ind w:left="443" w:hanging="443"/>
        <w:spacing w:after="0"/>
        <w:tabs>
          <w:tab w:leader="none" w:pos="443" w:val="left"/>
        </w:tabs>
        <w:numPr>
          <w:ilvl w:val="0"/>
          <w:numId w:val="362"/>
        </w:numPr>
        <w:rPr>
          <w:rFonts w:ascii="Arial" w:cs="Arial" w:eastAsia="Arial" w:hAnsi="Arial"/>
          <w:sz w:val="16"/>
          <w:szCs w:val="16"/>
          <w:b w:val="1"/>
          <w:bCs w:val="1"/>
          <w:color w:val="auto"/>
        </w:rPr>
      </w:pPr>
      <w:r>
        <w:rPr>
          <w:rFonts w:ascii="Arial" w:cs="Arial" w:eastAsia="Arial" w:hAnsi="Arial"/>
          <w:sz w:val="16"/>
          <w:szCs w:val="16"/>
          <w:b w:val="1"/>
          <w:bCs w:val="1"/>
          <w:color w:val="auto"/>
        </w:rPr>
        <w:t>Consideration</w:t>
      </w:r>
    </w:p>
    <w:p>
      <w:pPr>
        <w:spacing w:after="0" w:line="258" w:lineRule="exact"/>
        <w:rPr>
          <w:sz w:val="20"/>
          <w:szCs w:val="20"/>
          <w:color w:val="auto"/>
        </w:rPr>
      </w:pPr>
    </w:p>
    <w:p>
      <w:pPr>
        <w:ind w:left="3"/>
        <w:spacing w:after="0"/>
        <w:tabs>
          <w:tab w:leader="none" w:pos="422"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i w:val="1"/>
          <w:iCs w:val="1"/>
          <w:color w:val="auto"/>
        </w:rPr>
        <w:t xml:space="preserve">Execution Fee. Agalimmune </w:t>
      </w:r>
      <w:r>
        <w:rPr>
          <w:rFonts w:ascii="Arial" w:cs="Arial" w:eastAsia="Arial" w:hAnsi="Arial"/>
          <w:sz w:val="14"/>
          <w:szCs w:val="14"/>
          <w:color w:val="auto"/>
        </w:rPr>
        <w:t>shall pay to</w:t>
      </w:r>
      <w:r>
        <w:rPr>
          <w:rFonts w:ascii="Arial" w:cs="Arial" w:eastAsia="Arial" w:hAnsi="Arial"/>
          <w:sz w:val="14"/>
          <w:szCs w:val="14"/>
          <w:i w:val="1"/>
          <w:iCs w:val="1"/>
          <w:color w:val="auto"/>
        </w:rPr>
        <w:t xml:space="preserve"> KBL </w:t>
      </w:r>
      <w:r>
        <w:rPr>
          <w:rFonts w:ascii="Arial" w:cs="Arial" w:eastAsia="Arial" w:hAnsi="Arial"/>
          <w:sz w:val="14"/>
          <w:szCs w:val="14"/>
          <w:color w:val="auto"/>
        </w:rPr>
        <w:t>the</w:t>
      </w:r>
      <w:r>
        <w:rPr>
          <w:rFonts w:ascii="Arial" w:cs="Arial" w:eastAsia="Arial" w:hAnsi="Arial"/>
          <w:sz w:val="14"/>
          <w:szCs w:val="14"/>
          <w:i w:val="1"/>
          <w:iCs w:val="1"/>
          <w:color w:val="auto"/>
        </w:rPr>
        <w:t xml:space="preserve"> Execution Fee </w:t>
      </w:r>
      <w:r>
        <w:rPr>
          <w:rFonts w:ascii="Arial" w:cs="Arial" w:eastAsia="Arial" w:hAnsi="Arial"/>
          <w:sz w:val="14"/>
          <w:szCs w:val="14"/>
          <w:color w:val="auto"/>
        </w:rPr>
        <w:t>within [*] days after the</w:t>
      </w:r>
      <w:r>
        <w:rPr>
          <w:rFonts w:ascii="Arial" w:cs="Arial" w:eastAsia="Arial" w:hAnsi="Arial"/>
          <w:sz w:val="14"/>
          <w:szCs w:val="14"/>
          <w:i w:val="1"/>
          <w:iCs w:val="1"/>
          <w:color w:val="auto"/>
        </w:rPr>
        <w:t xml:space="preserve"> Commencement Date </w:t>
      </w:r>
      <w:r>
        <w:rPr>
          <w:rFonts w:ascii="Arial" w:cs="Arial" w:eastAsia="Arial" w:hAnsi="Arial"/>
          <w:sz w:val="14"/>
          <w:szCs w:val="14"/>
          <w:color w:val="auto"/>
        </w:rPr>
        <w:t>of this Agreement.</w:t>
      </w:r>
    </w:p>
    <w:p>
      <w:pPr>
        <w:spacing w:after="0" w:line="254" w:lineRule="exact"/>
        <w:rPr>
          <w:sz w:val="20"/>
          <w:szCs w:val="20"/>
          <w:color w:val="auto"/>
        </w:rPr>
      </w:pPr>
    </w:p>
    <w:p>
      <w:pPr>
        <w:ind w:left="443" w:hanging="450"/>
        <w:spacing w:after="0" w:line="318" w:lineRule="auto"/>
        <w:tabs>
          <w:tab w:leader="none" w:pos="422"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i w:val="1"/>
          <w:iCs w:val="1"/>
          <w:color w:val="auto"/>
        </w:rPr>
        <w:t xml:space="preserve">Maintenance Fees. Agalimmune </w:t>
      </w:r>
      <w:r>
        <w:rPr>
          <w:rFonts w:ascii="Arial" w:cs="Arial" w:eastAsia="Arial" w:hAnsi="Arial"/>
          <w:sz w:val="15"/>
          <w:szCs w:val="15"/>
          <w:color w:val="auto"/>
        </w:rPr>
        <w:t>shall pay to</w:t>
      </w:r>
      <w:r>
        <w:rPr>
          <w:rFonts w:ascii="Arial" w:cs="Arial" w:eastAsia="Arial" w:hAnsi="Arial"/>
          <w:sz w:val="15"/>
          <w:szCs w:val="15"/>
          <w:i w:val="1"/>
          <w:iCs w:val="1"/>
          <w:color w:val="auto"/>
        </w:rPr>
        <w:t xml:space="preserve"> KBL </w:t>
      </w:r>
      <w:r>
        <w:rPr>
          <w:rFonts w:ascii="Arial" w:cs="Arial" w:eastAsia="Arial" w:hAnsi="Arial"/>
          <w:sz w:val="15"/>
          <w:szCs w:val="15"/>
          <w:color w:val="auto"/>
        </w:rPr>
        <w:t>a</w:t>
      </w:r>
      <w:r>
        <w:rPr>
          <w:rFonts w:ascii="Arial" w:cs="Arial" w:eastAsia="Arial" w:hAnsi="Arial"/>
          <w:sz w:val="15"/>
          <w:szCs w:val="15"/>
          <w:i w:val="1"/>
          <w:iCs w:val="1"/>
          <w:color w:val="auto"/>
        </w:rPr>
        <w:t xml:space="preserve"> Maintenance Fee </w:t>
      </w:r>
      <w:r>
        <w:rPr>
          <w:rFonts w:ascii="Arial" w:cs="Arial" w:eastAsia="Arial" w:hAnsi="Arial"/>
          <w:sz w:val="15"/>
          <w:szCs w:val="15"/>
          <w:color w:val="auto"/>
        </w:rPr>
        <w:t>within [*] days after each anniversary of the</w:t>
      </w:r>
      <w:r>
        <w:rPr>
          <w:rFonts w:ascii="Arial" w:cs="Arial" w:eastAsia="Arial" w:hAnsi="Arial"/>
          <w:sz w:val="15"/>
          <w:szCs w:val="15"/>
          <w:i w:val="1"/>
          <w:iCs w:val="1"/>
          <w:color w:val="auto"/>
        </w:rPr>
        <w:t xml:space="preserve"> Commencement Date </w:t>
      </w:r>
      <w:r>
        <w:rPr>
          <w:rFonts w:ascii="Arial" w:cs="Arial" w:eastAsia="Arial" w:hAnsi="Arial"/>
          <w:sz w:val="15"/>
          <w:szCs w:val="15"/>
          <w:color w:val="auto"/>
        </w:rPr>
        <w:t>occurring during the Term with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final </w:t>
      </w:r>
      <w:r>
        <w:rPr>
          <w:rFonts w:ascii="Arial" w:cs="Arial" w:eastAsia="Arial" w:hAnsi="Arial"/>
          <w:sz w:val="15"/>
          <w:szCs w:val="15"/>
          <w:i w:val="1"/>
          <w:iCs w:val="1"/>
          <w:color w:val="auto"/>
        </w:rPr>
        <w:t>Maintenance Fee</w:t>
      </w:r>
      <w:r>
        <w:rPr>
          <w:rFonts w:ascii="Arial" w:cs="Arial" w:eastAsia="Arial" w:hAnsi="Arial"/>
          <w:sz w:val="15"/>
          <w:szCs w:val="15"/>
          <w:color w:val="auto"/>
        </w:rPr>
        <w:t xml:space="preserve"> being adjusted pro rata temporis to the date of termination if terminated early and to be paid within [*] days after termination.</w:t>
      </w:r>
    </w:p>
    <w:p>
      <w:pPr>
        <w:spacing w:after="0" w:line="33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3" w:right="239" w:bottom="1440" w:gutter="0" w:footer="0" w:header="0"/>
        </w:sectPr>
      </w:pPr>
    </w:p>
    <w:bookmarkStart w:id="386" w:name="page387"/>
    <w:bookmarkEnd w:id="386"/>
    <w:p>
      <w:pPr>
        <w:ind w:left="443" w:right="560" w:hanging="450"/>
        <w:spacing w:after="0" w:line="283" w:lineRule="auto"/>
        <w:tabs>
          <w:tab w:leader="none" w:pos="422"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i w:val="1"/>
          <w:iCs w:val="1"/>
          <w:color w:val="auto"/>
        </w:rPr>
        <w:t>Research Reports</w:t>
      </w:r>
      <w:r>
        <w:rPr>
          <w:rFonts w:ascii="Arial" w:cs="Arial" w:eastAsia="Arial" w:hAnsi="Arial"/>
          <w:sz w:val="16"/>
          <w:szCs w:val="16"/>
          <w:color w:val="auto"/>
        </w:rPr>
        <w:t>.</w:t>
      </w:r>
      <w:r>
        <w:rPr>
          <w:rFonts w:ascii="Arial" w:cs="Arial" w:eastAsia="Arial" w:hAnsi="Arial"/>
          <w:sz w:val="16"/>
          <w:szCs w:val="16"/>
          <w:i w:val="1"/>
          <w:iCs w:val="1"/>
          <w:color w:val="auto"/>
        </w:rPr>
        <w:t xml:space="preserve"> Agalimmune </w:t>
      </w:r>
      <w:r>
        <w:rPr>
          <w:rFonts w:ascii="Arial" w:cs="Arial" w:eastAsia="Arial" w:hAnsi="Arial"/>
          <w:sz w:val="16"/>
          <w:szCs w:val="16"/>
          <w:color w:val="auto"/>
        </w:rPr>
        <w:t>shall provide to</w:t>
      </w:r>
      <w:r>
        <w:rPr>
          <w:rFonts w:ascii="Arial" w:cs="Arial" w:eastAsia="Arial" w:hAnsi="Arial"/>
          <w:sz w:val="16"/>
          <w:szCs w:val="16"/>
          <w:i w:val="1"/>
          <w:iCs w:val="1"/>
          <w:color w:val="auto"/>
        </w:rPr>
        <w:t xml:space="preserve"> KBL </w:t>
      </w:r>
      <w:r>
        <w:rPr>
          <w:rFonts w:ascii="Arial" w:cs="Arial" w:eastAsia="Arial" w:hAnsi="Arial"/>
          <w:sz w:val="16"/>
          <w:szCs w:val="16"/>
          <w:color w:val="auto"/>
        </w:rPr>
        <w:t>a first</w:t>
      </w:r>
      <w:r>
        <w:rPr>
          <w:rFonts w:ascii="Arial" w:cs="Arial" w:eastAsia="Arial" w:hAnsi="Arial"/>
          <w:sz w:val="16"/>
          <w:szCs w:val="16"/>
          <w:i w:val="1"/>
          <w:iCs w:val="1"/>
          <w:color w:val="auto"/>
        </w:rPr>
        <w:t xml:space="preserve"> Research Report </w:t>
      </w:r>
      <w:r>
        <w:rPr>
          <w:rFonts w:ascii="Arial" w:cs="Arial" w:eastAsia="Arial" w:hAnsi="Arial"/>
          <w:sz w:val="16"/>
          <w:szCs w:val="16"/>
          <w:color w:val="auto"/>
        </w:rPr>
        <w:t>within [*] months after the</w:t>
      </w:r>
      <w:r>
        <w:rPr>
          <w:rFonts w:ascii="Arial" w:cs="Arial" w:eastAsia="Arial" w:hAnsi="Arial"/>
          <w:sz w:val="16"/>
          <w:szCs w:val="16"/>
          <w:i w:val="1"/>
          <w:iCs w:val="1"/>
          <w:color w:val="auto"/>
        </w:rPr>
        <w:t xml:space="preserve"> Commencement Date </w:t>
      </w:r>
      <w:r>
        <w:rPr>
          <w:rFonts w:ascii="Arial" w:cs="Arial" w:eastAsia="Arial" w:hAnsi="Arial"/>
          <w:sz w:val="16"/>
          <w:szCs w:val="16"/>
          <w:color w:val="auto"/>
        </w:rPr>
        <w:t>and, during the</w:t>
      </w:r>
      <w:r>
        <w:rPr>
          <w:rFonts w:ascii="Arial" w:cs="Arial" w:eastAsia="Arial" w:hAnsi="Arial"/>
          <w:sz w:val="16"/>
          <w:szCs w:val="16"/>
          <w:i w:val="1"/>
          <w:iCs w:val="1"/>
          <w:color w:val="auto"/>
        </w:rPr>
        <w:t xml:space="preserve"> Term</w:t>
      </w:r>
      <w:r>
        <w:rPr>
          <w:rFonts w:ascii="Arial" w:cs="Arial" w:eastAsia="Arial" w:hAnsi="Arial"/>
          <w:sz w:val="16"/>
          <w:szCs w:val="16"/>
          <w:color w:val="auto"/>
        </w:rPr>
        <w:t>, subsequent</w:t>
      </w:r>
      <w:r>
        <w:rPr>
          <w:rFonts w:ascii="Arial" w:cs="Arial" w:eastAsia="Arial" w:hAnsi="Arial"/>
          <w:sz w:val="16"/>
          <w:szCs w:val="16"/>
          <w:i w:val="1"/>
          <w:iCs w:val="1"/>
          <w:color w:val="auto"/>
        </w:rPr>
        <w:t xml:space="preserve"> Research Reports </w:t>
      </w:r>
      <w:r>
        <w:rPr>
          <w:rFonts w:ascii="Arial" w:cs="Arial" w:eastAsia="Arial" w:hAnsi="Arial"/>
          <w:sz w:val="16"/>
          <w:szCs w:val="16"/>
          <w:color w:val="auto"/>
        </w:rPr>
        <w:t>at least every [*] months thereafter.</w:t>
      </w:r>
    </w:p>
    <w:p>
      <w:pPr>
        <w:spacing w:after="0" w:line="199" w:lineRule="exact"/>
        <w:rPr>
          <w:sz w:val="20"/>
          <w:szCs w:val="20"/>
          <w:color w:val="auto"/>
        </w:rPr>
      </w:pPr>
    </w:p>
    <w:p>
      <w:pPr>
        <w:ind w:left="443" w:right="280" w:hanging="450"/>
        <w:spacing w:after="0" w:line="318" w:lineRule="auto"/>
        <w:tabs>
          <w:tab w:leader="none" w:pos="422"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5"/>
          <w:szCs w:val="15"/>
          <w:i w:val="1"/>
          <w:iCs w:val="1"/>
          <w:color w:val="auto"/>
        </w:rPr>
        <w:t>Amounts payable</w:t>
      </w:r>
      <w:r>
        <w:rPr>
          <w:rFonts w:ascii="Arial" w:cs="Arial" w:eastAsia="Arial" w:hAnsi="Arial"/>
          <w:sz w:val="15"/>
          <w:szCs w:val="15"/>
          <w:color w:val="auto"/>
        </w:rPr>
        <w:t>. The amounts stated as payable under Clauses 3.1 and 3.2 shall be paid exclusive of all transaction fees and taxes. For the avoidance of doubt, 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amount that becomes due for payment under Clause 3.2 during the </w:t>
      </w:r>
      <w:r>
        <w:rPr>
          <w:rFonts w:ascii="Arial" w:cs="Arial" w:eastAsia="Arial" w:hAnsi="Arial"/>
          <w:sz w:val="15"/>
          <w:szCs w:val="15"/>
          <w:i w:val="1"/>
          <w:iCs w:val="1"/>
          <w:color w:val="auto"/>
        </w:rPr>
        <w:t>Term</w:t>
      </w:r>
      <w:r>
        <w:rPr>
          <w:rFonts w:ascii="Arial" w:cs="Arial" w:eastAsia="Arial" w:hAnsi="Arial"/>
          <w:sz w:val="15"/>
          <w:szCs w:val="15"/>
          <w:color w:val="auto"/>
        </w:rPr>
        <w:t xml:space="preserve"> shall remain payable after termination under Clause 7.2.</w:t>
      </w:r>
    </w:p>
    <w:p>
      <w:pPr>
        <w:spacing w:after="0" w:line="172" w:lineRule="exact"/>
        <w:rPr>
          <w:sz w:val="20"/>
          <w:szCs w:val="20"/>
          <w:color w:val="auto"/>
        </w:rPr>
      </w:pPr>
    </w:p>
    <w:p>
      <w:pPr>
        <w:ind w:left="443" w:hanging="443"/>
        <w:spacing w:after="0"/>
        <w:tabs>
          <w:tab w:leader="none" w:pos="443" w:val="left"/>
        </w:tabs>
        <w:numPr>
          <w:ilvl w:val="0"/>
          <w:numId w:val="363"/>
        </w:numPr>
        <w:rPr>
          <w:rFonts w:ascii="Arial" w:cs="Arial" w:eastAsia="Arial" w:hAnsi="Arial"/>
          <w:sz w:val="16"/>
          <w:szCs w:val="16"/>
          <w:b w:val="1"/>
          <w:bCs w:val="1"/>
          <w:color w:val="auto"/>
        </w:rPr>
      </w:pPr>
      <w:r>
        <w:rPr>
          <w:rFonts w:ascii="Arial" w:cs="Arial" w:eastAsia="Arial" w:hAnsi="Arial"/>
          <w:sz w:val="16"/>
          <w:szCs w:val="16"/>
          <w:b w:val="1"/>
          <w:bCs w:val="1"/>
          <w:color w:val="auto"/>
        </w:rPr>
        <w:t>Supply and Use of KODE™ Constructs</w:t>
      </w:r>
    </w:p>
    <w:p>
      <w:pPr>
        <w:spacing w:after="0" w:line="258" w:lineRule="exact"/>
        <w:rPr>
          <w:sz w:val="20"/>
          <w:szCs w:val="20"/>
          <w:color w:val="auto"/>
        </w:rPr>
      </w:pPr>
    </w:p>
    <w:p>
      <w:pPr>
        <w:ind w:left="443" w:hanging="450"/>
        <w:spacing w:after="0" w:line="283" w:lineRule="auto"/>
        <w:tabs>
          <w:tab w:leader="none" w:pos="42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i w:val="1"/>
          <w:iCs w:val="1"/>
          <w:color w:val="auto"/>
        </w:rPr>
        <w:t xml:space="preserve">Authorisation of Supplier. KBL </w:t>
      </w:r>
      <w:r>
        <w:rPr>
          <w:rFonts w:ascii="Arial" w:cs="Arial" w:eastAsia="Arial" w:hAnsi="Arial"/>
          <w:sz w:val="16"/>
          <w:szCs w:val="16"/>
          <w:color w:val="auto"/>
        </w:rPr>
        <w:t>shall no later than within [*] months of the</w:t>
      </w:r>
      <w:r>
        <w:rPr>
          <w:rFonts w:ascii="Arial" w:cs="Arial" w:eastAsia="Arial" w:hAnsi="Arial"/>
          <w:sz w:val="16"/>
          <w:szCs w:val="16"/>
          <w:i w:val="1"/>
          <w:iCs w:val="1"/>
          <w:color w:val="auto"/>
        </w:rPr>
        <w:t xml:space="preserve"> Commencement Date </w:t>
      </w:r>
      <w:r>
        <w:rPr>
          <w:rFonts w:ascii="Arial" w:cs="Arial" w:eastAsia="Arial" w:hAnsi="Arial"/>
          <w:sz w:val="16"/>
          <w:szCs w:val="16"/>
          <w:color w:val="auto"/>
        </w:rPr>
        <w:t>license a</w:t>
      </w:r>
      <w:r>
        <w:rPr>
          <w:rFonts w:ascii="Arial" w:cs="Arial" w:eastAsia="Arial" w:hAnsi="Arial"/>
          <w:sz w:val="16"/>
          <w:szCs w:val="16"/>
          <w:i w:val="1"/>
          <w:iCs w:val="1"/>
          <w:color w:val="auto"/>
        </w:rPr>
        <w:t xml:space="preserve"> Third Party </w:t>
      </w:r>
      <w:r>
        <w:rPr>
          <w:rFonts w:ascii="Arial" w:cs="Arial" w:eastAsia="Arial" w:hAnsi="Arial"/>
          <w:sz w:val="16"/>
          <w:szCs w:val="16"/>
          <w:color w:val="auto"/>
        </w:rPr>
        <w:t>(the</w:t>
      </w:r>
      <w:r>
        <w:rPr>
          <w:rFonts w:ascii="Arial" w:cs="Arial" w:eastAsia="Arial" w:hAnsi="Arial"/>
          <w:sz w:val="16"/>
          <w:szCs w:val="16"/>
          <w:i w:val="1"/>
          <w:iCs w:val="1"/>
          <w:color w:val="auto"/>
        </w:rPr>
        <w:t xml:space="preserve"> Authorised KODE™ Construct Manufacturer and Supplier</w:t>
      </w:r>
      <w:r>
        <w:rPr>
          <w:rFonts w:ascii="Arial" w:cs="Arial" w:eastAsia="Arial" w:hAnsi="Arial"/>
          <w:sz w:val="16"/>
          <w:szCs w:val="16"/>
          <w:color w:val="auto"/>
        </w:rPr>
        <w:t>) to manufacture and supply</w:t>
      </w:r>
      <w:r>
        <w:rPr>
          <w:rFonts w:ascii="Arial" w:cs="Arial" w:eastAsia="Arial" w:hAnsi="Arial"/>
          <w:sz w:val="16"/>
          <w:szCs w:val="16"/>
          <w:i w:val="1"/>
          <w:iCs w:val="1"/>
          <w:color w:val="auto"/>
        </w:rPr>
        <w:t xml:space="preserve"> KODE™ Constructs </w:t>
      </w:r>
      <w:r>
        <w:rPr>
          <w:rFonts w:ascii="Arial" w:cs="Arial" w:eastAsia="Arial" w:hAnsi="Arial"/>
          <w:sz w:val="16"/>
          <w:szCs w:val="16"/>
          <w:color w:val="auto"/>
        </w:rPr>
        <w:t>to</w:t>
      </w:r>
      <w:r>
        <w:rPr>
          <w:rFonts w:ascii="Arial" w:cs="Arial" w:eastAsia="Arial" w:hAnsi="Arial"/>
          <w:sz w:val="16"/>
          <w:szCs w:val="16"/>
          <w:i w:val="1"/>
          <w:iCs w:val="1"/>
          <w:color w:val="auto"/>
        </w:rPr>
        <w:t xml:space="preserve"> Agalimmune</w:t>
      </w:r>
      <w:r>
        <w:rPr>
          <w:rFonts w:ascii="Arial" w:cs="Arial" w:eastAsia="Arial" w:hAnsi="Arial"/>
          <w:sz w:val="16"/>
          <w:szCs w:val="16"/>
          <w:color w:val="auto"/>
        </w:rPr>
        <w:t>.</w:t>
      </w:r>
    </w:p>
    <w:p>
      <w:pPr>
        <w:spacing w:after="0" w:line="199" w:lineRule="exact"/>
        <w:rPr>
          <w:sz w:val="20"/>
          <w:szCs w:val="20"/>
          <w:color w:val="auto"/>
        </w:rPr>
      </w:pPr>
    </w:p>
    <w:p>
      <w:pPr>
        <w:ind w:left="903" w:right="100" w:hanging="452"/>
        <w:spacing w:after="0" w:line="318" w:lineRule="auto"/>
        <w:tabs>
          <w:tab w:leader="none" w:pos="903" w:val="left"/>
        </w:tabs>
        <w:numPr>
          <w:ilvl w:val="0"/>
          <w:numId w:val="364"/>
        </w:numPr>
        <w:rPr>
          <w:rFonts w:ascii="Arial" w:cs="Arial" w:eastAsia="Arial" w:hAnsi="Arial"/>
          <w:sz w:val="15"/>
          <w:szCs w:val="15"/>
          <w:color w:val="auto"/>
        </w:rPr>
      </w:pPr>
      <w:r>
        <w:rPr>
          <w:rFonts w:ascii="Arial" w:cs="Arial" w:eastAsia="Arial" w:hAnsi="Arial"/>
          <w:sz w:val="15"/>
          <w:szCs w:val="15"/>
          <w:color w:val="auto"/>
        </w:rPr>
        <w:t xml:space="preserve">The license referred to in this Clause 4.1 shall require the </w:t>
      </w:r>
      <w:r>
        <w:rPr>
          <w:rFonts w:ascii="Arial" w:cs="Arial" w:eastAsia="Arial" w:hAnsi="Arial"/>
          <w:sz w:val="15"/>
          <w:szCs w:val="15"/>
          <w:i w:val="1"/>
          <w:iCs w:val="1"/>
          <w:color w:val="auto"/>
        </w:rPr>
        <w:t>Authorised KODE™ Construct Manufacturer and Supplier</w:t>
      </w:r>
      <w:r>
        <w:rPr>
          <w:rFonts w:ascii="Arial" w:cs="Arial" w:eastAsia="Arial" w:hAnsi="Arial"/>
          <w:sz w:val="15"/>
          <w:szCs w:val="15"/>
          <w:color w:val="auto"/>
        </w:rPr>
        <w:t xml:space="preserve"> to ensure all </w:t>
      </w:r>
      <w:r>
        <w:rPr>
          <w:rFonts w:ascii="Arial" w:cs="Arial" w:eastAsia="Arial" w:hAnsi="Arial"/>
          <w:sz w:val="15"/>
          <w:szCs w:val="15"/>
          <w:i w:val="1"/>
          <w:iCs w:val="1"/>
          <w:color w:val="auto"/>
        </w:rPr>
        <w:t>KODE™ Constructs</w:t>
      </w:r>
      <w:r>
        <w:rPr>
          <w:rFonts w:ascii="Arial" w:cs="Arial" w:eastAsia="Arial" w:hAnsi="Arial"/>
          <w:sz w:val="15"/>
          <w:szCs w:val="15"/>
          <w:color w:val="auto"/>
        </w:rPr>
        <w:t xml:space="preserve"> supplied to </w:t>
      </w:r>
      <w:r>
        <w:rPr>
          <w:rFonts w:ascii="Arial" w:cs="Arial" w:eastAsia="Arial" w:hAnsi="Arial"/>
          <w:sz w:val="15"/>
          <w:szCs w:val="15"/>
          <w:i w:val="1"/>
          <w:iCs w:val="1"/>
          <w:color w:val="auto"/>
        </w:rPr>
        <w:t>Agalimmune</w:t>
      </w:r>
      <w:r>
        <w:rPr>
          <w:rFonts w:ascii="Arial" w:cs="Arial" w:eastAsia="Arial" w:hAnsi="Arial"/>
          <w:sz w:val="15"/>
          <w:szCs w:val="15"/>
          <w:color w:val="auto"/>
        </w:rPr>
        <w:t xml:space="preserve"> are, as a minimum, manufactured in accordance with [*] as certifiable by </w:t>
      </w:r>
      <w:r>
        <w:rPr>
          <w:rFonts w:ascii="Arial" w:cs="Arial" w:eastAsia="Arial" w:hAnsi="Arial"/>
          <w:sz w:val="15"/>
          <w:szCs w:val="15"/>
          <w:i w:val="1"/>
          <w:iCs w:val="1"/>
          <w:color w:val="auto"/>
        </w:rPr>
        <w:t>KBL</w:t>
      </w:r>
      <w:r>
        <w:rPr>
          <w:rFonts w:ascii="Arial" w:cs="Arial" w:eastAsia="Arial" w:hAnsi="Arial"/>
          <w:sz w:val="15"/>
          <w:szCs w:val="15"/>
          <w:color w:val="auto"/>
        </w:rPr>
        <w:t xml:space="preserve"> or an independent </w:t>
      </w:r>
      <w:r>
        <w:rPr>
          <w:rFonts w:ascii="Arial" w:cs="Arial" w:eastAsia="Arial" w:hAnsi="Arial"/>
          <w:sz w:val="15"/>
          <w:szCs w:val="15"/>
          <w:i w:val="1"/>
          <w:iCs w:val="1"/>
          <w:color w:val="auto"/>
        </w:rPr>
        <w:t>Third Party</w:t>
      </w:r>
      <w:r>
        <w:rPr>
          <w:rFonts w:ascii="Arial" w:cs="Arial" w:eastAsia="Arial" w:hAnsi="Arial"/>
          <w:sz w:val="15"/>
          <w:szCs w:val="15"/>
          <w:color w:val="auto"/>
        </w:rPr>
        <w:t xml:space="preserve"> approved by </w:t>
      </w:r>
      <w:r>
        <w:rPr>
          <w:rFonts w:ascii="Arial" w:cs="Arial" w:eastAsia="Arial" w:hAnsi="Arial"/>
          <w:sz w:val="15"/>
          <w:szCs w:val="15"/>
          <w:i w:val="1"/>
          <w:iCs w:val="1"/>
          <w:color w:val="auto"/>
        </w:rPr>
        <w:t>KBL</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903" w:right="300" w:hanging="452"/>
        <w:spacing w:after="0" w:line="283" w:lineRule="auto"/>
        <w:tabs>
          <w:tab w:leader="none" w:pos="903"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Any agreement in respect of the supply of </w:t>
      </w:r>
      <w:r>
        <w:rPr>
          <w:rFonts w:ascii="Arial" w:cs="Arial" w:eastAsia="Arial" w:hAnsi="Arial"/>
          <w:sz w:val="16"/>
          <w:szCs w:val="16"/>
          <w:i w:val="1"/>
          <w:iCs w:val="1"/>
          <w:color w:val="auto"/>
        </w:rPr>
        <w:t>KODE™ Constructs</w:t>
      </w:r>
      <w:r>
        <w:rPr>
          <w:rFonts w:ascii="Arial" w:cs="Arial" w:eastAsia="Arial" w:hAnsi="Arial"/>
          <w:sz w:val="16"/>
          <w:szCs w:val="16"/>
          <w:color w:val="auto"/>
        </w:rPr>
        <w:t xml:space="preserve"> to </w:t>
      </w:r>
      <w:r>
        <w:rPr>
          <w:rFonts w:ascii="Arial" w:cs="Arial" w:eastAsia="Arial" w:hAnsi="Arial"/>
          <w:sz w:val="16"/>
          <w:szCs w:val="16"/>
          <w:i w:val="1"/>
          <w:iCs w:val="1"/>
          <w:color w:val="auto"/>
        </w:rPr>
        <w:t>Agalimmune</w:t>
      </w:r>
      <w:r>
        <w:rPr>
          <w:rFonts w:ascii="Arial" w:cs="Arial" w:eastAsia="Arial" w:hAnsi="Arial"/>
          <w:sz w:val="16"/>
          <w:szCs w:val="16"/>
          <w:color w:val="auto"/>
        </w:rPr>
        <w:t xml:space="preserve"> shall be solely between the </w:t>
      </w:r>
      <w:r>
        <w:rPr>
          <w:rFonts w:ascii="Arial" w:cs="Arial" w:eastAsia="Arial" w:hAnsi="Arial"/>
          <w:sz w:val="16"/>
          <w:szCs w:val="16"/>
          <w:i w:val="1"/>
          <w:iCs w:val="1"/>
          <w:color w:val="auto"/>
        </w:rPr>
        <w:t>Authorised KODE™ Construct Manufacturer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Supplier </w:t>
      </w:r>
      <w:r>
        <w:rPr>
          <w:rFonts w:ascii="Arial" w:cs="Arial" w:eastAsia="Arial" w:hAnsi="Arial"/>
          <w:sz w:val="16"/>
          <w:szCs w:val="16"/>
          <w:color w:val="auto"/>
        </w:rPr>
        <w:t>and</w:t>
      </w:r>
      <w:r>
        <w:rPr>
          <w:rFonts w:ascii="Arial" w:cs="Arial" w:eastAsia="Arial" w:hAnsi="Arial"/>
          <w:sz w:val="16"/>
          <w:szCs w:val="16"/>
          <w:i w:val="1"/>
          <w:iCs w:val="1"/>
          <w:color w:val="auto"/>
        </w:rPr>
        <w:t xml:space="preserve"> Agalimmune</w:t>
      </w:r>
      <w:r>
        <w:rPr>
          <w:rFonts w:ascii="Arial" w:cs="Arial" w:eastAsia="Arial" w:hAnsi="Arial"/>
          <w:sz w:val="16"/>
          <w:szCs w:val="16"/>
          <w:color w:val="auto"/>
        </w:rPr>
        <w:t>.</w:t>
      </w:r>
    </w:p>
    <w:p>
      <w:pPr>
        <w:spacing w:after="0" w:line="199" w:lineRule="exact"/>
        <w:rPr>
          <w:rFonts w:ascii="Arial" w:cs="Arial" w:eastAsia="Arial" w:hAnsi="Arial"/>
          <w:sz w:val="16"/>
          <w:szCs w:val="16"/>
          <w:color w:val="auto"/>
        </w:rPr>
      </w:pPr>
    </w:p>
    <w:p>
      <w:pPr>
        <w:ind w:left="903" w:right="80" w:hanging="452"/>
        <w:spacing w:after="0" w:line="283" w:lineRule="auto"/>
        <w:tabs>
          <w:tab w:leader="none" w:pos="903"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t>KBL s</w:t>
      </w:r>
      <w:r>
        <w:rPr>
          <w:rFonts w:ascii="Arial" w:cs="Arial" w:eastAsia="Arial" w:hAnsi="Arial"/>
          <w:sz w:val="16"/>
          <w:szCs w:val="16"/>
          <w:color w:val="auto"/>
        </w:rPr>
        <w:t>hall be entitled to receive from the</w:t>
      </w:r>
      <w:r>
        <w:rPr>
          <w:rFonts w:ascii="Arial" w:cs="Arial" w:eastAsia="Arial" w:hAnsi="Arial"/>
          <w:sz w:val="16"/>
          <w:szCs w:val="16"/>
          <w:i w:val="1"/>
          <w:iCs w:val="1"/>
          <w:color w:val="auto"/>
        </w:rPr>
        <w:t xml:space="preserve"> Authorised KODE™ Construct KODE™ Construct Manufacturer and Supplier </w:t>
      </w:r>
      <w:r>
        <w:rPr>
          <w:rFonts w:ascii="Arial" w:cs="Arial" w:eastAsia="Arial" w:hAnsi="Arial"/>
          <w:sz w:val="16"/>
          <w:szCs w:val="16"/>
          <w:color w:val="auto"/>
        </w:rPr>
        <w:t>a margin over cost of goods supplied to</w:t>
      </w:r>
      <w:r>
        <w:rPr>
          <w:rFonts w:ascii="Arial" w:cs="Arial" w:eastAsia="Arial" w:hAnsi="Arial"/>
          <w:sz w:val="16"/>
          <w:szCs w:val="16"/>
          <w:i w:val="1"/>
          <w:iCs w:val="1"/>
          <w:color w:val="auto"/>
        </w:rPr>
        <w:t xml:space="preserve"> Agalimmune </w:t>
      </w:r>
      <w:r>
        <w:rPr>
          <w:rFonts w:ascii="Arial" w:cs="Arial" w:eastAsia="Arial" w:hAnsi="Arial"/>
          <w:sz w:val="16"/>
          <w:szCs w:val="16"/>
          <w:color w:val="auto"/>
        </w:rPr>
        <w:t>of:</w:t>
      </w:r>
    </w:p>
    <w:p>
      <w:pPr>
        <w:spacing w:after="0" w:line="199" w:lineRule="exact"/>
        <w:rPr>
          <w:rFonts w:ascii="Arial" w:cs="Arial" w:eastAsia="Arial" w:hAnsi="Arial"/>
          <w:sz w:val="16"/>
          <w:szCs w:val="16"/>
          <w:color w:val="auto"/>
        </w:rPr>
      </w:pPr>
    </w:p>
    <w:p>
      <w:pPr>
        <w:ind w:left="1363" w:hanging="449"/>
        <w:spacing w:after="0"/>
        <w:tabs>
          <w:tab w:leader="none" w:pos="1363" w:val="left"/>
        </w:tabs>
        <w:numPr>
          <w:ilvl w:val="1"/>
          <w:numId w:val="364"/>
        </w:numPr>
        <w:rPr>
          <w:rFonts w:ascii="Arial" w:cs="Arial" w:eastAsia="Arial" w:hAnsi="Arial"/>
          <w:sz w:val="16"/>
          <w:szCs w:val="16"/>
          <w:color w:val="auto"/>
        </w:rPr>
      </w:pPr>
      <w:r>
        <w:rPr>
          <w:rFonts w:ascii="Arial" w:cs="Arial" w:eastAsia="Arial" w:hAnsi="Arial"/>
          <w:sz w:val="16"/>
          <w:szCs w:val="16"/>
          <w:color w:val="auto"/>
        </w:rPr>
        <w:t xml:space="preserve">In 2015 -[*] upon [*] of </w:t>
      </w:r>
      <w:r>
        <w:rPr>
          <w:rFonts w:ascii="Arial" w:cs="Arial" w:eastAsia="Arial" w:hAnsi="Arial"/>
          <w:sz w:val="16"/>
          <w:szCs w:val="16"/>
          <w:i w:val="1"/>
          <w:iCs w:val="1"/>
          <w:color w:val="auto"/>
        </w:rPr>
        <w:t>KODE™ Constructs</w:t>
      </w:r>
      <w:r>
        <w:rPr>
          <w:rFonts w:ascii="Arial" w:cs="Arial" w:eastAsia="Arial" w:hAnsi="Arial"/>
          <w:sz w:val="16"/>
          <w:szCs w:val="16"/>
          <w:color w:val="auto"/>
        </w:rPr>
        <w:t xml:space="preserve"> and [*] upon amounts [*]; and</w:t>
      </w:r>
    </w:p>
    <w:p>
      <w:pPr>
        <w:spacing w:after="0" w:line="254" w:lineRule="exact"/>
        <w:rPr>
          <w:rFonts w:ascii="Arial" w:cs="Arial" w:eastAsia="Arial" w:hAnsi="Arial"/>
          <w:sz w:val="16"/>
          <w:szCs w:val="16"/>
          <w:color w:val="auto"/>
        </w:rPr>
      </w:pPr>
    </w:p>
    <w:p>
      <w:pPr>
        <w:ind w:left="1363" w:hanging="449"/>
        <w:spacing w:after="0"/>
        <w:tabs>
          <w:tab w:leader="none" w:pos="1363" w:val="left"/>
        </w:tabs>
        <w:numPr>
          <w:ilvl w:val="1"/>
          <w:numId w:val="364"/>
        </w:numPr>
        <w:rPr>
          <w:rFonts w:ascii="Arial" w:cs="Arial" w:eastAsia="Arial" w:hAnsi="Arial"/>
          <w:sz w:val="16"/>
          <w:szCs w:val="16"/>
          <w:color w:val="auto"/>
        </w:rPr>
      </w:pPr>
      <w:r>
        <w:rPr>
          <w:rFonts w:ascii="Arial" w:cs="Arial" w:eastAsia="Arial" w:hAnsi="Arial"/>
          <w:sz w:val="16"/>
          <w:szCs w:val="16"/>
          <w:color w:val="auto"/>
        </w:rPr>
        <w:t>In each subsequent year - [*]</w:t>
      </w:r>
      <w:r>
        <w:rPr>
          <w:rFonts w:ascii="Arial" w:cs="Arial" w:eastAsia="Arial" w:hAnsi="Arial"/>
          <w:sz w:val="16"/>
          <w:szCs w:val="16"/>
          <w:i w:val="1"/>
          <w:iCs w:val="1"/>
          <w:color w:val="auto"/>
        </w:rPr>
        <w:t>.</w:t>
      </w:r>
    </w:p>
    <w:p>
      <w:pPr>
        <w:spacing w:after="0" w:line="254" w:lineRule="exact"/>
        <w:rPr>
          <w:sz w:val="20"/>
          <w:szCs w:val="20"/>
          <w:color w:val="auto"/>
        </w:rPr>
      </w:pPr>
    </w:p>
    <w:p>
      <w:pPr>
        <w:jc w:val="both"/>
        <w:ind w:left="443" w:right="200" w:hanging="450"/>
        <w:spacing w:after="0" w:line="286" w:lineRule="auto"/>
        <w:tabs>
          <w:tab w:leader="none" w:pos="42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i w:val="1"/>
          <w:iCs w:val="1"/>
          <w:color w:val="auto"/>
        </w:rPr>
        <w:t xml:space="preserve">No warranty. KBL </w:t>
      </w:r>
      <w:r>
        <w:rPr>
          <w:rFonts w:ascii="Arial" w:cs="Arial" w:eastAsia="Arial" w:hAnsi="Arial"/>
          <w:sz w:val="15"/>
          <w:szCs w:val="15"/>
          <w:color w:val="auto"/>
        </w:rPr>
        <w:t>warrants that its employees and contractors have assigned to</w:t>
      </w:r>
      <w:r>
        <w:rPr>
          <w:rFonts w:ascii="Arial" w:cs="Arial" w:eastAsia="Arial" w:hAnsi="Arial"/>
          <w:sz w:val="15"/>
          <w:szCs w:val="15"/>
          <w:i w:val="1"/>
          <w:iCs w:val="1"/>
          <w:color w:val="auto"/>
        </w:rPr>
        <w:t xml:space="preserve"> KBL </w:t>
      </w:r>
      <w:r>
        <w:rPr>
          <w:rFonts w:ascii="Arial" w:cs="Arial" w:eastAsia="Arial" w:hAnsi="Arial"/>
          <w:sz w:val="15"/>
          <w:szCs w:val="15"/>
          <w:color w:val="auto"/>
        </w:rPr>
        <w:t>their entire right, title, and interest in and to the</w:t>
      </w:r>
      <w:r>
        <w:rPr>
          <w:rFonts w:ascii="Arial" w:cs="Arial" w:eastAsia="Arial" w:hAnsi="Arial"/>
          <w:sz w:val="15"/>
          <w:szCs w:val="15"/>
          <w:i w:val="1"/>
          <w:iCs w:val="1"/>
          <w:color w:val="auto"/>
        </w:rPr>
        <w:t xml:space="preserve"> Licensed Patents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KODE™ Know-how</w:t>
      </w:r>
      <w:r>
        <w:rPr>
          <w:rFonts w:ascii="Arial" w:cs="Arial" w:eastAsia="Arial" w:hAnsi="Arial"/>
          <w:sz w:val="15"/>
          <w:szCs w:val="15"/>
          <w:color w:val="auto"/>
        </w:rPr>
        <w:t>, and that it has authority to grant the rights and licenses set forth in this Agreement, and that it has not granted any rights in or to the</w:t>
      </w:r>
      <w:r>
        <w:rPr>
          <w:rFonts w:ascii="Arial" w:cs="Arial" w:eastAsia="Arial" w:hAnsi="Arial"/>
          <w:sz w:val="15"/>
          <w:szCs w:val="15"/>
          <w:i w:val="1"/>
          <w:iCs w:val="1"/>
          <w:color w:val="auto"/>
        </w:rPr>
        <w:t xml:space="preserve"> Licensed Patents </w:t>
      </w:r>
      <w:r>
        <w:rPr>
          <w:rFonts w:ascii="Arial" w:cs="Arial" w:eastAsia="Arial" w:hAnsi="Arial"/>
          <w:sz w:val="15"/>
          <w:szCs w:val="15"/>
          <w:color w:val="auto"/>
        </w:rPr>
        <w:t>and</w:t>
      </w:r>
      <w:r>
        <w:rPr>
          <w:rFonts w:ascii="Arial" w:cs="Arial" w:eastAsia="Arial" w:hAnsi="Arial"/>
          <w:sz w:val="15"/>
          <w:szCs w:val="15"/>
          <w:i w:val="1"/>
          <w:iCs w:val="1"/>
          <w:color w:val="auto"/>
        </w:rPr>
        <w:t xml:space="preserve"> KODE™ Know-how </w:t>
      </w:r>
      <w:r>
        <w:rPr>
          <w:rFonts w:ascii="Arial" w:cs="Arial" w:eastAsia="Arial" w:hAnsi="Arial"/>
          <w:sz w:val="15"/>
          <w:szCs w:val="15"/>
          <w:color w:val="auto"/>
        </w:rPr>
        <w:t>to any Third Party that is inconsistent with the grant of rights in this Agreement. Save as provided,</w:t>
      </w:r>
      <w:r>
        <w:rPr>
          <w:rFonts w:ascii="Arial" w:cs="Arial" w:eastAsia="Arial" w:hAnsi="Arial"/>
          <w:sz w:val="15"/>
          <w:szCs w:val="15"/>
          <w:i w:val="1"/>
          <w:iCs w:val="1"/>
          <w:color w:val="auto"/>
        </w:rPr>
        <w:t xml:space="preserve"> KBL </w:t>
      </w:r>
      <w:r>
        <w:rPr>
          <w:rFonts w:ascii="Arial" w:cs="Arial" w:eastAsia="Arial" w:hAnsi="Arial"/>
          <w:sz w:val="15"/>
          <w:szCs w:val="15"/>
          <w:color w:val="auto"/>
        </w:rPr>
        <w:t>makes no other warranty and accepts no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liability in connection with the supply and use of </w:t>
      </w:r>
      <w:r>
        <w:rPr>
          <w:rFonts w:ascii="Arial" w:cs="Arial" w:eastAsia="Arial" w:hAnsi="Arial"/>
          <w:sz w:val="15"/>
          <w:szCs w:val="15"/>
          <w:i w:val="1"/>
          <w:iCs w:val="1"/>
          <w:color w:val="auto"/>
        </w:rPr>
        <w:t>KODE™ Technology</w:t>
      </w:r>
      <w:r>
        <w:rPr>
          <w:rFonts w:ascii="Arial" w:cs="Arial" w:eastAsia="Arial" w:hAnsi="Arial"/>
          <w:sz w:val="15"/>
          <w:szCs w:val="15"/>
          <w:color w:val="auto"/>
        </w:rPr>
        <w:t xml:space="preserve"> hereunder and specifically gives no warranty that:</w:t>
      </w:r>
    </w:p>
    <w:p>
      <w:pPr>
        <w:spacing w:after="0" w:line="201" w:lineRule="exact"/>
        <w:rPr>
          <w:sz w:val="20"/>
          <w:szCs w:val="20"/>
          <w:color w:val="auto"/>
        </w:rPr>
      </w:pPr>
    </w:p>
    <w:p>
      <w:pPr>
        <w:ind w:left="903" w:hanging="452"/>
        <w:spacing w:after="0"/>
        <w:tabs>
          <w:tab w:leader="none" w:pos="903" w:val="left"/>
        </w:tabs>
        <w:numPr>
          <w:ilvl w:val="0"/>
          <w:numId w:val="365"/>
        </w:numPr>
        <w:rPr>
          <w:rFonts w:ascii="Arial" w:cs="Arial" w:eastAsia="Arial" w:hAnsi="Arial"/>
          <w:sz w:val="16"/>
          <w:szCs w:val="16"/>
          <w:color w:val="auto"/>
        </w:rPr>
      </w:pPr>
      <w:r>
        <w:rPr>
          <w:rFonts w:ascii="Arial" w:cs="Arial" w:eastAsia="Arial" w:hAnsi="Arial"/>
          <w:sz w:val="16"/>
          <w:szCs w:val="16"/>
          <w:i w:val="1"/>
          <w:iCs w:val="1"/>
          <w:color w:val="auto"/>
        </w:rPr>
        <w:t xml:space="preserve">KODE™ Constructs </w:t>
      </w:r>
      <w:r>
        <w:rPr>
          <w:rFonts w:ascii="Arial" w:cs="Arial" w:eastAsia="Arial" w:hAnsi="Arial"/>
          <w:sz w:val="16"/>
          <w:szCs w:val="16"/>
          <w:color w:val="auto"/>
        </w:rPr>
        <w:t>will be supplied by the</w:t>
      </w:r>
      <w:r>
        <w:rPr>
          <w:rFonts w:ascii="Arial" w:cs="Arial" w:eastAsia="Arial" w:hAnsi="Arial"/>
          <w:sz w:val="16"/>
          <w:szCs w:val="16"/>
          <w:i w:val="1"/>
          <w:iCs w:val="1"/>
          <w:color w:val="auto"/>
        </w:rPr>
        <w:t xml:space="preserve"> Authorised KODE™ Construct Manufacturer and Supplier</w:t>
      </w:r>
      <w:r>
        <w:rPr>
          <w:rFonts w:ascii="Arial" w:cs="Arial" w:eastAsia="Arial" w:hAnsi="Arial"/>
          <w:sz w:val="16"/>
          <w:szCs w:val="16"/>
          <w:color w:val="auto"/>
        </w:rPr>
        <w:t>;</w:t>
      </w:r>
    </w:p>
    <w:p>
      <w:pPr>
        <w:spacing w:after="0" w:line="254" w:lineRule="exact"/>
        <w:rPr>
          <w:rFonts w:ascii="Arial" w:cs="Arial" w:eastAsia="Arial" w:hAnsi="Arial"/>
          <w:sz w:val="16"/>
          <w:szCs w:val="16"/>
          <w:color w:val="auto"/>
        </w:rPr>
      </w:pPr>
    </w:p>
    <w:p>
      <w:pPr>
        <w:ind w:left="903" w:hanging="452"/>
        <w:spacing w:after="0"/>
        <w:tabs>
          <w:tab w:leader="none" w:pos="90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the use of </w:t>
      </w:r>
      <w:r>
        <w:rPr>
          <w:rFonts w:ascii="Arial" w:cs="Arial" w:eastAsia="Arial" w:hAnsi="Arial"/>
          <w:sz w:val="16"/>
          <w:szCs w:val="16"/>
          <w:i w:val="1"/>
          <w:iCs w:val="1"/>
          <w:color w:val="auto"/>
        </w:rPr>
        <w:t>KODE™ Technology</w:t>
      </w:r>
      <w:r>
        <w:rPr>
          <w:rFonts w:ascii="Arial" w:cs="Arial" w:eastAsia="Arial" w:hAnsi="Arial"/>
          <w:sz w:val="16"/>
          <w:szCs w:val="16"/>
          <w:color w:val="auto"/>
        </w:rPr>
        <w:t xml:space="preserve"> will not infringe the </w:t>
      </w:r>
      <w:r>
        <w:rPr>
          <w:rFonts w:ascii="Arial" w:cs="Arial" w:eastAsia="Arial" w:hAnsi="Arial"/>
          <w:sz w:val="16"/>
          <w:szCs w:val="16"/>
          <w:i w:val="1"/>
          <w:iCs w:val="1"/>
          <w:color w:val="auto"/>
        </w:rPr>
        <w:t>Exclusionary Rights</w:t>
      </w:r>
      <w:r>
        <w:rPr>
          <w:rFonts w:ascii="Arial" w:cs="Arial" w:eastAsia="Arial" w:hAnsi="Arial"/>
          <w:sz w:val="16"/>
          <w:szCs w:val="16"/>
          <w:color w:val="auto"/>
        </w:rPr>
        <w:t xml:space="preserve"> owned by a </w:t>
      </w:r>
      <w:r>
        <w:rPr>
          <w:rFonts w:ascii="Arial" w:cs="Arial" w:eastAsia="Arial" w:hAnsi="Arial"/>
          <w:sz w:val="16"/>
          <w:szCs w:val="16"/>
          <w:i w:val="1"/>
          <w:iCs w:val="1"/>
          <w:color w:val="auto"/>
        </w:rPr>
        <w:t>Third Party</w:t>
      </w:r>
      <w:r>
        <w:rPr>
          <w:rFonts w:ascii="Arial" w:cs="Arial" w:eastAsia="Arial" w:hAnsi="Arial"/>
          <w:sz w:val="16"/>
          <w:szCs w:val="16"/>
          <w:color w:val="auto"/>
        </w:rPr>
        <w:t>; or</w:t>
      </w:r>
    </w:p>
    <w:p>
      <w:pPr>
        <w:spacing w:after="0" w:line="16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387" w:name="page388"/>
    <w:bookmarkEnd w:id="387"/>
    <w:p>
      <w:pPr>
        <w:ind w:left="903" w:hanging="452"/>
        <w:spacing w:after="0"/>
        <w:tabs>
          <w:tab w:leader="none" w:pos="903" w:val="left"/>
        </w:tabs>
        <w:numPr>
          <w:ilvl w:val="0"/>
          <w:numId w:val="366"/>
        </w:numPr>
        <w:rPr>
          <w:rFonts w:ascii="Arial" w:cs="Arial" w:eastAsia="Arial" w:hAnsi="Arial"/>
          <w:sz w:val="16"/>
          <w:szCs w:val="16"/>
          <w:color w:val="auto"/>
        </w:rPr>
      </w:pPr>
      <w:r>
        <w:rPr>
          <w:rFonts w:ascii="Arial" w:cs="Arial" w:eastAsia="Arial" w:hAnsi="Arial"/>
          <w:sz w:val="16"/>
          <w:szCs w:val="16"/>
          <w:i w:val="1"/>
          <w:iCs w:val="1"/>
          <w:color w:val="auto"/>
        </w:rPr>
        <w:t xml:space="preserve">KODE™ Technology </w:t>
      </w:r>
      <w:r>
        <w:rPr>
          <w:rFonts w:ascii="Arial" w:cs="Arial" w:eastAsia="Arial" w:hAnsi="Arial"/>
          <w:sz w:val="16"/>
          <w:szCs w:val="16"/>
          <w:color w:val="auto"/>
        </w:rPr>
        <w:t>will be fit for any particular purpose, safe or non-toxic.</w:t>
      </w:r>
    </w:p>
    <w:p>
      <w:pPr>
        <w:spacing w:after="0" w:line="254" w:lineRule="exact"/>
        <w:rPr>
          <w:sz w:val="20"/>
          <w:szCs w:val="20"/>
          <w:color w:val="auto"/>
        </w:rPr>
      </w:pPr>
    </w:p>
    <w:p>
      <w:pPr>
        <w:ind w:left="443" w:hanging="450"/>
        <w:spacing w:after="0" w:line="358" w:lineRule="auto"/>
        <w:tabs>
          <w:tab w:leader="none" w:pos="422"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i w:val="1"/>
          <w:iCs w:val="1"/>
          <w:color w:val="auto"/>
        </w:rPr>
        <w:t xml:space="preserve">Compliance. Agalimmune </w:t>
      </w:r>
      <w:r>
        <w:rPr>
          <w:rFonts w:ascii="Arial" w:cs="Arial" w:eastAsia="Arial" w:hAnsi="Arial"/>
          <w:sz w:val="14"/>
          <w:szCs w:val="14"/>
          <w:color w:val="auto"/>
        </w:rPr>
        <w:t>shall comply with all applicable laws, regulations and guidelines relevant to the use of</w:t>
      </w:r>
      <w:r>
        <w:rPr>
          <w:rFonts w:ascii="Arial" w:cs="Arial" w:eastAsia="Arial" w:hAnsi="Arial"/>
          <w:sz w:val="14"/>
          <w:szCs w:val="14"/>
          <w:i w:val="1"/>
          <w:iCs w:val="1"/>
          <w:color w:val="auto"/>
        </w:rPr>
        <w:t xml:space="preserve"> KODE™ Technology</w:t>
      </w:r>
      <w:r>
        <w:rPr>
          <w:rFonts w:ascii="Arial" w:cs="Arial" w:eastAsia="Arial" w:hAnsi="Arial"/>
          <w:sz w:val="14"/>
          <w:szCs w:val="14"/>
          <w:color w:val="auto"/>
        </w:rPr>
        <w:t>.</w:t>
      </w:r>
      <w:r>
        <w:rPr>
          <w:rFonts w:ascii="Arial" w:cs="Arial" w:eastAsia="Arial" w:hAnsi="Arial"/>
          <w:sz w:val="14"/>
          <w:szCs w:val="14"/>
          <w:i w:val="1"/>
          <w:iCs w:val="1"/>
          <w:color w:val="auto"/>
        </w:rPr>
        <w:t xml:space="preserve"> Agalimmune </w:t>
      </w:r>
      <w:r>
        <w:rPr>
          <w:rFonts w:ascii="Arial" w:cs="Arial" w:eastAsia="Arial" w:hAnsi="Arial"/>
          <w:sz w:val="14"/>
          <w:szCs w:val="14"/>
          <w:color w:val="auto"/>
        </w:rPr>
        <w:t>shall not use</w:t>
      </w:r>
      <w:r>
        <w:rPr>
          <w:rFonts w:ascii="Arial" w:cs="Arial" w:eastAsia="Arial" w:hAnsi="Arial"/>
          <w:sz w:val="14"/>
          <w:szCs w:val="14"/>
          <w:i w:val="1"/>
          <w:iCs w:val="1"/>
          <w:color w:val="auto"/>
        </w:rPr>
        <w:t xml:space="preserve"> KODE™ Technology </w:t>
      </w:r>
      <w:r>
        <w:rPr>
          <w:rFonts w:ascii="Arial" w:cs="Arial" w:eastAsia="Arial" w:hAnsi="Arial"/>
          <w:sz w:val="14"/>
          <w:szCs w:val="14"/>
          <w:color w:val="auto"/>
        </w:rPr>
        <w:t>in any experiments involving humans and will not use</w:t>
      </w:r>
      <w:r>
        <w:rPr>
          <w:rFonts w:ascii="Arial" w:cs="Arial" w:eastAsia="Arial" w:hAnsi="Arial"/>
          <w:sz w:val="14"/>
          <w:szCs w:val="14"/>
          <w:i w:val="1"/>
          <w:iCs w:val="1"/>
          <w:color w:val="auto"/>
        </w:rPr>
        <w:t xml:space="preserve"> KODE™ Technology </w:t>
      </w:r>
      <w:r>
        <w:rPr>
          <w:rFonts w:ascii="Arial" w:cs="Arial" w:eastAsia="Arial" w:hAnsi="Arial"/>
          <w:sz w:val="14"/>
          <w:szCs w:val="14"/>
          <w:color w:val="auto"/>
        </w:rPr>
        <w:t>in contact with any cells or other materials to be infused into humans.</w:t>
      </w:r>
    </w:p>
    <w:p>
      <w:pPr>
        <w:spacing w:after="0" w:line="153" w:lineRule="exact"/>
        <w:rPr>
          <w:sz w:val="20"/>
          <w:szCs w:val="20"/>
          <w:color w:val="auto"/>
        </w:rPr>
      </w:pPr>
    </w:p>
    <w:p>
      <w:pPr>
        <w:ind w:left="443" w:right="20" w:hanging="450"/>
        <w:spacing w:after="0" w:line="261" w:lineRule="auto"/>
        <w:tabs>
          <w:tab w:leader="none" w:pos="422"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6"/>
          <w:szCs w:val="16"/>
          <w:i w:val="1"/>
          <w:iCs w:val="1"/>
          <w:color w:val="auto"/>
        </w:rPr>
        <w:t>Indemnity</w:t>
      </w:r>
      <w:r>
        <w:rPr>
          <w:rFonts w:ascii="Arial" w:cs="Arial" w:eastAsia="Arial" w:hAnsi="Arial"/>
          <w:sz w:val="16"/>
          <w:szCs w:val="16"/>
          <w:color w:val="auto"/>
        </w:rPr>
        <w:t>.</w:t>
      </w:r>
      <w:r>
        <w:rPr>
          <w:rFonts w:ascii="Arial" w:cs="Arial" w:eastAsia="Arial" w:hAnsi="Arial"/>
          <w:sz w:val="16"/>
          <w:szCs w:val="16"/>
          <w:i w:val="1"/>
          <w:iCs w:val="1"/>
          <w:color w:val="auto"/>
        </w:rPr>
        <w:t xml:space="preserve"> Agalimmune </w:t>
      </w:r>
      <w:r>
        <w:rPr>
          <w:rFonts w:ascii="Arial" w:cs="Arial" w:eastAsia="Arial" w:hAnsi="Arial"/>
          <w:sz w:val="16"/>
          <w:szCs w:val="16"/>
          <w:color w:val="auto"/>
        </w:rPr>
        <w:t>shall indemnify</w:t>
      </w:r>
      <w:r>
        <w:rPr>
          <w:rFonts w:ascii="Arial" w:cs="Arial" w:eastAsia="Arial" w:hAnsi="Arial"/>
          <w:sz w:val="16"/>
          <w:szCs w:val="16"/>
          <w:i w:val="1"/>
          <w:iCs w:val="1"/>
          <w:color w:val="auto"/>
        </w:rPr>
        <w:t xml:space="preserve"> KBL</w:t>
      </w:r>
      <w:r>
        <w:rPr>
          <w:rFonts w:ascii="Arial" w:cs="Arial" w:eastAsia="Arial" w:hAnsi="Arial"/>
          <w:sz w:val="16"/>
          <w:szCs w:val="16"/>
          <w:color w:val="auto"/>
        </w:rPr>
        <w:t>, its agents and employees against all Claims and Losses arising from</w:t>
      </w:r>
      <w:r>
        <w:rPr>
          <w:rFonts w:ascii="Arial" w:cs="Arial" w:eastAsia="Arial" w:hAnsi="Arial"/>
          <w:sz w:val="16"/>
          <w:szCs w:val="16"/>
          <w:i w:val="1"/>
          <w:iCs w:val="1"/>
          <w:color w:val="auto"/>
        </w:rPr>
        <w:t xml:space="preserve"> Agalimmune’s </w:t>
      </w:r>
      <w:r>
        <w:rPr>
          <w:rFonts w:ascii="Arial" w:cs="Arial" w:eastAsia="Arial" w:hAnsi="Arial"/>
          <w:sz w:val="16"/>
          <w:szCs w:val="16"/>
          <w:color w:val="auto"/>
        </w:rPr>
        <w:t>receipt, use, or keeping of</w:t>
      </w:r>
      <w:r>
        <w:rPr>
          <w:rFonts w:ascii="Arial" w:cs="Arial" w:eastAsia="Arial" w:hAnsi="Arial"/>
          <w:sz w:val="16"/>
          <w:szCs w:val="16"/>
          <w:i w:val="1"/>
          <w:iCs w:val="1"/>
          <w:color w:val="auto"/>
        </w:rPr>
        <w:t xml:space="preserve"> KODE™ Technology</w:t>
      </w:r>
      <w:r>
        <w:rPr>
          <w:rFonts w:ascii="Arial" w:cs="Arial" w:eastAsia="Arial" w:hAnsi="Arial"/>
          <w:sz w:val="16"/>
          <w:szCs w:val="16"/>
          <w:color w:val="auto"/>
        </w:rPr>
        <w:t>, provided that</w:t>
      </w:r>
      <w:r>
        <w:rPr>
          <w:rFonts w:ascii="Arial" w:cs="Arial" w:eastAsia="Arial" w:hAnsi="Arial"/>
          <w:sz w:val="16"/>
          <w:szCs w:val="16"/>
          <w:i w:val="1"/>
          <w:iCs w:val="1"/>
          <w:color w:val="auto"/>
        </w:rPr>
        <w:t xml:space="preserve"> Agalimmune </w:t>
      </w:r>
      <w:r>
        <w:rPr>
          <w:rFonts w:ascii="Arial" w:cs="Arial" w:eastAsia="Arial" w:hAnsi="Arial"/>
          <w:sz w:val="16"/>
          <w:szCs w:val="16"/>
          <w:color w:val="auto"/>
        </w:rPr>
        <w:t>shall have no liability to the extent any Claim or Loss is directly attributable to the negligence or intentional misconduct of</w:t>
      </w:r>
      <w:r>
        <w:rPr>
          <w:rFonts w:ascii="Arial" w:cs="Arial" w:eastAsia="Arial" w:hAnsi="Arial"/>
          <w:sz w:val="16"/>
          <w:szCs w:val="16"/>
          <w:i w:val="1"/>
          <w:iCs w:val="1"/>
          <w:color w:val="auto"/>
        </w:rPr>
        <w:t xml:space="preserve"> KBL </w:t>
      </w:r>
      <w:r>
        <w:rPr>
          <w:rFonts w:ascii="Arial" w:cs="Arial" w:eastAsia="Arial" w:hAnsi="Arial"/>
          <w:sz w:val="16"/>
          <w:szCs w:val="16"/>
          <w:color w:val="auto"/>
        </w:rPr>
        <w:t>or its officers, employees, and agents, or for any special incidental, consequential or punitive damages. ‘</w:t>
      </w:r>
      <w:r>
        <w:rPr>
          <w:rFonts w:ascii="Arial" w:cs="Arial" w:eastAsia="Arial" w:hAnsi="Arial"/>
          <w:sz w:val="16"/>
          <w:szCs w:val="16"/>
          <w:i w:val="1"/>
          <w:iCs w:val="1"/>
          <w:color w:val="auto"/>
        </w:rPr>
        <w:t>Claims</w:t>
      </w:r>
      <w:r>
        <w:rPr>
          <w:rFonts w:ascii="Arial" w:cs="Arial" w:eastAsia="Arial" w:hAnsi="Arial"/>
          <w:sz w:val="16"/>
          <w:szCs w:val="16"/>
          <w:color w:val="auto"/>
        </w:rPr>
        <w:t>’ shall mean all demands, claims, proceedings, penalties, fines, and liability (whether criminal or civil, in contract, tort, or otherwise), and ‘</w:t>
      </w:r>
      <w:r>
        <w:rPr>
          <w:rFonts w:ascii="Arial" w:cs="Arial" w:eastAsia="Arial" w:hAnsi="Arial"/>
          <w:sz w:val="16"/>
          <w:szCs w:val="16"/>
          <w:i w:val="1"/>
          <w:iCs w:val="1"/>
          <w:color w:val="auto"/>
        </w:rPr>
        <w:t>Losses</w:t>
      </w:r>
      <w:r>
        <w:rPr>
          <w:rFonts w:ascii="Arial" w:cs="Arial" w:eastAsia="Arial" w:hAnsi="Arial"/>
          <w:sz w:val="16"/>
          <w:szCs w:val="16"/>
          <w:color w:val="auto"/>
        </w:rPr>
        <w:t>’ shall mean all losses including without limitation financial losses, damages, reasonable legal costs, and other reasonable expenses of any nature.</w:t>
      </w:r>
    </w:p>
    <w:p>
      <w:pPr>
        <w:spacing w:after="0" w:line="213" w:lineRule="exact"/>
        <w:rPr>
          <w:sz w:val="20"/>
          <w:szCs w:val="20"/>
          <w:color w:val="auto"/>
        </w:rPr>
      </w:pPr>
    </w:p>
    <w:p>
      <w:pPr>
        <w:ind w:left="443" w:hanging="443"/>
        <w:spacing w:after="0"/>
        <w:tabs>
          <w:tab w:leader="none" w:pos="443"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color w:val="auto"/>
        </w:rPr>
        <w:t>Intellectual Property and Exclusionary Rights</w:t>
      </w:r>
    </w:p>
    <w:p>
      <w:pPr>
        <w:spacing w:after="0" w:line="258" w:lineRule="exact"/>
        <w:rPr>
          <w:sz w:val="20"/>
          <w:szCs w:val="20"/>
          <w:color w:val="auto"/>
        </w:rPr>
      </w:pPr>
    </w:p>
    <w:p>
      <w:pPr>
        <w:ind w:left="443" w:right="360" w:hanging="450"/>
        <w:spacing w:after="0" w:line="283" w:lineRule="auto"/>
        <w:tabs>
          <w:tab w:leader="none" w:pos="422"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i w:val="1"/>
          <w:iCs w:val="1"/>
          <w:color w:val="auto"/>
        </w:rPr>
        <w:t>Exclusionary Rights</w:t>
      </w:r>
      <w:r>
        <w:rPr>
          <w:rFonts w:ascii="Arial" w:cs="Arial" w:eastAsia="Arial" w:hAnsi="Arial"/>
          <w:sz w:val="16"/>
          <w:szCs w:val="16"/>
          <w:color w:val="auto"/>
        </w:rPr>
        <w:t>. It is expressly agreed that the license granted by Clause 2.1(a) is for the</w:t>
      </w:r>
      <w:r>
        <w:rPr>
          <w:rFonts w:ascii="Arial" w:cs="Arial" w:eastAsia="Arial" w:hAnsi="Arial"/>
          <w:sz w:val="16"/>
          <w:szCs w:val="16"/>
          <w:i w:val="1"/>
          <w:iCs w:val="1"/>
          <w:color w:val="auto"/>
        </w:rPr>
        <w:t xml:space="preserve"> Term </w:t>
      </w:r>
      <w:r>
        <w:rPr>
          <w:rFonts w:ascii="Arial" w:cs="Arial" w:eastAsia="Arial" w:hAnsi="Arial"/>
          <w:sz w:val="16"/>
          <w:szCs w:val="16"/>
          <w:color w:val="auto"/>
        </w:rPr>
        <w:t>and no further rights to use</w:t>
      </w:r>
      <w:r>
        <w:rPr>
          <w:rFonts w:ascii="Arial" w:cs="Arial" w:eastAsia="Arial" w:hAnsi="Arial"/>
          <w:sz w:val="16"/>
          <w:szCs w:val="16"/>
          <w:i w:val="1"/>
          <w:iCs w:val="1"/>
          <w:color w:val="auto"/>
        </w:rPr>
        <w:t xml:space="preserve"> KODE™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KODE™ Know-How </w:t>
      </w:r>
      <w:r>
        <w:rPr>
          <w:rFonts w:ascii="Arial" w:cs="Arial" w:eastAsia="Arial" w:hAnsi="Arial"/>
          <w:sz w:val="16"/>
          <w:szCs w:val="16"/>
          <w:color w:val="auto"/>
        </w:rPr>
        <w:t>are granted under this Agreement.</w:t>
      </w:r>
    </w:p>
    <w:p>
      <w:pPr>
        <w:spacing w:after="0" w:line="199" w:lineRule="exact"/>
        <w:rPr>
          <w:sz w:val="20"/>
          <w:szCs w:val="20"/>
          <w:color w:val="auto"/>
        </w:rPr>
      </w:pPr>
    </w:p>
    <w:p>
      <w:pPr>
        <w:ind w:left="443" w:right="160" w:hanging="450"/>
        <w:spacing w:after="0" w:line="286" w:lineRule="auto"/>
        <w:tabs>
          <w:tab w:leader="none" w:pos="42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i w:val="1"/>
          <w:iCs w:val="1"/>
          <w:color w:val="auto"/>
        </w:rPr>
        <w:t>Intellectual Property</w:t>
      </w:r>
      <w:r>
        <w:rPr>
          <w:rFonts w:ascii="Arial" w:cs="Arial" w:eastAsia="Arial" w:hAnsi="Arial"/>
          <w:sz w:val="15"/>
          <w:szCs w:val="15"/>
          <w:color w:val="auto"/>
        </w:rPr>
        <w:t>. The ownership of any</w:t>
      </w:r>
      <w:r>
        <w:rPr>
          <w:rFonts w:ascii="Arial" w:cs="Arial" w:eastAsia="Arial" w:hAnsi="Arial"/>
          <w:sz w:val="15"/>
          <w:szCs w:val="15"/>
          <w:i w:val="1"/>
          <w:iCs w:val="1"/>
          <w:color w:val="auto"/>
        </w:rPr>
        <w:t xml:space="preserve"> Exclusionary Rights </w:t>
      </w:r>
      <w:r>
        <w:rPr>
          <w:rFonts w:ascii="Arial" w:cs="Arial" w:eastAsia="Arial" w:hAnsi="Arial"/>
          <w:sz w:val="15"/>
          <w:szCs w:val="15"/>
          <w:color w:val="auto"/>
        </w:rPr>
        <w:t>in respect of any discoveries, innovations or inventions made jointly by the</w:t>
      </w:r>
      <w:r>
        <w:rPr>
          <w:rFonts w:ascii="Arial" w:cs="Arial" w:eastAsia="Arial" w:hAnsi="Arial"/>
          <w:sz w:val="15"/>
          <w:szCs w:val="15"/>
          <w:i w:val="1"/>
          <w:iCs w:val="1"/>
          <w:color w:val="auto"/>
        </w:rPr>
        <w:t xml:space="preserve"> Parties </w:t>
      </w:r>
      <w:r>
        <w:rPr>
          <w:rFonts w:ascii="Arial" w:cs="Arial" w:eastAsia="Arial" w:hAnsi="Arial"/>
          <w:sz w:val="15"/>
          <w:szCs w:val="15"/>
          <w:color w:val="auto"/>
        </w:rPr>
        <w:t>during the</w:t>
      </w:r>
      <w:r>
        <w:rPr>
          <w:rFonts w:ascii="Arial" w:cs="Arial" w:eastAsia="Arial" w:hAnsi="Arial"/>
          <w:sz w:val="15"/>
          <w:szCs w:val="15"/>
          <w:i w:val="1"/>
          <w:iCs w:val="1"/>
          <w:color w:val="auto"/>
        </w:rPr>
        <w:t xml:space="preserve"> Term</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 capable of being protected under patent law, (“</w:t>
      </w:r>
      <w:r>
        <w:rPr>
          <w:rFonts w:ascii="Arial" w:cs="Arial" w:eastAsia="Arial" w:hAnsi="Arial"/>
          <w:sz w:val="15"/>
          <w:szCs w:val="15"/>
          <w:i w:val="1"/>
          <w:iCs w:val="1"/>
          <w:color w:val="auto"/>
        </w:rPr>
        <w:t>New Rights</w:t>
      </w:r>
      <w:r>
        <w:rPr>
          <w:rFonts w:ascii="Arial" w:cs="Arial" w:eastAsia="Arial" w:hAnsi="Arial"/>
          <w:sz w:val="15"/>
          <w:szCs w:val="15"/>
          <w:color w:val="auto"/>
        </w:rPr>
        <w:t xml:space="preserve">”) shall be allocated according to the flowchart appended to this Agreement as Schedule 3. Such </w:t>
      </w:r>
      <w:r>
        <w:rPr>
          <w:rFonts w:ascii="Arial" w:cs="Arial" w:eastAsia="Arial" w:hAnsi="Arial"/>
          <w:sz w:val="15"/>
          <w:szCs w:val="15"/>
          <w:i w:val="1"/>
          <w:iCs w:val="1"/>
          <w:color w:val="auto"/>
        </w:rPr>
        <w:t>New</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Rights </w:t>
      </w:r>
      <w:r>
        <w:rPr>
          <w:rFonts w:ascii="Arial" w:cs="Arial" w:eastAsia="Arial" w:hAnsi="Arial"/>
          <w:sz w:val="15"/>
          <w:szCs w:val="15"/>
          <w:color w:val="auto"/>
        </w:rPr>
        <w:t>owned by</w:t>
      </w:r>
      <w:r>
        <w:rPr>
          <w:rFonts w:ascii="Arial" w:cs="Arial" w:eastAsia="Arial" w:hAnsi="Arial"/>
          <w:sz w:val="15"/>
          <w:szCs w:val="15"/>
          <w:i w:val="1"/>
          <w:iCs w:val="1"/>
          <w:color w:val="auto"/>
        </w:rPr>
        <w:t xml:space="preserve"> KBL </w:t>
      </w:r>
      <w:r>
        <w:rPr>
          <w:rFonts w:ascii="Arial" w:cs="Arial" w:eastAsia="Arial" w:hAnsi="Arial"/>
          <w:sz w:val="15"/>
          <w:szCs w:val="15"/>
          <w:color w:val="auto"/>
        </w:rPr>
        <w:t>shall for the purposes of this Agreement be deemed to be</w:t>
      </w:r>
      <w:r>
        <w:rPr>
          <w:rFonts w:ascii="Arial" w:cs="Arial" w:eastAsia="Arial" w:hAnsi="Arial"/>
          <w:sz w:val="15"/>
          <w:szCs w:val="15"/>
          <w:i w:val="1"/>
          <w:iCs w:val="1"/>
          <w:color w:val="auto"/>
        </w:rPr>
        <w:t xml:space="preserve"> Licensed Patents </w:t>
      </w:r>
      <w:r>
        <w:rPr>
          <w:rFonts w:ascii="Arial" w:cs="Arial" w:eastAsia="Arial" w:hAnsi="Arial"/>
          <w:sz w:val="15"/>
          <w:szCs w:val="15"/>
          <w:color w:val="auto"/>
        </w:rPr>
        <w:t>and subject to the licence, rights and obligations granted hereunder,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specifically the </w:t>
      </w:r>
      <w:r>
        <w:rPr>
          <w:rFonts w:ascii="Arial" w:cs="Arial" w:eastAsia="Arial" w:hAnsi="Arial"/>
          <w:sz w:val="15"/>
          <w:szCs w:val="15"/>
          <w:i w:val="1"/>
          <w:iCs w:val="1"/>
          <w:color w:val="auto"/>
        </w:rPr>
        <w:t>Evaluation Licence</w:t>
      </w:r>
      <w:r>
        <w:rPr>
          <w:rFonts w:ascii="Arial" w:cs="Arial" w:eastAsia="Arial" w:hAnsi="Arial"/>
          <w:sz w:val="15"/>
          <w:szCs w:val="15"/>
          <w:color w:val="auto"/>
        </w:rPr>
        <w:t xml:space="preserve"> referred to in Clause 2.1(a) and the </w:t>
      </w:r>
      <w:r>
        <w:rPr>
          <w:rFonts w:ascii="Arial" w:cs="Arial" w:eastAsia="Arial" w:hAnsi="Arial"/>
          <w:sz w:val="15"/>
          <w:szCs w:val="15"/>
          <w:i w:val="1"/>
          <w:iCs w:val="1"/>
          <w:color w:val="auto"/>
        </w:rPr>
        <w:t>Option</w:t>
      </w:r>
      <w:r>
        <w:rPr>
          <w:rFonts w:ascii="Arial" w:cs="Arial" w:eastAsia="Arial" w:hAnsi="Arial"/>
          <w:sz w:val="15"/>
          <w:szCs w:val="15"/>
          <w:color w:val="auto"/>
        </w:rPr>
        <w:t xml:space="preserve"> referred to in Clause 2.1(b).</w:t>
      </w:r>
    </w:p>
    <w:p>
      <w:pPr>
        <w:spacing w:after="0" w:line="197" w:lineRule="exact"/>
        <w:rPr>
          <w:sz w:val="20"/>
          <w:szCs w:val="20"/>
          <w:color w:val="auto"/>
        </w:rPr>
      </w:pPr>
    </w:p>
    <w:p>
      <w:pPr>
        <w:ind w:left="443" w:hanging="443"/>
        <w:spacing w:after="0"/>
        <w:tabs>
          <w:tab w:leader="none" w:pos="443"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p>
    <w:p>
      <w:pPr>
        <w:spacing w:after="0" w:line="258" w:lineRule="exact"/>
        <w:rPr>
          <w:sz w:val="20"/>
          <w:szCs w:val="20"/>
          <w:color w:val="auto"/>
        </w:rPr>
      </w:pPr>
    </w:p>
    <w:p>
      <w:pPr>
        <w:ind w:left="443" w:right="40" w:hanging="450"/>
        <w:spacing w:after="0" w:line="283" w:lineRule="auto"/>
        <w:tabs>
          <w:tab w:leader="none" w:pos="42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i w:val="1"/>
          <w:iCs w:val="1"/>
          <w:color w:val="auto"/>
        </w:rPr>
        <w:t xml:space="preserve">Conditions of disclosure. </w:t>
      </w:r>
      <w:r>
        <w:rPr>
          <w:rFonts w:ascii="Arial" w:cs="Arial" w:eastAsia="Arial" w:hAnsi="Arial"/>
          <w:sz w:val="16"/>
          <w:szCs w:val="16"/>
          <w:color w:val="auto"/>
        </w:rPr>
        <w:t>All information, including the</w:t>
      </w:r>
      <w:r>
        <w:rPr>
          <w:rFonts w:ascii="Arial" w:cs="Arial" w:eastAsia="Arial" w:hAnsi="Arial"/>
          <w:sz w:val="16"/>
          <w:szCs w:val="16"/>
          <w:i w:val="1"/>
          <w:iCs w:val="1"/>
          <w:color w:val="auto"/>
        </w:rPr>
        <w:t xml:space="preserve"> Research Reports</w:t>
      </w:r>
      <w:r>
        <w:rPr>
          <w:rFonts w:ascii="Arial" w:cs="Arial" w:eastAsia="Arial" w:hAnsi="Arial"/>
          <w:sz w:val="16"/>
          <w:szCs w:val="16"/>
          <w:color w:val="auto"/>
        </w:rPr>
        <w:t>, disclosed by either Party (the ‘</w:t>
      </w:r>
      <w:r>
        <w:rPr>
          <w:rFonts w:ascii="Arial" w:cs="Arial" w:eastAsia="Arial" w:hAnsi="Arial"/>
          <w:sz w:val="16"/>
          <w:szCs w:val="16"/>
          <w:i w:val="1"/>
          <w:iCs w:val="1"/>
          <w:color w:val="auto"/>
        </w:rPr>
        <w:t>Disclosing Party</w:t>
      </w:r>
      <w:r>
        <w:rPr>
          <w:rFonts w:ascii="Arial" w:cs="Arial" w:eastAsia="Arial" w:hAnsi="Arial"/>
          <w:sz w:val="16"/>
          <w:szCs w:val="16"/>
          <w:color w:val="auto"/>
        </w:rPr>
        <w:t>’) directly or indirectly to the other Party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Receiving Party</w:t>
      </w:r>
      <w:r>
        <w:rPr>
          <w:rFonts w:ascii="Arial" w:cs="Arial" w:eastAsia="Arial" w:hAnsi="Arial"/>
          <w:sz w:val="16"/>
          <w:szCs w:val="16"/>
          <w:color w:val="auto"/>
        </w:rPr>
        <w:t>’) under this Agreement is provided subject to the following conditions, namely that the Receiving Party shall:</w:t>
      </w:r>
    </w:p>
    <w:p>
      <w:pPr>
        <w:spacing w:after="0" w:line="199" w:lineRule="exact"/>
        <w:rPr>
          <w:sz w:val="20"/>
          <w:szCs w:val="20"/>
          <w:color w:val="auto"/>
        </w:rPr>
      </w:pPr>
    </w:p>
    <w:p>
      <w:pPr>
        <w:ind w:left="903" w:right="640" w:hanging="452"/>
        <w:spacing w:after="0" w:line="283" w:lineRule="auto"/>
        <w:tabs>
          <w:tab w:leader="none" w:pos="903"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treat all such information as secret and confidential and take all proper and reasonable measures to ensure that the confidentiality of such information is maintained;</w:t>
      </w:r>
    </w:p>
    <w:p>
      <w:pPr>
        <w:spacing w:after="0" w:line="358"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3"/>
          </w:cols>
          <w:pgMar w:left="237" w:top="370" w:right="279" w:bottom="1440" w:gutter="0" w:footer="0" w:header="0"/>
        </w:sectPr>
      </w:pPr>
    </w:p>
    <w:bookmarkStart w:id="388" w:name="page389"/>
    <w:bookmarkEnd w:id="388"/>
    <w:p>
      <w:pPr>
        <w:ind w:left="900" w:right="360" w:hanging="452"/>
        <w:spacing w:after="0" w:line="283" w:lineRule="auto"/>
        <w:tabs>
          <w:tab w:leader="none" w:pos="90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not use the information for any purpose other than for the purposes of the </w:t>
      </w:r>
      <w:r>
        <w:rPr>
          <w:rFonts w:ascii="Arial" w:cs="Arial" w:eastAsia="Arial" w:hAnsi="Arial"/>
          <w:sz w:val="16"/>
          <w:szCs w:val="16"/>
          <w:i w:val="1"/>
          <w:iCs w:val="1"/>
          <w:color w:val="auto"/>
        </w:rPr>
        <w:t>Evaluation License</w:t>
      </w:r>
      <w:r>
        <w:rPr>
          <w:rFonts w:ascii="Arial" w:cs="Arial" w:eastAsia="Arial" w:hAnsi="Arial"/>
          <w:sz w:val="16"/>
          <w:szCs w:val="16"/>
          <w:color w:val="auto"/>
        </w:rPr>
        <w:t xml:space="preserve"> under Clause 2.1(a) and pursuant to the </w:t>
      </w:r>
      <w:r>
        <w:rPr>
          <w:rFonts w:ascii="Arial" w:cs="Arial" w:eastAsia="Arial" w:hAnsi="Arial"/>
          <w:sz w:val="16"/>
          <w:szCs w:val="16"/>
          <w:i w:val="1"/>
          <w:iCs w:val="1"/>
          <w:color w:val="auto"/>
        </w:rPr>
        <w:t>Exploitation Licence</w:t>
      </w:r>
      <w:r>
        <w:rPr>
          <w:rFonts w:ascii="Arial" w:cs="Arial" w:eastAsia="Arial" w:hAnsi="Arial"/>
          <w:sz w:val="16"/>
          <w:szCs w:val="16"/>
          <w:color w:val="auto"/>
        </w:rPr>
        <w:t xml:space="preserve"> referred to in Clause 2.1(b);</w:t>
      </w:r>
    </w:p>
    <w:p>
      <w:pPr>
        <w:spacing w:after="0" w:line="199" w:lineRule="exact"/>
        <w:rPr>
          <w:rFonts w:ascii="Arial" w:cs="Arial" w:eastAsia="Arial" w:hAnsi="Arial"/>
          <w:sz w:val="16"/>
          <w:szCs w:val="16"/>
          <w:color w:val="auto"/>
        </w:rPr>
      </w:pPr>
    </w:p>
    <w:p>
      <w:pPr>
        <w:ind w:left="900" w:hanging="452"/>
        <w:spacing w:after="0"/>
        <w:tabs>
          <w:tab w:leader="none" w:pos="90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not disclose the information to any </w:t>
      </w:r>
      <w:r>
        <w:rPr>
          <w:rFonts w:ascii="Arial" w:cs="Arial" w:eastAsia="Arial" w:hAnsi="Arial"/>
          <w:sz w:val="16"/>
          <w:szCs w:val="16"/>
          <w:i w:val="1"/>
          <w:iCs w:val="1"/>
          <w:color w:val="auto"/>
        </w:rPr>
        <w:t>Third Party</w:t>
      </w:r>
      <w:r>
        <w:rPr>
          <w:rFonts w:ascii="Arial" w:cs="Arial" w:eastAsia="Arial" w:hAnsi="Arial"/>
          <w:sz w:val="16"/>
          <w:szCs w:val="16"/>
          <w:color w:val="auto"/>
        </w:rPr>
        <w:t xml:space="preserve"> (except as provided in this Agreement) without written permission;</w:t>
      </w:r>
    </w:p>
    <w:p>
      <w:pPr>
        <w:spacing w:after="0" w:line="254" w:lineRule="exact"/>
        <w:rPr>
          <w:rFonts w:ascii="Arial" w:cs="Arial" w:eastAsia="Arial" w:hAnsi="Arial"/>
          <w:sz w:val="16"/>
          <w:szCs w:val="16"/>
          <w:color w:val="auto"/>
        </w:rPr>
      </w:pPr>
    </w:p>
    <w:p>
      <w:pPr>
        <w:ind w:left="900" w:hanging="452"/>
        <w:spacing w:after="0" w:line="268" w:lineRule="auto"/>
        <w:tabs>
          <w:tab w:leader="none" w:pos="90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only copy and disclose the information to those of its agents and employees who reasonably require access to the information for the purposes of the </w:t>
      </w:r>
      <w:r>
        <w:rPr>
          <w:rFonts w:ascii="Arial" w:cs="Arial" w:eastAsia="Arial" w:hAnsi="Arial"/>
          <w:sz w:val="16"/>
          <w:szCs w:val="16"/>
          <w:i w:val="1"/>
          <w:iCs w:val="1"/>
          <w:color w:val="auto"/>
        </w:rPr>
        <w:t xml:space="preserve">Evaluation License </w:t>
      </w:r>
      <w:r>
        <w:rPr>
          <w:rFonts w:ascii="Arial" w:cs="Arial" w:eastAsia="Arial" w:hAnsi="Arial"/>
          <w:sz w:val="16"/>
          <w:szCs w:val="16"/>
          <w:color w:val="auto"/>
        </w:rPr>
        <w:t>under Clause 2.1(a) or pursuant to the</w:t>
      </w:r>
      <w:r>
        <w:rPr>
          <w:rFonts w:ascii="Arial" w:cs="Arial" w:eastAsia="Arial" w:hAnsi="Arial"/>
          <w:sz w:val="16"/>
          <w:szCs w:val="16"/>
          <w:i w:val="1"/>
          <w:iCs w:val="1"/>
          <w:color w:val="auto"/>
        </w:rPr>
        <w:t xml:space="preserve"> Exploitation Licence </w:t>
      </w:r>
      <w:r>
        <w:rPr>
          <w:rFonts w:ascii="Arial" w:cs="Arial" w:eastAsia="Arial" w:hAnsi="Arial"/>
          <w:sz w:val="16"/>
          <w:szCs w:val="16"/>
          <w:color w:val="auto"/>
        </w:rPr>
        <w:t>referred to in Clause 2.1(b), and on condition that all such agents and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to whom disclosures are made:</w:t>
      </w:r>
    </w:p>
    <w:p>
      <w:pPr>
        <w:spacing w:after="0" w:line="211" w:lineRule="exact"/>
        <w:rPr>
          <w:rFonts w:ascii="Arial" w:cs="Arial" w:eastAsia="Arial" w:hAnsi="Arial"/>
          <w:sz w:val="16"/>
          <w:szCs w:val="16"/>
          <w:color w:val="auto"/>
        </w:rPr>
      </w:pPr>
    </w:p>
    <w:p>
      <w:pPr>
        <w:ind w:left="1360" w:hanging="449"/>
        <w:spacing w:after="0"/>
        <w:tabs>
          <w:tab w:leader="none" w:pos="136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have been made aware of the confidential nature of the information and the conditions of disclosure defined in this Agreement; and</w:t>
      </w:r>
    </w:p>
    <w:p>
      <w:pPr>
        <w:spacing w:after="0" w:line="254" w:lineRule="exact"/>
        <w:rPr>
          <w:rFonts w:ascii="Arial" w:cs="Arial" w:eastAsia="Arial" w:hAnsi="Arial"/>
          <w:sz w:val="16"/>
          <w:szCs w:val="16"/>
          <w:color w:val="auto"/>
        </w:rPr>
      </w:pPr>
    </w:p>
    <w:p>
      <w:pPr>
        <w:ind w:left="1360" w:hanging="449"/>
        <w:spacing w:after="0"/>
        <w:tabs>
          <w:tab w:leader="none" w:pos="1360" w:val="left"/>
        </w:tabs>
        <w:numPr>
          <w:ilvl w:val="1"/>
          <w:numId w:val="370"/>
        </w:numPr>
        <w:rPr>
          <w:rFonts w:ascii="Arial" w:cs="Arial" w:eastAsia="Arial" w:hAnsi="Arial"/>
          <w:sz w:val="16"/>
          <w:szCs w:val="16"/>
          <w:color w:val="auto"/>
        </w:rPr>
      </w:pPr>
      <w:r>
        <w:rPr>
          <w:rFonts w:ascii="Arial" w:cs="Arial" w:eastAsia="Arial" w:hAnsi="Arial"/>
          <w:sz w:val="16"/>
          <w:szCs w:val="16"/>
          <w:color w:val="auto"/>
        </w:rPr>
        <w:t>shall have obligations of confidentiality to the Receiving Party no less onerous than those set out in this Clause 6;</w:t>
      </w:r>
    </w:p>
    <w:p>
      <w:pPr>
        <w:spacing w:after="0" w:line="254" w:lineRule="exact"/>
        <w:rPr>
          <w:rFonts w:ascii="Arial" w:cs="Arial" w:eastAsia="Arial" w:hAnsi="Arial"/>
          <w:sz w:val="16"/>
          <w:szCs w:val="16"/>
          <w:color w:val="auto"/>
        </w:rPr>
      </w:pPr>
    </w:p>
    <w:p>
      <w:pPr>
        <w:ind w:left="900" w:hanging="452"/>
        <w:spacing w:after="0"/>
        <w:tabs>
          <w:tab w:leader="none" w:pos="90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acknowledge the Disclosing Party as the source of, and mark as ‘Confidential’ any document incorporating the information; and</w:t>
      </w:r>
    </w:p>
    <w:p>
      <w:pPr>
        <w:spacing w:after="0" w:line="254" w:lineRule="exact"/>
        <w:rPr>
          <w:rFonts w:ascii="Arial" w:cs="Arial" w:eastAsia="Arial" w:hAnsi="Arial"/>
          <w:sz w:val="16"/>
          <w:szCs w:val="16"/>
          <w:color w:val="auto"/>
        </w:rPr>
      </w:pPr>
    </w:p>
    <w:p>
      <w:pPr>
        <w:ind w:left="900" w:right="60" w:hanging="452"/>
        <w:spacing w:after="0" w:line="286" w:lineRule="auto"/>
        <w:tabs>
          <w:tab w:leader="none" w:pos="900" w:val="left"/>
        </w:tabs>
        <w:numPr>
          <w:ilvl w:val="0"/>
          <w:numId w:val="370"/>
        </w:numPr>
        <w:rPr>
          <w:rFonts w:ascii="Arial" w:cs="Arial" w:eastAsia="Arial" w:hAnsi="Arial"/>
          <w:sz w:val="15"/>
          <w:szCs w:val="15"/>
          <w:color w:val="auto"/>
        </w:rPr>
      </w:pPr>
      <w:r>
        <w:rPr>
          <w:rFonts w:ascii="Arial" w:cs="Arial" w:eastAsia="Arial" w:hAnsi="Arial"/>
          <w:sz w:val="15"/>
          <w:szCs w:val="15"/>
          <w:color w:val="auto"/>
        </w:rPr>
        <w:t xml:space="preserve">return to the Disclosing Party or destroy all documents and materials (and any copies) containing, reflecting, incorporating, or based on the Disclosing Party’s information, including the </w:t>
      </w:r>
      <w:r>
        <w:rPr>
          <w:rFonts w:ascii="Arial" w:cs="Arial" w:eastAsia="Arial" w:hAnsi="Arial"/>
          <w:sz w:val="15"/>
          <w:szCs w:val="15"/>
          <w:i w:val="1"/>
          <w:iCs w:val="1"/>
          <w:color w:val="auto"/>
        </w:rPr>
        <w:t>Research Reports</w:t>
      </w:r>
      <w:r>
        <w:rPr>
          <w:rFonts w:ascii="Arial" w:cs="Arial" w:eastAsia="Arial" w:hAnsi="Arial"/>
          <w:sz w:val="15"/>
          <w:szCs w:val="15"/>
          <w:color w:val="auto"/>
        </w:rPr>
        <w:t>, to the Disclosing Party at its request and erase all the Disclosing Party's information from its computer systems or which is stored in electronic form (to the extent reasonably possible and where not possible the Receiving party undertakes not to access the Disclosing Party’s information) and against request certify in writing to the Disclosing Party that it has so complied.</w:t>
      </w:r>
    </w:p>
    <w:p>
      <w:pPr>
        <w:spacing w:after="0" w:line="20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5"/>
          <w:szCs w:val="15"/>
          <w:i w:val="1"/>
          <w:iCs w:val="1"/>
          <w:color w:val="auto"/>
        </w:rPr>
        <w:t xml:space="preserve">Exemptions. </w:t>
      </w:r>
      <w:r>
        <w:rPr>
          <w:rFonts w:ascii="Arial" w:cs="Arial" w:eastAsia="Arial" w:hAnsi="Arial"/>
          <w:sz w:val="15"/>
          <w:szCs w:val="15"/>
          <w:color w:val="auto"/>
        </w:rPr>
        <w:t>The obligations set out in Clause 6.1 will not apply to information which:</w:t>
      </w:r>
    </w:p>
    <w:p>
      <w:pPr>
        <w:spacing w:after="0" w:line="254" w:lineRule="exact"/>
        <w:rPr>
          <w:sz w:val="20"/>
          <w:szCs w:val="20"/>
          <w:color w:val="auto"/>
        </w:rPr>
      </w:pPr>
    </w:p>
    <w:p>
      <w:pPr>
        <w:ind w:left="900" w:hanging="452"/>
        <w:spacing w:after="0"/>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at the time of disclosure is publicly known or which after disclosure becomes publicly known through no fault of the Receiving Party; or</w:t>
      </w:r>
    </w:p>
    <w:p>
      <w:pPr>
        <w:spacing w:after="0" w:line="254" w:lineRule="exact"/>
        <w:rPr>
          <w:rFonts w:ascii="Arial" w:cs="Arial" w:eastAsia="Arial" w:hAnsi="Arial"/>
          <w:sz w:val="16"/>
          <w:szCs w:val="16"/>
          <w:color w:val="auto"/>
        </w:rPr>
      </w:pPr>
    </w:p>
    <w:p>
      <w:pPr>
        <w:ind w:left="900" w:right="120" w:hanging="452"/>
        <w:spacing w:after="0" w:line="283" w:lineRule="auto"/>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Receiving Party can show was in its possession at the time of disclosure or which is independently developed by the Receiving Party and was not acquired directly or indirectly from the Disclosing Party; or</w:t>
      </w:r>
    </w:p>
    <w:p>
      <w:pPr>
        <w:spacing w:after="0" w:line="199" w:lineRule="exact"/>
        <w:rPr>
          <w:rFonts w:ascii="Arial" w:cs="Arial" w:eastAsia="Arial" w:hAnsi="Arial"/>
          <w:sz w:val="16"/>
          <w:szCs w:val="16"/>
          <w:color w:val="auto"/>
        </w:rPr>
      </w:pPr>
    </w:p>
    <w:p>
      <w:pPr>
        <w:ind w:left="900" w:hanging="452"/>
        <w:spacing w:after="0"/>
        <w:tabs>
          <w:tab w:leader="none" w:pos="9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is made public at any time by the Disclosing Party, or by others with the permission of the Disclosing Party; or</w:t>
      </w:r>
    </w:p>
    <w:p>
      <w:pPr>
        <w:spacing w:after="0" w:line="254" w:lineRule="exact"/>
        <w:rPr>
          <w:rFonts w:ascii="Arial" w:cs="Arial" w:eastAsia="Arial" w:hAnsi="Arial"/>
          <w:sz w:val="16"/>
          <w:szCs w:val="16"/>
          <w:color w:val="auto"/>
        </w:rPr>
      </w:pPr>
    </w:p>
    <w:p>
      <w:pPr>
        <w:ind w:left="900" w:hanging="452"/>
        <w:spacing w:after="0"/>
        <w:tabs>
          <w:tab w:leader="none" w:pos="900" w:val="left"/>
        </w:tabs>
        <w:numPr>
          <w:ilvl w:val="0"/>
          <w:numId w:val="371"/>
        </w:numPr>
        <w:rPr>
          <w:rFonts w:ascii="Arial" w:cs="Arial" w:eastAsia="Arial" w:hAnsi="Arial"/>
          <w:sz w:val="15"/>
          <w:szCs w:val="15"/>
          <w:color w:val="auto"/>
        </w:rPr>
      </w:pPr>
      <w:r>
        <w:rPr>
          <w:rFonts w:ascii="Arial" w:cs="Arial" w:eastAsia="Arial" w:hAnsi="Arial"/>
          <w:sz w:val="15"/>
          <w:szCs w:val="15"/>
          <w:color w:val="auto"/>
        </w:rPr>
        <w:t xml:space="preserve">is received by the Receiving Party from a </w:t>
      </w:r>
      <w:r>
        <w:rPr>
          <w:rFonts w:ascii="Arial" w:cs="Arial" w:eastAsia="Arial" w:hAnsi="Arial"/>
          <w:sz w:val="15"/>
          <w:szCs w:val="15"/>
          <w:i w:val="1"/>
          <w:iCs w:val="1"/>
          <w:color w:val="auto"/>
        </w:rPr>
        <w:t>Third Party</w:t>
      </w:r>
      <w:r>
        <w:rPr>
          <w:rFonts w:ascii="Arial" w:cs="Arial" w:eastAsia="Arial" w:hAnsi="Arial"/>
          <w:sz w:val="15"/>
          <w:szCs w:val="15"/>
          <w:color w:val="auto"/>
        </w:rPr>
        <w:t xml:space="preserve"> without similar restriction and without breach of any confidentiality obligations to the Disclosing Party.</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389" w:name="page390"/>
    <w:bookmarkEnd w:id="389"/>
    <w:p>
      <w:pPr>
        <w:ind w:left="443" w:right="40" w:hanging="450"/>
        <w:spacing w:after="0" w:line="283" w:lineRule="auto"/>
        <w:tabs>
          <w:tab w:leader="none" w:pos="422"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i w:val="1"/>
          <w:iCs w:val="1"/>
          <w:color w:val="auto"/>
        </w:rPr>
        <w:t xml:space="preserve">No warranty. </w:t>
      </w:r>
      <w:r>
        <w:rPr>
          <w:rFonts w:ascii="Arial" w:cs="Arial" w:eastAsia="Arial" w:hAnsi="Arial"/>
          <w:sz w:val="16"/>
          <w:szCs w:val="16"/>
          <w:color w:val="auto"/>
        </w:rPr>
        <w:t>No warranty or representation is given by either party as to the accuracy or completeness of information provided under this Agreement. Each party must</w:t>
      </w:r>
      <w:r>
        <w:rPr>
          <w:rFonts w:ascii="Arial" w:cs="Arial" w:eastAsia="Arial" w:hAnsi="Arial"/>
          <w:sz w:val="16"/>
          <w:szCs w:val="16"/>
          <w:i w:val="1"/>
          <w:iCs w:val="1"/>
          <w:color w:val="auto"/>
        </w:rPr>
        <w:t xml:space="preserve"> </w:t>
      </w:r>
      <w:r>
        <w:rPr>
          <w:rFonts w:ascii="Arial" w:cs="Arial" w:eastAsia="Arial" w:hAnsi="Arial"/>
          <w:sz w:val="16"/>
          <w:szCs w:val="16"/>
          <w:color w:val="auto"/>
        </w:rPr>
        <w:t>make its own independent assessment of the information provided and rely on its own judgment in reaching any conclusion.</w:t>
      </w:r>
    </w:p>
    <w:p>
      <w:pPr>
        <w:spacing w:after="0" w:line="199" w:lineRule="exact"/>
        <w:rPr>
          <w:sz w:val="20"/>
          <w:szCs w:val="20"/>
          <w:color w:val="auto"/>
        </w:rPr>
      </w:pPr>
    </w:p>
    <w:p>
      <w:pPr>
        <w:ind w:left="3"/>
        <w:spacing w:after="0"/>
        <w:tabs>
          <w:tab w:leader="none" w:pos="422"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4"/>
          <w:szCs w:val="14"/>
          <w:i w:val="1"/>
          <w:iCs w:val="1"/>
          <w:color w:val="auto"/>
        </w:rPr>
        <w:t xml:space="preserve">Survival. </w:t>
      </w:r>
      <w:r>
        <w:rPr>
          <w:rFonts w:ascii="Arial" w:cs="Arial" w:eastAsia="Arial" w:hAnsi="Arial"/>
          <w:sz w:val="14"/>
          <w:szCs w:val="14"/>
          <w:color w:val="auto"/>
        </w:rPr>
        <w:t>The obligations set out in this Clause 6 shall survive any termination of this Agreement for a period of [*] years after the</w:t>
      </w:r>
      <w:r>
        <w:rPr>
          <w:rFonts w:ascii="Arial" w:cs="Arial" w:eastAsia="Arial" w:hAnsi="Arial"/>
          <w:sz w:val="14"/>
          <w:szCs w:val="14"/>
          <w:i w:val="1"/>
          <w:iCs w:val="1"/>
          <w:color w:val="auto"/>
        </w:rPr>
        <w:t xml:space="preserve"> Term</w:t>
      </w:r>
      <w:r>
        <w:rPr>
          <w:rFonts w:ascii="Arial" w:cs="Arial" w:eastAsia="Arial" w:hAnsi="Arial"/>
          <w:sz w:val="14"/>
          <w:szCs w:val="14"/>
          <w:color w:val="auto"/>
        </w:rPr>
        <w:t>.</w:t>
      </w:r>
    </w:p>
    <w:p>
      <w:pPr>
        <w:spacing w:after="0" w:line="250" w:lineRule="exact"/>
        <w:rPr>
          <w:sz w:val="20"/>
          <w:szCs w:val="20"/>
          <w:color w:val="auto"/>
        </w:rPr>
      </w:pPr>
    </w:p>
    <w:p>
      <w:pPr>
        <w:ind w:left="443" w:hanging="443"/>
        <w:spacing w:after="0"/>
        <w:tabs>
          <w:tab w:leader="none" w:pos="443" w:val="left"/>
        </w:tabs>
        <w:numPr>
          <w:ilvl w:val="0"/>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p>
    <w:p>
      <w:pPr>
        <w:spacing w:after="0" w:line="258" w:lineRule="exact"/>
        <w:rPr>
          <w:sz w:val="20"/>
          <w:szCs w:val="20"/>
          <w:color w:val="auto"/>
        </w:rPr>
      </w:pPr>
    </w:p>
    <w:p>
      <w:pPr>
        <w:ind w:left="443" w:right="900" w:hanging="450"/>
        <w:spacing w:after="0" w:line="318" w:lineRule="auto"/>
        <w:tabs>
          <w:tab w:leader="none" w:pos="422"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5"/>
          <w:szCs w:val="15"/>
          <w:i w:val="1"/>
          <w:iCs w:val="1"/>
          <w:color w:val="auto"/>
        </w:rPr>
        <w:t xml:space="preserve">Commencement and termination by expiry. </w:t>
      </w:r>
      <w:r>
        <w:rPr>
          <w:rFonts w:ascii="Arial" w:cs="Arial" w:eastAsia="Arial" w:hAnsi="Arial"/>
          <w:sz w:val="15"/>
          <w:szCs w:val="15"/>
          <w:color w:val="auto"/>
        </w:rPr>
        <w:t>This Agreement, and the</w:t>
      </w:r>
      <w:r>
        <w:rPr>
          <w:rFonts w:ascii="Arial" w:cs="Arial" w:eastAsia="Arial" w:hAnsi="Arial"/>
          <w:sz w:val="15"/>
          <w:szCs w:val="15"/>
          <w:i w:val="1"/>
          <w:iCs w:val="1"/>
          <w:color w:val="auto"/>
        </w:rPr>
        <w:t xml:space="preserve"> Evaluation Licence </w:t>
      </w:r>
      <w:r>
        <w:rPr>
          <w:rFonts w:ascii="Arial" w:cs="Arial" w:eastAsia="Arial" w:hAnsi="Arial"/>
          <w:sz w:val="15"/>
          <w:szCs w:val="15"/>
          <w:color w:val="auto"/>
        </w:rPr>
        <w:t>and</w:t>
      </w:r>
      <w:r>
        <w:rPr>
          <w:rFonts w:ascii="Arial" w:cs="Arial" w:eastAsia="Arial" w:hAnsi="Arial"/>
          <w:sz w:val="15"/>
          <w:szCs w:val="15"/>
          <w:i w:val="1"/>
          <w:iCs w:val="1"/>
          <w:color w:val="auto"/>
        </w:rPr>
        <w:t xml:space="preserve"> Option </w:t>
      </w:r>
      <w:r>
        <w:rPr>
          <w:rFonts w:ascii="Arial" w:cs="Arial" w:eastAsia="Arial" w:hAnsi="Arial"/>
          <w:sz w:val="15"/>
          <w:szCs w:val="15"/>
          <w:color w:val="auto"/>
        </w:rPr>
        <w:t>granted under Clause 2.1 shall come into effect on the</w:t>
      </w:r>
      <w:r>
        <w:rPr>
          <w:rFonts w:ascii="Arial" w:cs="Arial" w:eastAsia="Arial" w:hAnsi="Arial"/>
          <w:sz w:val="15"/>
          <w:szCs w:val="15"/>
          <w:i w:val="1"/>
          <w:iCs w:val="1"/>
          <w:color w:val="auto"/>
        </w:rPr>
        <w:t xml:space="preserve"> Commencement Date </w:t>
      </w:r>
      <w:r>
        <w:rPr>
          <w:rFonts w:ascii="Arial" w:cs="Arial" w:eastAsia="Arial" w:hAnsi="Arial"/>
          <w:sz w:val="15"/>
          <w:szCs w:val="15"/>
          <w:color w:val="auto"/>
        </w:rPr>
        <w:t>and, unless terminated earlier in accordance with this Clause 7, shall continue in force for a period of [*] years.</w:t>
      </w:r>
    </w:p>
    <w:p>
      <w:pPr>
        <w:spacing w:after="0" w:line="176" w:lineRule="exact"/>
        <w:rPr>
          <w:sz w:val="20"/>
          <w:szCs w:val="20"/>
          <w:color w:val="auto"/>
        </w:rPr>
      </w:pPr>
    </w:p>
    <w:p>
      <w:pPr>
        <w:ind w:left="443" w:right="120" w:hanging="450"/>
        <w:spacing w:after="0" w:line="286" w:lineRule="auto"/>
        <w:tabs>
          <w:tab w:leader="none" w:pos="422"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5"/>
          <w:szCs w:val="15"/>
          <w:i w:val="1"/>
          <w:iCs w:val="1"/>
          <w:color w:val="auto"/>
        </w:rPr>
        <w:t>Early termination</w:t>
      </w:r>
      <w:r>
        <w:rPr>
          <w:rFonts w:ascii="Arial" w:cs="Arial" w:eastAsia="Arial" w:hAnsi="Arial"/>
          <w:sz w:val="15"/>
          <w:szCs w:val="15"/>
          <w:color w:val="auto"/>
        </w:rPr>
        <w:t>.</w:t>
      </w:r>
      <w:r>
        <w:rPr>
          <w:rFonts w:ascii="Arial" w:cs="Arial" w:eastAsia="Arial" w:hAnsi="Arial"/>
          <w:sz w:val="15"/>
          <w:szCs w:val="15"/>
          <w:i w:val="1"/>
          <w:iCs w:val="1"/>
          <w:color w:val="auto"/>
        </w:rPr>
        <w:t xml:space="preserve"> Agalimmune </w:t>
      </w:r>
      <w:r>
        <w:rPr>
          <w:rFonts w:ascii="Arial" w:cs="Arial" w:eastAsia="Arial" w:hAnsi="Arial"/>
          <w:sz w:val="15"/>
          <w:szCs w:val="15"/>
          <w:color w:val="auto"/>
        </w:rPr>
        <w:t>may terminate this Agreement at any time on [*] days’ notice in writing to</w:t>
      </w:r>
      <w:r>
        <w:rPr>
          <w:rFonts w:ascii="Arial" w:cs="Arial" w:eastAsia="Arial" w:hAnsi="Arial"/>
          <w:sz w:val="15"/>
          <w:szCs w:val="15"/>
          <w:i w:val="1"/>
          <w:iCs w:val="1"/>
          <w:color w:val="auto"/>
        </w:rPr>
        <w:t xml:space="preserve"> KBL, </w:t>
      </w:r>
      <w:r>
        <w:rPr>
          <w:rFonts w:ascii="Arial" w:cs="Arial" w:eastAsia="Arial" w:hAnsi="Arial"/>
          <w:sz w:val="15"/>
          <w:szCs w:val="15"/>
          <w:color w:val="auto"/>
        </w:rPr>
        <w:t>or on [*] days’ notice if there is a Change of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w:t>
      </w:r>
      <w:r>
        <w:rPr>
          <w:rFonts w:ascii="Arial" w:cs="Arial" w:eastAsia="Arial" w:hAnsi="Arial"/>
          <w:sz w:val="15"/>
          <w:szCs w:val="15"/>
          <w:i w:val="1"/>
          <w:iCs w:val="1"/>
          <w:color w:val="auto"/>
        </w:rPr>
        <w:t>KBL</w:t>
      </w:r>
      <w:r>
        <w:rPr>
          <w:rFonts w:ascii="Arial" w:cs="Arial" w:eastAsia="Arial" w:hAnsi="Arial"/>
          <w:sz w:val="15"/>
          <w:szCs w:val="15"/>
          <w:color w:val="auto"/>
        </w:rPr>
        <w:t xml:space="preserve">, or </w:t>
      </w:r>
      <w:r>
        <w:rPr>
          <w:rFonts w:ascii="Arial" w:cs="Arial" w:eastAsia="Arial" w:hAnsi="Arial"/>
          <w:sz w:val="15"/>
          <w:szCs w:val="15"/>
          <w:i w:val="1"/>
          <w:iCs w:val="1"/>
          <w:color w:val="auto"/>
        </w:rPr>
        <w:t>KBL</w:t>
      </w:r>
      <w:r>
        <w:rPr>
          <w:rFonts w:ascii="Arial" w:cs="Arial" w:eastAsia="Arial" w:hAnsi="Arial"/>
          <w:sz w:val="15"/>
          <w:szCs w:val="15"/>
          <w:color w:val="auto"/>
        </w:rPr>
        <w:t xml:space="preserve"> sells all or substantially all of the </w:t>
      </w:r>
      <w:r>
        <w:rPr>
          <w:rFonts w:ascii="Arial" w:cs="Arial" w:eastAsia="Arial" w:hAnsi="Arial"/>
          <w:sz w:val="15"/>
          <w:szCs w:val="15"/>
          <w:i w:val="1"/>
          <w:iCs w:val="1"/>
          <w:color w:val="auto"/>
        </w:rPr>
        <w:t>KODE™ Technology</w:t>
      </w:r>
      <w:r>
        <w:rPr>
          <w:rFonts w:ascii="Arial" w:cs="Arial" w:eastAsia="Arial" w:hAnsi="Arial"/>
          <w:sz w:val="15"/>
          <w:szCs w:val="15"/>
          <w:color w:val="auto"/>
        </w:rPr>
        <w:t xml:space="preserve"> assets, to an entity that is a competitor of </w:t>
      </w:r>
      <w:r>
        <w:rPr>
          <w:rFonts w:ascii="Arial" w:cs="Arial" w:eastAsia="Arial" w:hAnsi="Arial"/>
          <w:sz w:val="15"/>
          <w:szCs w:val="15"/>
          <w:i w:val="1"/>
          <w:iCs w:val="1"/>
          <w:color w:val="auto"/>
        </w:rPr>
        <w:t>Agalimmune</w:t>
      </w:r>
      <w:r>
        <w:rPr>
          <w:rFonts w:ascii="Arial" w:cs="Arial" w:eastAsia="Arial" w:hAnsi="Arial"/>
          <w:sz w:val="15"/>
          <w:szCs w:val="15"/>
          <w:color w:val="auto"/>
        </w:rPr>
        <w:t xml:space="preserve"> being an entity engaged, directly or indirectly, in any one or more of the development, production, marketing, distribution and/or exploitation of a competing product in the Field.. Either Party may terminate this Agreement at any time by notice in writing to the other Party (the ‘</w:t>
      </w:r>
      <w:r>
        <w:rPr>
          <w:rFonts w:ascii="Arial" w:cs="Arial" w:eastAsia="Arial" w:hAnsi="Arial"/>
          <w:sz w:val="15"/>
          <w:szCs w:val="15"/>
          <w:i w:val="1"/>
          <w:iCs w:val="1"/>
          <w:color w:val="auto"/>
        </w:rPr>
        <w:t>Other Party</w:t>
      </w:r>
      <w:r>
        <w:rPr>
          <w:rFonts w:ascii="Arial" w:cs="Arial" w:eastAsia="Arial" w:hAnsi="Arial"/>
          <w:sz w:val="15"/>
          <w:szCs w:val="15"/>
          <w:color w:val="auto"/>
        </w:rPr>
        <w:t>’), such notice to take effect as specified in the notice:</w:t>
      </w:r>
    </w:p>
    <w:p>
      <w:pPr>
        <w:spacing w:after="0" w:line="201" w:lineRule="exact"/>
        <w:rPr>
          <w:sz w:val="20"/>
          <w:szCs w:val="20"/>
          <w:color w:val="auto"/>
        </w:rPr>
      </w:pPr>
    </w:p>
    <w:p>
      <w:pPr>
        <w:ind w:left="903" w:right="120" w:hanging="452"/>
        <w:spacing w:after="0" w:line="283" w:lineRule="auto"/>
        <w:tabs>
          <w:tab w:leader="none" w:pos="903"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if the </w:t>
      </w:r>
      <w:r>
        <w:rPr>
          <w:rFonts w:ascii="Arial" w:cs="Arial" w:eastAsia="Arial" w:hAnsi="Arial"/>
          <w:sz w:val="16"/>
          <w:szCs w:val="16"/>
          <w:i w:val="1"/>
          <w:iCs w:val="1"/>
          <w:color w:val="auto"/>
        </w:rPr>
        <w:t>Other Party</w:t>
      </w:r>
      <w:r>
        <w:rPr>
          <w:rFonts w:ascii="Arial" w:cs="Arial" w:eastAsia="Arial" w:hAnsi="Arial"/>
          <w:sz w:val="16"/>
          <w:szCs w:val="16"/>
          <w:color w:val="auto"/>
        </w:rPr>
        <w:t xml:space="preserve"> is in persistent breach of this Agreement and, in the case of a breach capable of remedy within [*] days, the breach is not remedied within [*] days of the </w:t>
      </w:r>
      <w:r>
        <w:rPr>
          <w:rFonts w:ascii="Arial" w:cs="Arial" w:eastAsia="Arial" w:hAnsi="Arial"/>
          <w:sz w:val="16"/>
          <w:szCs w:val="16"/>
          <w:i w:val="1"/>
          <w:iCs w:val="1"/>
          <w:color w:val="auto"/>
        </w:rPr>
        <w:t>Other Party</w:t>
      </w:r>
      <w:r>
        <w:rPr>
          <w:rFonts w:ascii="Arial" w:cs="Arial" w:eastAsia="Arial" w:hAnsi="Arial"/>
          <w:sz w:val="16"/>
          <w:szCs w:val="16"/>
          <w:color w:val="auto"/>
        </w:rPr>
        <w:t>’s receiving notice specifying the breach and requiring its remedy; or</w:t>
      </w:r>
    </w:p>
    <w:p>
      <w:pPr>
        <w:spacing w:after="0" w:line="199" w:lineRule="exact"/>
        <w:rPr>
          <w:rFonts w:ascii="Arial" w:cs="Arial" w:eastAsia="Arial" w:hAnsi="Arial"/>
          <w:sz w:val="16"/>
          <w:szCs w:val="16"/>
          <w:color w:val="auto"/>
        </w:rPr>
      </w:pPr>
    </w:p>
    <w:p>
      <w:pPr>
        <w:ind w:left="903" w:hanging="452"/>
        <w:spacing w:after="0" w:line="261" w:lineRule="auto"/>
        <w:tabs>
          <w:tab w:leader="none" w:pos="903"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if (A) the </w:t>
      </w:r>
      <w:r>
        <w:rPr>
          <w:rFonts w:ascii="Arial" w:cs="Arial" w:eastAsia="Arial" w:hAnsi="Arial"/>
          <w:sz w:val="16"/>
          <w:szCs w:val="16"/>
          <w:i w:val="1"/>
          <w:iCs w:val="1"/>
          <w:color w:val="auto"/>
        </w:rPr>
        <w:t>Other Party</w:t>
      </w:r>
      <w:r>
        <w:rPr>
          <w:rFonts w:ascii="Arial" w:cs="Arial" w:eastAsia="Arial" w:hAnsi="Arial"/>
          <w:sz w:val="16"/>
          <w:szCs w:val="16"/>
          <w:color w:val="auto"/>
        </w:rPr>
        <w:t xml:space="preserve"> becomes insolvent or unable to pay its debts as and when they become due, or (B) an order is made or a resolution is passed for the winding up of the </w:t>
      </w:r>
      <w:r>
        <w:rPr>
          <w:rFonts w:ascii="Arial" w:cs="Arial" w:eastAsia="Arial" w:hAnsi="Arial"/>
          <w:sz w:val="16"/>
          <w:szCs w:val="16"/>
          <w:i w:val="1"/>
          <w:iCs w:val="1"/>
          <w:color w:val="auto"/>
        </w:rPr>
        <w:t>Other Party</w:t>
      </w:r>
      <w:r>
        <w:rPr>
          <w:rFonts w:ascii="Arial" w:cs="Arial" w:eastAsia="Arial" w:hAnsi="Arial"/>
          <w:sz w:val="16"/>
          <w:szCs w:val="16"/>
          <w:color w:val="auto"/>
        </w:rPr>
        <w:t xml:space="preserve"> (other than voluntarily for the purpose of solvent amalgamation or reconstruction), or (C) a liquidator, administrator, administrative receiver, receiver, or trustee is appointed in respect of the whole or any part of the </w:t>
      </w:r>
      <w:r>
        <w:rPr>
          <w:rFonts w:ascii="Arial" w:cs="Arial" w:eastAsia="Arial" w:hAnsi="Arial"/>
          <w:sz w:val="16"/>
          <w:szCs w:val="16"/>
          <w:i w:val="1"/>
          <w:iCs w:val="1"/>
          <w:color w:val="auto"/>
        </w:rPr>
        <w:t>Other Party</w:t>
      </w:r>
      <w:r>
        <w:rPr>
          <w:rFonts w:ascii="Arial" w:cs="Arial" w:eastAsia="Arial" w:hAnsi="Arial"/>
          <w:sz w:val="16"/>
          <w:szCs w:val="16"/>
          <w:color w:val="auto"/>
        </w:rPr>
        <w:t xml:space="preserve">’s assets or business, or (D) the </w:t>
      </w:r>
      <w:r>
        <w:rPr>
          <w:rFonts w:ascii="Arial" w:cs="Arial" w:eastAsia="Arial" w:hAnsi="Arial"/>
          <w:sz w:val="16"/>
          <w:szCs w:val="16"/>
          <w:i w:val="1"/>
          <w:iCs w:val="1"/>
          <w:color w:val="auto"/>
        </w:rPr>
        <w:t>Other Party</w:t>
      </w:r>
      <w:r>
        <w:rPr>
          <w:rFonts w:ascii="Arial" w:cs="Arial" w:eastAsia="Arial" w:hAnsi="Arial"/>
          <w:sz w:val="16"/>
          <w:szCs w:val="16"/>
          <w:color w:val="auto"/>
        </w:rPr>
        <w:t xml:space="preserve"> makes any composition with its creditors, or (E) the </w:t>
      </w:r>
      <w:r>
        <w:rPr>
          <w:rFonts w:ascii="Arial" w:cs="Arial" w:eastAsia="Arial" w:hAnsi="Arial"/>
          <w:sz w:val="16"/>
          <w:szCs w:val="16"/>
          <w:i w:val="1"/>
          <w:iCs w:val="1"/>
          <w:color w:val="auto"/>
        </w:rPr>
        <w:t>Other Party</w:t>
      </w:r>
      <w:r>
        <w:rPr>
          <w:rFonts w:ascii="Arial" w:cs="Arial" w:eastAsia="Arial" w:hAnsi="Arial"/>
          <w:sz w:val="16"/>
          <w:szCs w:val="16"/>
          <w:color w:val="auto"/>
        </w:rPr>
        <w:t xml:space="preserve"> ceases to continue its business, or (F) as a result of debt and/or maladministration the </w:t>
      </w:r>
      <w:r>
        <w:rPr>
          <w:rFonts w:ascii="Arial" w:cs="Arial" w:eastAsia="Arial" w:hAnsi="Arial"/>
          <w:sz w:val="16"/>
          <w:szCs w:val="16"/>
          <w:i w:val="1"/>
          <w:iCs w:val="1"/>
          <w:color w:val="auto"/>
        </w:rPr>
        <w:t>Other Party</w:t>
      </w:r>
      <w:r>
        <w:rPr>
          <w:rFonts w:ascii="Arial" w:cs="Arial" w:eastAsia="Arial" w:hAnsi="Arial"/>
          <w:sz w:val="16"/>
          <w:szCs w:val="16"/>
          <w:color w:val="auto"/>
        </w:rPr>
        <w:t xml:space="preserve"> takes or suffers any similar or analogous action in any jurisdiction.</w:t>
      </w:r>
    </w:p>
    <w:p>
      <w:pPr>
        <w:spacing w:after="0" w:line="217" w:lineRule="exact"/>
        <w:rPr>
          <w:sz w:val="20"/>
          <w:szCs w:val="20"/>
          <w:color w:val="auto"/>
        </w:rPr>
      </w:pPr>
    </w:p>
    <w:p>
      <w:pPr>
        <w:ind w:left="443" w:right="180" w:hanging="450"/>
        <w:spacing w:after="0" w:line="283" w:lineRule="auto"/>
        <w:tabs>
          <w:tab w:leader="none" w:pos="422"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i w:val="1"/>
          <w:iCs w:val="1"/>
          <w:color w:val="auto"/>
        </w:rPr>
        <w:t>Exercise of option</w:t>
      </w:r>
      <w:r>
        <w:rPr>
          <w:rFonts w:ascii="Arial" w:cs="Arial" w:eastAsia="Arial" w:hAnsi="Arial"/>
          <w:sz w:val="16"/>
          <w:szCs w:val="16"/>
          <w:color w:val="auto"/>
        </w:rPr>
        <w:t>. Upon exercise of the</w:t>
      </w:r>
      <w:r>
        <w:rPr>
          <w:rFonts w:ascii="Arial" w:cs="Arial" w:eastAsia="Arial" w:hAnsi="Arial"/>
          <w:sz w:val="16"/>
          <w:szCs w:val="16"/>
          <w:i w:val="1"/>
          <w:iCs w:val="1"/>
          <w:color w:val="auto"/>
        </w:rPr>
        <w:t xml:space="preserve"> Option </w:t>
      </w:r>
      <w:r>
        <w:rPr>
          <w:rFonts w:ascii="Arial" w:cs="Arial" w:eastAsia="Arial" w:hAnsi="Arial"/>
          <w:sz w:val="16"/>
          <w:szCs w:val="16"/>
          <w:color w:val="auto"/>
        </w:rPr>
        <w:t>referred to in Clause 2.1(b) during the</w:t>
      </w:r>
      <w:r>
        <w:rPr>
          <w:rFonts w:ascii="Arial" w:cs="Arial" w:eastAsia="Arial" w:hAnsi="Arial"/>
          <w:sz w:val="16"/>
          <w:szCs w:val="16"/>
          <w:i w:val="1"/>
          <w:iCs w:val="1"/>
          <w:color w:val="auto"/>
        </w:rPr>
        <w:t xml:space="preserve"> Term</w:t>
      </w:r>
      <w:r>
        <w:rPr>
          <w:rFonts w:ascii="Arial" w:cs="Arial" w:eastAsia="Arial" w:hAnsi="Arial"/>
          <w:sz w:val="16"/>
          <w:szCs w:val="16"/>
          <w:color w:val="auto"/>
        </w:rPr>
        <w:t>, this Agreement will be deemed to have terminated upon the grant of the</w:t>
      </w:r>
      <w:r>
        <w:rPr>
          <w:rFonts w:ascii="Arial" w:cs="Arial" w:eastAsia="Arial" w:hAnsi="Arial"/>
          <w:sz w:val="16"/>
          <w:szCs w:val="16"/>
          <w:i w:val="1"/>
          <w:iCs w:val="1"/>
          <w:color w:val="auto"/>
        </w:rPr>
        <w:t xml:space="preserve"> Exploitation Licence</w:t>
      </w:r>
      <w:r>
        <w:rPr>
          <w:rFonts w:ascii="Arial" w:cs="Arial" w:eastAsia="Arial" w:hAnsi="Arial"/>
          <w:sz w:val="16"/>
          <w:szCs w:val="16"/>
          <w:color w:val="auto"/>
        </w:rPr>
        <w:t>.</w:t>
      </w:r>
    </w:p>
    <w:p>
      <w:pPr>
        <w:spacing w:after="0" w:line="199" w:lineRule="exact"/>
        <w:rPr>
          <w:sz w:val="20"/>
          <w:szCs w:val="20"/>
          <w:color w:val="auto"/>
        </w:rPr>
      </w:pPr>
    </w:p>
    <w:p>
      <w:pPr>
        <w:jc w:val="both"/>
        <w:ind w:left="443" w:right="80" w:hanging="450"/>
        <w:spacing w:after="0" w:line="294" w:lineRule="auto"/>
        <w:tabs>
          <w:tab w:leader="none" w:pos="422"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5"/>
          <w:szCs w:val="15"/>
          <w:i w:val="1"/>
          <w:iCs w:val="1"/>
          <w:color w:val="auto"/>
        </w:rPr>
        <w:t>Consequences of termination</w:t>
      </w:r>
      <w:r>
        <w:rPr>
          <w:rFonts w:ascii="Arial" w:cs="Arial" w:eastAsia="Arial" w:hAnsi="Arial"/>
          <w:sz w:val="15"/>
          <w:szCs w:val="15"/>
          <w:color w:val="auto"/>
        </w:rPr>
        <w:t>. Upon termination of this Agreement for any reason (and in the absence of the</w:t>
      </w:r>
      <w:r>
        <w:rPr>
          <w:rFonts w:ascii="Arial" w:cs="Arial" w:eastAsia="Arial" w:hAnsi="Arial"/>
          <w:sz w:val="15"/>
          <w:szCs w:val="15"/>
          <w:i w:val="1"/>
          <w:iCs w:val="1"/>
          <w:color w:val="auto"/>
        </w:rPr>
        <w:t xml:space="preserve"> Exploitation Licence </w:t>
      </w:r>
      <w:r>
        <w:rPr>
          <w:rFonts w:ascii="Arial" w:cs="Arial" w:eastAsia="Arial" w:hAnsi="Arial"/>
          <w:sz w:val="15"/>
          <w:szCs w:val="15"/>
          <w:color w:val="auto"/>
        </w:rPr>
        <w:t>being entered into</w:t>
      </w:r>
      <w:r>
        <w:rPr>
          <w:rFonts w:ascii="Arial" w:cs="Arial" w:eastAsia="Arial" w:hAnsi="Arial"/>
          <w:sz w:val="15"/>
          <w:szCs w:val="15"/>
          <w:i w:val="1"/>
          <w:iCs w:val="1"/>
          <w:color w:val="auto"/>
        </w:rPr>
        <w:t xml:space="preserve"> Agalimmune </w:t>
      </w:r>
      <w:r>
        <w:rPr>
          <w:rFonts w:ascii="Arial" w:cs="Arial" w:eastAsia="Arial" w:hAnsi="Arial"/>
          <w:sz w:val="15"/>
          <w:szCs w:val="15"/>
          <w:color w:val="auto"/>
        </w:rPr>
        <w:t>shall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 longer be licensed to use or otherwise exploit in any way, either directly or indirectly, </w:t>
      </w:r>
      <w:r>
        <w:rPr>
          <w:rFonts w:ascii="Arial" w:cs="Arial" w:eastAsia="Arial" w:hAnsi="Arial"/>
          <w:sz w:val="15"/>
          <w:szCs w:val="15"/>
          <w:i w:val="1"/>
          <w:iCs w:val="1"/>
          <w:color w:val="auto"/>
        </w:rPr>
        <w:t>KODE™ Technology</w:t>
      </w:r>
      <w:r>
        <w:rPr>
          <w:rFonts w:ascii="Arial" w:cs="Arial" w:eastAsia="Arial" w:hAnsi="Arial"/>
          <w:sz w:val="15"/>
          <w:szCs w:val="15"/>
          <w:color w:val="auto"/>
        </w:rPr>
        <w:t xml:space="preserve"> or </w:t>
      </w:r>
      <w:r>
        <w:rPr>
          <w:rFonts w:ascii="Arial" w:cs="Arial" w:eastAsia="Arial" w:hAnsi="Arial"/>
          <w:sz w:val="15"/>
          <w:szCs w:val="15"/>
          <w:i w:val="1"/>
          <w:iCs w:val="1"/>
          <w:color w:val="auto"/>
        </w:rPr>
        <w:t>KODE™ Know-How</w:t>
      </w:r>
      <w:r>
        <w:rPr>
          <w:rFonts w:ascii="Arial" w:cs="Arial" w:eastAsia="Arial" w:hAnsi="Arial"/>
          <w:sz w:val="15"/>
          <w:szCs w:val="15"/>
          <w:color w:val="auto"/>
        </w:rPr>
        <w:t xml:space="preserve">, in so far and for as long as any of the </w:t>
      </w:r>
      <w:r>
        <w:rPr>
          <w:rFonts w:ascii="Arial" w:cs="Arial" w:eastAsia="Arial" w:hAnsi="Arial"/>
          <w:sz w:val="15"/>
          <w:szCs w:val="15"/>
          <w:i w:val="1"/>
          <w:iCs w:val="1"/>
          <w:color w:val="auto"/>
        </w:rPr>
        <w:t>Licensed Patents</w:t>
      </w:r>
      <w:r>
        <w:rPr>
          <w:rFonts w:ascii="Arial" w:cs="Arial" w:eastAsia="Arial" w:hAnsi="Arial"/>
          <w:sz w:val="15"/>
          <w:szCs w:val="15"/>
          <w:color w:val="auto"/>
        </w:rPr>
        <w:t xml:space="preserve"> remain in force, and except in respect of any accrued rights, neither Party shall be under any further obligation to the other.</w:t>
      </w:r>
    </w:p>
    <w:p>
      <w:pPr>
        <w:spacing w:after="0" w:line="352"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83"/>
          </w:cols>
          <w:pgMar w:left="237" w:top="127" w:right="279" w:bottom="1440" w:gutter="0" w:footer="0" w:header="0"/>
        </w:sectPr>
      </w:pPr>
    </w:p>
    <w:bookmarkStart w:id="390" w:name="page391"/>
    <w:bookmarkEnd w:id="390"/>
    <w:p>
      <w:pPr>
        <w:ind w:left="443" w:right="240" w:hanging="450"/>
        <w:spacing w:after="0" w:line="263" w:lineRule="auto"/>
        <w:tabs>
          <w:tab w:leader="none" w:pos="422"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6"/>
          <w:szCs w:val="16"/>
          <w:i w:val="1"/>
          <w:iCs w:val="1"/>
          <w:color w:val="auto"/>
        </w:rPr>
        <w:t>Rights surviving termination</w:t>
      </w:r>
      <w:r>
        <w:rPr>
          <w:rFonts w:ascii="Arial" w:cs="Arial" w:eastAsia="Arial" w:hAnsi="Arial"/>
          <w:sz w:val="16"/>
          <w:szCs w:val="16"/>
          <w:color w:val="auto"/>
        </w:rPr>
        <w:t>. A</w:t>
      </w:r>
      <w:r>
        <w:rPr>
          <w:rFonts w:ascii="Arial" w:cs="Arial" w:eastAsia="Arial" w:hAnsi="Arial"/>
          <w:sz w:val="16"/>
          <w:szCs w:val="16"/>
          <w:i w:val="1"/>
          <w:iCs w:val="1"/>
          <w:color w:val="auto"/>
        </w:rPr>
        <w:t xml:space="preserve"> Party’s </w:t>
      </w:r>
      <w:r>
        <w:rPr>
          <w:rFonts w:ascii="Arial" w:cs="Arial" w:eastAsia="Arial" w:hAnsi="Arial"/>
          <w:sz w:val="16"/>
          <w:szCs w:val="16"/>
          <w:color w:val="auto"/>
        </w:rPr>
        <w:t>right of termination under this Agreement, and the exercise of any such right, shall be without prejudice to any other right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remedy (including any right to claim damages) that such </w:t>
      </w:r>
      <w:r>
        <w:rPr>
          <w:rFonts w:ascii="Arial" w:cs="Arial" w:eastAsia="Arial" w:hAnsi="Arial"/>
          <w:sz w:val="16"/>
          <w:szCs w:val="16"/>
          <w:i w:val="1"/>
          <w:iCs w:val="1"/>
          <w:color w:val="auto"/>
        </w:rPr>
        <w:t>Party</w:t>
      </w:r>
      <w:r>
        <w:rPr>
          <w:rFonts w:ascii="Arial" w:cs="Arial" w:eastAsia="Arial" w:hAnsi="Arial"/>
          <w:sz w:val="16"/>
          <w:szCs w:val="16"/>
          <w:color w:val="auto"/>
        </w:rPr>
        <w:t xml:space="preserve"> may have in the event of a breach of contract or other default by the other </w:t>
      </w:r>
      <w:r>
        <w:rPr>
          <w:rFonts w:ascii="Arial" w:cs="Arial" w:eastAsia="Arial" w:hAnsi="Arial"/>
          <w:sz w:val="16"/>
          <w:szCs w:val="16"/>
          <w:i w:val="1"/>
          <w:iCs w:val="1"/>
          <w:color w:val="auto"/>
        </w:rPr>
        <w:t>Party</w:t>
      </w:r>
      <w:r>
        <w:rPr>
          <w:rFonts w:ascii="Arial" w:cs="Arial" w:eastAsia="Arial" w:hAnsi="Arial"/>
          <w:sz w:val="16"/>
          <w:szCs w:val="16"/>
          <w:color w:val="auto"/>
        </w:rPr>
        <w:t>. Upon termination of this Agreement for any reason the provisions of Clauses 3.4, 4.4, 5.2, 6, 7.4, this Clause 7.5 and any provision of this Agreement necessary for the interpretation or enforcement of this Agreement, shall remain in force.</w:t>
      </w:r>
    </w:p>
    <w:p>
      <w:pPr>
        <w:spacing w:after="0" w:line="212" w:lineRule="exact"/>
        <w:rPr>
          <w:sz w:val="20"/>
          <w:szCs w:val="20"/>
          <w:color w:val="auto"/>
        </w:rPr>
      </w:pPr>
    </w:p>
    <w:p>
      <w:pPr>
        <w:ind w:left="443" w:hanging="443"/>
        <w:spacing w:after="0"/>
        <w:tabs>
          <w:tab w:leader="none" w:pos="443" w:val="left"/>
        </w:tabs>
        <w:numPr>
          <w:ilvl w:val="0"/>
          <w:numId w:val="374"/>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58" w:lineRule="exact"/>
        <w:rPr>
          <w:sz w:val="20"/>
          <w:szCs w:val="20"/>
          <w:color w:val="auto"/>
        </w:rPr>
      </w:pPr>
    </w:p>
    <w:p>
      <w:pPr>
        <w:ind w:left="443" w:right="260" w:hanging="450"/>
        <w:spacing w:after="0" w:line="268" w:lineRule="auto"/>
        <w:tabs>
          <w:tab w:leader="none" w:pos="422"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i w:val="1"/>
          <w:iCs w:val="1"/>
          <w:color w:val="auto"/>
        </w:rPr>
        <w:t xml:space="preserve">Law and jurisdiction. </w:t>
      </w:r>
      <w:r>
        <w:rPr>
          <w:rFonts w:ascii="Arial" w:cs="Arial" w:eastAsia="Arial" w:hAnsi="Arial"/>
          <w:sz w:val="16"/>
          <w:szCs w:val="16"/>
          <w:color w:val="auto"/>
        </w:rPr>
        <w:t>This Agreement is made under English law and the</w:t>
      </w:r>
      <w:r>
        <w:rPr>
          <w:rFonts w:ascii="Arial" w:cs="Arial" w:eastAsia="Arial" w:hAnsi="Arial"/>
          <w:sz w:val="16"/>
          <w:szCs w:val="16"/>
          <w:i w:val="1"/>
          <w:iCs w:val="1"/>
          <w:color w:val="auto"/>
        </w:rPr>
        <w:t xml:space="preserve"> Parties </w:t>
      </w:r>
      <w:r>
        <w:rPr>
          <w:rFonts w:ascii="Arial" w:cs="Arial" w:eastAsia="Arial" w:hAnsi="Arial"/>
          <w:sz w:val="16"/>
          <w:szCs w:val="16"/>
          <w:color w:val="auto"/>
        </w:rPr>
        <w:t>submit to the exclusive jurisdiction of the English courts in respect of any dispute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arising out of or relating to this Agreement and its formation (including non-contractual disputes or claims) except that a </w:t>
      </w:r>
      <w:r>
        <w:rPr>
          <w:rFonts w:ascii="Arial" w:cs="Arial" w:eastAsia="Arial" w:hAnsi="Arial"/>
          <w:sz w:val="16"/>
          <w:szCs w:val="16"/>
          <w:i w:val="1"/>
          <w:iCs w:val="1"/>
          <w:color w:val="auto"/>
        </w:rPr>
        <w:t>Party</w:t>
      </w:r>
      <w:r>
        <w:rPr>
          <w:rFonts w:ascii="Arial" w:cs="Arial" w:eastAsia="Arial" w:hAnsi="Arial"/>
          <w:sz w:val="16"/>
          <w:szCs w:val="16"/>
          <w:color w:val="auto"/>
        </w:rPr>
        <w:t xml:space="preserve"> may bring interim proceedings in any court of competent jurisdiction.</w:t>
      </w:r>
    </w:p>
    <w:p>
      <w:pPr>
        <w:spacing w:after="0" w:line="212" w:lineRule="exact"/>
        <w:rPr>
          <w:sz w:val="20"/>
          <w:szCs w:val="20"/>
          <w:color w:val="auto"/>
        </w:rPr>
      </w:pPr>
    </w:p>
    <w:p>
      <w:pPr>
        <w:ind w:left="443" w:hanging="450"/>
        <w:spacing w:after="0" w:line="263" w:lineRule="auto"/>
        <w:tabs>
          <w:tab w:leader="none" w:pos="42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i w:val="1"/>
          <w:iCs w:val="1"/>
          <w:color w:val="auto"/>
        </w:rPr>
        <w:t xml:space="preserve">Addresses and contact details. </w:t>
      </w:r>
      <w:r>
        <w:rPr>
          <w:rFonts w:ascii="Arial" w:cs="Arial" w:eastAsia="Arial" w:hAnsi="Arial"/>
          <w:sz w:val="16"/>
          <w:szCs w:val="16"/>
          <w:color w:val="auto"/>
        </w:rPr>
        <w:t>Any notice to be given under this Agreement shall be in writing and shall be (i) delivered personally, or (ii) sent by pre-paid first-class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post or recorded delivery, or (iii) (if the notice is to be served by post outside the country from which it is sent) sent by airmail; or (iv) sent by fax , in each case to the addresses and fax numbers set out below (or such other address or fax number as the applicable </w:t>
      </w:r>
      <w:r>
        <w:rPr>
          <w:rFonts w:ascii="Arial" w:cs="Arial" w:eastAsia="Arial" w:hAnsi="Arial"/>
          <w:sz w:val="16"/>
          <w:szCs w:val="16"/>
          <w:i w:val="1"/>
          <w:iCs w:val="1"/>
          <w:color w:val="auto"/>
        </w:rPr>
        <w:t>Party</w:t>
      </w:r>
      <w:r>
        <w:rPr>
          <w:rFonts w:ascii="Arial" w:cs="Arial" w:eastAsia="Arial" w:hAnsi="Arial"/>
          <w:sz w:val="16"/>
          <w:szCs w:val="16"/>
          <w:color w:val="auto"/>
        </w:rPr>
        <w:t xml:space="preserve"> may from time to time notify to the other </w:t>
      </w:r>
      <w:r>
        <w:rPr>
          <w:rFonts w:ascii="Arial" w:cs="Arial" w:eastAsia="Arial" w:hAnsi="Arial"/>
          <w:sz w:val="16"/>
          <w:szCs w:val="16"/>
          <w:i w:val="1"/>
          <w:iCs w:val="1"/>
          <w:color w:val="auto"/>
        </w:rPr>
        <w:t>Party</w:t>
      </w:r>
      <w:r>
        <w:rPr>
          <w:rFonts w:ascii="Arial" w:cs="Arial" w:eastAsia="Arial" w:hAnsi="Arial"/>
          <w:sz w:val="16"/>
          <w:szCs w:val="16"/>
          <w:color w:val="auto"/>
        </w:rPr>
        <w:t xml:space="preserve"> in accordance with this Clause 8.2) and marked for the attention of the representatives of the </w:t>
      </w:r>
      <w:r>
        <w:rPr>
          <w:rFonts w:ascii="Arial" w:cs="Arial" w:eastAsia="Arial" w:hAnsi="Arial"/>
          <w:sz w:val="16"/>
          <w:szCs w:val="16"/>
          <w:i w:val="1"/>
          <w:iCs w:val="1"/>
          <w:color w:val="auto"/>
        </w:rPr>
        <w:t>Parties</w:t>
      </w:r>
      <w:r>
        <w:rPr>
          <w:rFonts w:ascii="Arial" w:cs="Arial" w:eastAsia="Arial" w:hAnsi="Arial"/>
          <w:sz w:val="16"/>
          <w:szCs w:val="16"/>
          <w:color w:val="auto"/>
        </w:rPr>
        <w:t xml:space="preserve"> as set out below:</w:t>
      </w:r>
    </w:p>
    <w:p>
      <w:pPr>
        <w:spacing w:after="0" w:line="216" w:lineRule="exact"/>
        <w:rPr>
          <w:sz w:val="20"/>
          <w:szCs w:val="20"/>
          <w:color w:val="auto"/>
        </w:rPr>
      </w:pPr>
    </w:p>
    <w:p>
      <w:pPr>
        <w:ind w:left="903" w:hanging="452"/>
        <w:spacing w:after="0"/>
        <w:tabs>
          <w:tab w:leader="none" w:pos="903" w:val="left"/>
        </w:tabs>
        <w:numPr>
          <w:ilvl w:val="0"/>
          <w:numId w:val="375"/>
        </w:numPr>
        <w:rPr>
          <w:rFonts w:ascii="Arial" w:cs="Arial" w:eastAsia="Arial" w:hAnsi="Arial"/>
          <w:sz w:val="16"/>
          <w:szCs w:val="16"/>
          <w:color w:val="auto"/>
        </w:rPr>
      </w:pPr>
      <w:r>
        <w:rPr>
          <w:rFonts w:ascii="Arial" w:cs="Arial" w:eastAsia="Arial" w:hAnsi="Arial"/>
          <w:sz w:val="16"/>
          <w:szCs w:val="16"/>
          <w:i w:val="1"/>
          <w:iCs w:val="1"/>
          <w:color w:val="auto"/>
        </w:rPr>
        <w:t xml:space="preserve">KBL’s </w:t>
      </w:r>
      <w:r>
        <w:rPr>
          <w:rFonts w:ascii="Arial" w:cs="Arial" w:eastAsia="Arial" w:hAnsi="Arial"/>
          <w:sz w:val="16"/>
          <w:szCs w:val="16"/>
          <w:color w:val="auto"/>
        </w:rPr>
        <w:t>Address:</w:t>
      </w:r>
    </w:p>
    <w:p>
      <w:pPr>
        <w:spacing w:after="0" w:line="250" w:lineRule="exact"/>
        <w:rPr>
          <w:rFonts w:ascii="Arial" w:cs="Arial" w:eastAsia="Arial" w:hAnsi="Arial"/>
          <w:sz w:val="16"/>
          <w:szCs w:val="16"/>
          <w:color w:val="auto"/>
        </w:rPr>
      </w:pPr>
    </w:p>
    <w:p>
      <w:pPr>
        <w:ind w:left="923" w:right="8880"/>
        <w:spacing w:after="0" w:line="282" w:lineRule="auto"/>
        <w:rPr>
          <w:rFonts w:ascii="Arial" w:cs="Arial" w:eastAsia="Arial" w:hAnsi="Arial"/>
          <w:sz w:val="16"/>
          <w:szCs w:val="16"/>
          <w:color w:val="auto"/>
        </w:rPr>
      </w:pPr>
      <w:r>
        <w:rPr>
          <w:rFonts w:ascii="Arial" w:cs="Arial" w:eastAsia="Arial" w:hAnsi="Arial"/>
          <w:sz w:val="15"/>
          <w:szCs w:val="15"/>
          <w:b w:val="1"/>
          <w:bCs w:val="1"/>
          <w:color w:val="auto"/>
        </w:rPr>
        <w:t xml:space="preserve">KODE Biotech Limited </w:t>
      </w:r>
      <w:r>
        <w:rPr>
          <w:rFonts w:ascii="Arial" w:cs="Arial" w:eastAsia="Arial" w:hAnsi="Arial"/>
          <w:sz w:val="15"/>
          <w:szCs w:val="15"/>
          <w:color w:val="auto"/>
        </w:rPr>
        <w:t>19 Mount Street</w:t>
      </w:r>
    </w:p>
    <w:p>
      <w:pPr>
        <w:ind w:left="923"/>
        <w:spacing w:after="0"/>
        <w:rPr>
          <w:rFonts w:ascii="Arial" w:cs="Arial" w:eastAsia="Arial" w:hAnsi="Arial"/>
          <w:sz w:val="16"/>
          <w:szCs w:val="16"/>
          <w:color w:val="auto"/>
        </w:rPr>
      </w:pPr>
      <w:r>
        <w:rPr>
          <w:rFonts w:ascii="Arial" w:cs="Arial" w:eastAsia="Arial" w:hAnsi="Arial"/>
          <w:sz w:val="16"/>
          <w:szCs w:val="16"/>
          <w:color w:val="auto"/>
        </w:rPr>
        <w:t>Scott Laboratory Building</w:t>
      </w:r>
    </w:p>
    <w:p>
      <w:pPr>
        <w:spacing w:after="0" w:line="10" w:lineRule="exact"/>
        <w:rPr>
          <w:rFonts w:ascii="Arial" w:cs="Arial" w:eastAsia="Arial" w:hAnsi="Arial"/>
          <w:sz w:val="16"/>
          <w:szCs w:val="16"/>
          <w:color w:val="auto"/>
        </w:rPr>
      </w:pPr>
    </w:p>
    <w:p>
      <w:pPr>
        <w:ind w:left="923" w:right="6520"/>
        <w:spacing w:after="0" w:line="564" w:lineRule="auto"/>
        <w:rPr>
          <w:rFonts w:ascii="Arial" w:cs="Arial" w:eastAsia="Arial" w:hAnsi="Arial"/>
          <w:sz w:val="16"/>
          <w:szCs w:val="16"/>
          <w:color w:val="auto"/>
        </w:rPr>
      </w:pPr>
      <w:r>
        <w:rPr>
          <w:rFonts w:ascii="Arial" w:cs="Arial" w:eastAsia="Arial" w:hAnsi="Arial"/>
          <w:sz w:val="16"/>
          <w:szCs w:val="16"/>
          <w:color w:val="auto"/>
        </w:rPr>
        <w:t>Auckland University of Technology, Auckland, New Zealand Fax: +64 9 921 9719</w:t>
      </w:r>
    </w:p>
    <w:p>
      <w:pPr>
        <w:ind w:left="923"/>
        <w:spacing w:after="0"/>
        <w:rPr>
          <w:rFonts w:ascii="Arial" w:cs="Arial" w:eastAsia="Arial" w:hAnsi="Arial"/>
          <w:sz w:val="16"/>
          <w:szCs w:val="16"/>
          <w:color w:val="auto"/>
        </w:rPr>
      </w:pPr>
      <w:r>
        <w:rPr>
          <w:rFonts w:ascii="Arial" w:cs="Arial" w:eastAsia="Arial" w:hAnsi="Arial"/>
          <w:sz w:val="16"/>
          <w:szCs w:val="16"/>
          <w:color w:val="auto"/>
        </w:rPr>
        <w:t>Representative for notices – Prof. Stephen M HENRY</w:t>
      </w:r>
    </w:p>
    <w:p>
      <w:pPr>
        <w:spacing w:after="0" w:line="200" w:lineRule="exact"/>
        <w:rPr>
          <w:sz w:val="20"/>
          <w:szCs w:val="20"/>
          <w:color w:val="auto"/>
        </w:rPr>
      </w:pPr>
    </w:p>
    <w:p>
      <w:pPr>
        <w:spacing w:after="0" w:line="21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3"/>
          </w:cols>
          <w:pgMar w:left="237" w:top="127" w:right="239" w:bottom="1440" w:gutter="0" w:footer="0" w:header="0"/>
        </w:sectPr>
      </w:pPr>
    </w:p>
    <w:bookmarkStart w:id="391" w:name="page392"/>
    <w:bookmarkEnd w:id="391"/>
    <w:p>
      <w:pPr>
        <w:ind w:left="840" w:hanging="452"/>
        <w:spacing w:after="0"/>
        <w:tabs>
          <w:tab w:leader="none" w:pos="840" w:val="left"/>
        </w:tabs>
        <w:numPr>
          <w:ilvl w:val="0"/>
          <w:numId w:val="376"/>
        </w:numPr>
        <w:rPr>
          <w:rFonts w:ascii="Arial" w:cs="Arial" w:eastAsia="Arial" w:hAnsi="Arial"/>
          <w:sz w:val="16"/>
          <w:szCs w:val="16"/>
          <w:color w:val="auto"/>
        </w:rPr>
      </w:pPr>
      <w:r>
        <w:rPr>
          <w:rFonts w:ascii="Arial" w:cs="Arial" w:eastAsia="Arial" w:hAnsi="Arial"/>
          <w:sz w:val="16"/>
          <w:szCs w:val="16"/>
          <w:i w:val="1"/>
          <w:iCs w:val="1"/>
          <w:color w:val="auto"/>
        </w:rPr>
        <w:t xml:space="preserve">Agalimmune’s </w:t>
      </w:r>
      <w:r>
        <w:rPr>
          <w:rFonts w:ascii="Arial" w:cs="Arial" w:eastAsia="Arial" w:hAnsi="Arial"/>
          <w:sz w:val="16"/>
          <w:szCs w:val="16"/>
          <w:color w:val="auto"/>
        </w:rPr>
        <w:t>Address:</w:t>
      </w:r>
    </w:p>
    <w:p>
      <w:pPr>
        <w:spacing w:after="0" w:line="201"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b w:val="1"/>
          <w:bCs w:val="1"/>
          <w:color w:val="auto"/>
        </w:rPr>
        <w:t>Agalimmune Limited</w:t>
      </w:r>
    </w:p>
    <w:p>
      <w:pPr>
        <w:spacing w:after="0" w:line="26" w:lineRule="exact"/>
        <w:rPr>
          <w:rFonts w:ascii="Arial" w:cs="Arial" w:eastAsia="Arial" w:hAnsi="Arial"/>
          <w:sz w:val="16"/>
          <w:szCs w:val="16"/>
          <w:color w:val="auto"/>
        </w:rPr>
      </w:pPr>
    </w:p>
    <w:p>
      <w:pPr>
        <w:ind w:left="840"/>
        <w:spacing w:after="0" w:line="186" w:lineRule="auto"/>
        <w:rPr>
          <w:rFonts w:ascii="Arial" w:cs="Arial" w:eastAsia="Arial" w:hAnsi="Arial"/>
          <w:sz w:val="16"/>
          <w:szCs w:val="16"/>
          <w:color w:val="auto"/>
        </w:rPr>
      </w:pPr>
      <w:r>
        <w:rPr>
          <w:rFonts w:ascii="Arial" w:cs="Arial" w:eastAsia="Arial" w:hAnsi="Arial"/>
          <w:sz w:val="14"/>
          <w:szCs w:val="14"/>
          <w:color w:val="auto"/>
        </w:rPr>
        <w:t>1</w:t>
      </w:r>
      <w:r>
        <w:rPr>
          <w:rFonts w:ascii="Arial" w:cs="Arial" w:eastAsia="Arial" w:hAnsi="Arial"/>
          <w:sz w:val="22"/>
          <w:szCs w:val="22"/>
          <w:color w:val="auto"/>
          <w:vertAlign w:val="superscript"/>
        </w:rPr>
        <w:t>st</w:t>
      </w:r>
      <w:r>
        <w:rPr>
          <w:rFonts w:ascii="Arial" w:cs="Arial" w:eastAsia="Arial" w:hAnsi="Arial"/>
          <w:sz w:val="14"/>
          <w:szCs w:val="14"/>
          <w:color w:val="auto"/>
        </w:rPr>
        <w:t xml:space="preserve"> Floor Thavies Inn House</w:t>
      </w:r>
    </w:p>
    <w:p>
      <w:pPr>
        <w:jc w:val="both"/>
        <w:ind w:left="840" w:right="9180"/>
        <w:spacing w:after="0" w:line="285" w:lineRule="auto"/>
        <w:rPr>
          <w:rFonts w:ascii="Arial" w:cs="Arial" w:eastAsia="Arial" w:hAnsi="Arial"/>
          <w:sz w:val="16"/>
          <w:szCs w:val="16"/>
          <w:color w:val="auto"/>
        </w:rPr>
      </w:pPr>
      <w:r>
        <w:rPr>
          <w:rFonts w:ascii="Arial" w:cs="Arial" w:eastAsia="Arial" w:hAnsi="Arial"/>
          <w:sz w:val="15"/>
          <w:szCs w:val="15"/>
          <w:color w:val="auto"/>
        </w:rPr>
        <w:t>3-4 Holborn Circus London EC1N 2HA United Kingdom</w:t>
      </w:r>
    </w:p>
    <w:p>
      <w:pPr>
        <w:spacing w:after="0" w:line="150"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Fax: +44 (0) 203 603 6387</w:t>
      </w:r>
    </w:p>
    <w:p>
      <w:pPr>
        <w:spacing w:after="0" w:line="205"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Representative for notices – Graham Griffiths / The Directors</w:t>
      </w:r>
    </w:p>
    <w:p>
      <w:pPr>
        <w:spacing w:after="0" w:line="254" w:lineRule="exact"/>
        <w:rPr>
          <w:sz w:val="20"/>
          <w:szCs w:val="20"/>
          <w:color w:val="auto"/>
        </w:rPr>
      </w:pPr>
    </w:p>
    <w:p>
      <w:pPr>
        <w:ind w:left="380" w:hanging="450"/>
        <w:spacing w:after="0" w:line="268" w:lineRule="auto"/>
        <w:tabs>
          <w:tab w:leader="none" w:pos="36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6"/>
          <w:szCs w:val="16"/>
          <w:i w:val="1"/>
          <w:iCs w:val="1"/>
          <w:color w:val="auto"/>
        </w:rPr>
        <w:t xml:space="preserve">Deemed receipt of notices. </w:t>
      </w:r>
      <w:r>
        <w:rPr>
          <w:rFonts w:ascii="Arial" w:cs="Arial" w:eastAsia="Arial" w:hAnsi="Arial"/>
          <w:sz w:val="16"/>
          <w:szCs w:val="16"/>
          <w:color w:val="auto"/>
        </w:rPr>
        <w:t>Notices sent as above shall be deemed to have been received (i) if delivered personally, at the time of delivery (ii) in the case of pre-paid first</w:t>
      </w:r>
      <w:r>
        <w:rPr>
          <w:rFonts w:ascii="Arial" w:cs="Arial" w:eastAsia="Arial" w:hAnsi="Arial"/>
          <w:sz w:val="16"/>
          <w:szCs w:val="16"/>
          <w:i w:val="1"/>
          <w:iCs w:val="1"/>
          <w:color w:val="auto"/>
        </w:rPr>
        <w:t xml:space="preserve"> </w:t>
      </w:r>
      <w:r>
        <w:rPr>
          <w:rFonts w:ascii="Arial" w:cs="Arial" w:eastAsia="Arial" w:hAnsi="Arial"/>
          <w:sz w:val="16"/>
          <w:szCs w:val="16"/>
          <w:color w:val="auto"/>
        </w:rPr>
        <w:t>class post, recorded delivery, on the sixth Working Day after postage; and (iii) in the case of registered airmail, on the sixth Working Day from the date of posting transmission.</w:t>
      </w:r>
    </w:p>
    <w:p>
      <w:pPr>
        <w:spacing w:after="0" w:line="212" w:lineRule="exact"/>
        <w:rPr>
          <w:sz w:val="20"/>
          <w:szCs w:val="20"/>
          <w:color w:val="auto"/>
        </w:rPr>
      </w:pPr>
    </w:p>
    <w:p>
      <w:pPr>
        <w:ind w:left="380" w:right="40" w:hanging="450"/>
        <w:spacing w:after="0" w:line="324" w:lineRule="auto"/>
        <w:tabs>
          <w:tab w:leader="none" w:pos="36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i w:val="1"/>
          <w:iCs w:val="1"/>
          <w:color w:val="auto"/>
        </w:rPr>
        <w:t>Emails</w:t>
      </w:r>
      <w:r>
        <w:rPr>
          <w:rFonts w:ascii="Arial" w:cs="Arial" w:eastAsia="Arial" w:hAnsi="Arial"/>
          <w:sz w:val="14"/>
          <w:szCs w:val="14"/>
          <w:color w:val="auto"/>
        </w:rPr>
        <w:t>. E-mail communications may be used but only if the relevant party has specifically authorised it for such purposes at the time. Subject to such authorisation,</w:t>
      </w:r>
      <w:r>
        <w:rPr>
          <w:rFonts w:ascii="Arial" w:cs="Arial" w:eastAsia="Arial" w:hAnsi="Arial"/>
          <w:sz w:val="14"/>
          <w:szCs w:val="14"/>
          <w:i w:val="1"/>
          <w:iCs w:val="1"/>
          <w:color w:val="auto"/>
        </w:rPr>
        <w:t xml:space="preserve"> </w:t>
      </w:r>
      <w:r>
        <w:rPr>
          <w:rFonts w:ascii="Arial" w:cs="Arial" w:eastAsia="Arial" w:hAnsi="Arial"/>
          <w:sz w:val="14"/>
          <w:szCs w:val="14"/>
          <w:color w:val="auto"/>
        </w:rPr>
        <w:t>notices sent by email shall be deemed to have been received on the next Working Day after transmission provided that an appropriate non-automated acknowledgement of receipt has been returned to the sender by the e-mail recipient. The sender shall in any event send a hard copy by post to the address as specified herein.</w:t>
      </w:r>
    </w:p>
    <w:p>
      <w:pPr>
        <w:spacing w:after="0" w:line="176" w:lineRule="exact"/>
        <w:rPr>
          <w:sz w:val="20"/>
          <w:szCs w:val="20"/>
          <w:color w:val="auto"/>
        </w:rPr>
      </w:pPr>
    </w:p>
    <w:p>
      <w:pPr>
        <w:ind w:left="380" w:right="80" w:hanging="450"/>
        <w:spacing w:after="0" w:line="268" w:lineRule="auto"/>
        <w:tabs>
          <w:tab w:leader="none" w:pos="36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i w:val="1"/>
          <w:iCs w:val="1"/>
          <w:color w:val="auto"/>
        </w:rPr>
        <w:t xml:space="preserve">Interpretation. </w:t>
      </w:r>
      <w:r>
        <w:rPr>
          <w:rFonts w:ascii="Arial" w:cs="Arial" w:eastAsia="Arial" w:hAnsi="Arial"/>
          <w:sz w:val="16"/>
          <w:szCs w:val="16"/>
          <w:color w:val="auto"/>
        </w:rPr>
        <w:t>Except where otherwise stated, any reference in this Agreement to a Clause or a Schedule is to a Clause of or a Schedule to this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Schedules 1 to 3 shall form part of this Agreement as if set out herein. The headings and sub-headings in this document are inserted for convenience only and shall not affect the construction or interpretation of this Agreement.</w:t>
      </w:r>
    </w:p>
    <w:p>
      <w:pPr>
        <w:spacing w:after="0" w:line="212" w:lineRule="exact"/>
        <w:rPr>
          <w:sz w:val="20"/>
          <w:szCs w:val="20"/>
          <w:color w:val="auto"/>
        </w:rPr>
      </w:pPr>
    </w:p>
    <w:p>
      <w:pPr>
        <w:ind w:left="380" w:right="240" w:hanging="450"/>
        <w:spacing w:after="0" w:line="263" w:lineRule="auto"/>
        <w:tabs>
          <w:tab w:leader="none" w:pos="36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6"/>
          <w:szCs w:val="16"/>
          <w:i w:val="1"/>
          <w:iCs w:val="1"/>
          <w:color w:val="auto"/>
        </w:rPr>
        <w:t xml:space="preserve">Entire agreement. </w:t>
      </w:r>
      <w:r>
        <w:rPr>
          <w:rFonts w:ascii="Arial" w:cs="Arial" w:eastAsia="Arial" w:hAnsi="Arial"/>
          <w:sz w:val="16"/>
          <w:szCs w:val="16"/>
          <w:color w:val="auto"/>
        </w:rPr>
        <w:t>This Agreement sets out the entire agreement between the</w:t>
      </w:r>
      <w:r>
        <w:rPr>
          <w:rFonts w:ascii="Arial" w:cs="Arial" w:eastAsia="Arial" w:hAnsi="Arial"/>
          <w:sz w:val="16"/>
          <w:szCs w:val="16"/>
          <w:i w:val="1"/>
          <w:iCs w:val="1"/>
          <w:color w:val="auto"/>
        </w:rPr>
        <w:t xml:space="preserve"> Parties </w:t>
      </w:r>
      <w:r>
        <w:rPr>
          <w:rFonts w:ascii="Arial" w:cs="Arial" w:eastAsia="Arial" w:hAnsi="Arial"/>
          <w:sz w:val="16"/>
          <w:szCs w:val="16"/>
          <w:color w:val="auto"/>
        </w:rPr>
        <w:t>relating to its subject matter and supersedes all prior oral or written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arrangements or understandings between them relating to such subject matter, including the Mutual Confidentiality Undertakings dated 29 July 2014. The </w:t>
      </w:r>
      <w:r>
        <w:rPr>
          <w:rFonts w:ascii="Arial" w:cs="Arial" w:eastAsia="Arial" w:hAnsi="Arial"/>
          <w:sz w:val="16"/>
          <w:szCs w:val="16"/>
          <w:i w:val="1"/>
          <w:iCs w:val="1"/>
          <w:color w:val="auto"/>
        </w:rPr>
        <w:t>Parties</w:t>
      </w:r>
      <w:r>
        <w:rPr>
          <w:rFonts w:ascii="Arial" w:cs="Arial" w:eastAsia="Arial" w:hAnsi="Arial"/>
          <w:sz w:val="16"/>
          <w:szCs w:val="16"/>
          <w:color w:val="auto"/>
        </w:rPr>
        <w:t xml:space="preserve"> acknowledge that they are not relying on any representation, agreement, term, or condition that is not set out in this Agreement. Nothing in this Agreement excludes liability for fraud.</w:t>
      </w:r>
    </w:p>
    <w:p>
      <w:pPr>
        <w:spacing w:after="0" w:line="216" w:lineRule="exact"/>
        <w:rPr>
          <w:sz w:val="20"/>
          <w:szCs w:val="20"/>
          <w:color w:val="auto"/>
        </w:rPr>
      </w:pPr>
    </w:p>
    <w:p>
      <w:pPr>
        <w:ind w:left="380" w:right="100" w:hanging="450"/>
        <w:spacing w:after="0" w:line="283" w:lineRule="auto"/>
        <w:tabs>
          <w:tab w:leader="none" w:pos="36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6"/>
          <w:szCs w:val="16"/>
          <w:i w:val="1"/>
          <w:iCs w:val="1"/>
          <w:color w:val="auto"/>
        </w:rPr>
        <w:t xml:space="preserve">Variation. </w:t>
      </w:r>
      <w:r>
        <w:rPr>
          <w:rFonts w:ascii="Arial" w:cs="Arial" w:eastAsia="Arial" w:hAnsi="Arial"/>
          <w:sz w:val="16"/>
          <w:szCs w:val="16"/>
          <w:color w:val="auto"/>
        </w:rPr>
        <w:t>This Agreement, including this Clause 8.7, may be amended, varied or renewed only by a document in writing signed by a duly authorized representative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each </w:t>
      </w:r>
      <w:r>
        <w:rPr>
          <w:rFonts w:ascii="Arial" w:cs="Arial" w:eastAsia="Arial" w:hAnsi="Arial"/>
          <w:sz w:val="16"/>
          <w:szCs w:val="16"/>
          <w:i w:val="1"/>
          <w:iCs w:val="1"/>
          <w:color w:val="auto"/>
        </w:rPr>
        <w:t>Party</w:t>
      </w:r>
      <w:r>
        <w:rPr>
          <w:rFonts w:ascii="Arial" w:cs="Arial" w:eastAsia="Arial" w:hAnsi="Arial"/>
          <w:sz w:val="16"/>
          <w:szCs w:val="16"/>
          <w:color w:val="auto"/>
        </w:rPr>
        <w:t>.</w:t>
      </w:r>
    </w:p>
    <w:p>
      <w:pPr>
        <w:spacing w:after="0" w:line="199" w:lineRule="exact"/>
        <w:rPr>
          <w:sz w:val="20"/>
          <w:szCs w:val="20"/>
          <w:color w:val="auto"/>
        </w:rPr>
      </w:pPr>
    </w:p>
    <w:p>
      <w:pPr>
        <w:ind w:left="380" w:right="80" w:hanging="450"/>
        <w:spacing w:after="0" w:line="283" w:lineRule="auto"/>
        <w:tabs>
          <w:tab w:leader="none" w:pos="36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6"/>
          <w:szCs w:val="16"/>
          <w:i w:val="1"/>
          <w:iCs w:val="1"/>
          <w:color w:val="auto"/>
        </w:rPr>
        <w:t xml:space="preserve">No assignment. </w:t>
      </w:r>
      <w:r>
        <w:rPr>
          <w:rFonts w:ascii="Arial" w:cs="Arial" w:eastAsia="Arial" w:hAnsi="Arial"/>
          <w:sz w:val="16"/>
          <w:szCs w:val="16"/>
          <w:color w:val="auto"/>
        </w:rPr>
        <w:t>Neither</w:t>
      </w:r>
      <w:r>
        <w:rPr>
          <w:rFonts w:ascii="Arial" w:cs="Arial" w:eastAsia="Arial" w:hAnsi="Arial"/>
          <w:sz w:val="16"/>
          <w:szCs w:val="16"/>
          <w:i w:val="1"/>
          <w:iCs w:val="1"/>
          <w:color w:val="auto"/>
        </w:rPr>
        <w:t xml:space="preserve"> Party </w:t>
      </w:r>
      <w:r>
        <w:rPr>
          <w:rFonts w:ascii="Arial" w:cs="Arial" w:eastAsia="Arial" w:hAnsi="Arial"/>
          <w:sz w:val="16"/>
          <w:szCs w:val="16"/>
          <w:color w:val="auto"/>
        </w:rPr>
        <w:t>shall assign, transfer, charge, encumber, or otherwise deal with the whole or any part of this Agreement, or its rights or obligations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Agreement without the prior written consent of the other </w:t>
      </w:r>
      <w:r>
        <w:rPr>
          <w:rFonts w:ascii="Arial" w:cs="Arial" w:eastAsia="Arial" w:hAnsi="Arial"/>
          <w:sz w:val="16"/>
          <w:szCs w:val="16"/>
          <w:i w:val="1"/>
          <w:iCs w:val="1"/>
          <w:color w:val="auto"/>
        </w:rPr>
        <w:t>Party</w:t>
      </w:r>
      <w:r>
        <w:rPr>
          <w:rFonts w:ascii="Arial" w:cs="Arial" w:eastAsia="Arial" w:hAnsi="Arial"/>
          <w:sz w:val="16"/>
          <w:szCs w:val="16"/>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45720</wp:posOffset>
            </wp:positionV>
            <wp:extent cx="7259955" cy="152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392" w:name="page393"/>
    <w:bookmarkEnd w:id="392"/>
    <w:p>
      <w:pPr>
        <w:spacing w:after="0"/>
        <w:rPr>
          <w:sz w:val="20"/>
          <w:szCs w:val="20"/>
          <w:color w:val="auto"/>
        </w:rPr>
      </w:pPr>
      <w:r>
        <w:rPr>
          <w:rFonts w:ascii="Arial" w:cs="Arial" w:eastAsia="Arial" w:hAnsi="Arial"/>
          <w:sz w:val="14"/>
          <w:szCs w:val="14"/>
          <w:b w:val="1"/>
          <w:bCs w:val="1"/>
          <w:color w:val="auto"/>
        </w:rPr>
        <w:t>Agreed by the Parties through their authorized signatories: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KODE Biotech Limited</w:t>
      </w:r>
      <w:r>
        <w:rPr>
          <w:rFonts w:ascii="Arial" w:cs="Arial" w:eastAsia="Arial" w:hAnsi="Arial"/>
          <w:sz w:val="16"/>
          <w:szCs w:val="16"/>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Stephen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09950" cy="152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Stephen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09950" cy="152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09950" cy="152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Job title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31 March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409950" cy="152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For and on behalf of </w:t>
      </w:r>
      <w:r>
        <w:rPr>
          <w:rFonts w:ascii="Arial" w:cs="Arial" w:eastAsia="Arial" w:hAnsi="Arial"/>
          <w:sz w:val="14"/>
          <w:szCs w:val="14"/>
          <w:b w:val="1"/>
          <w:bCs w:val="1"/>
          <w:color w:val="auto"/>
        </w:rPr>
        <w:t>Agalimmune Limited</w:t>
      </w:r>
      <w:r>
        <w:rPr>
          <w:rFonts w:ascii="Arial" w:cs="Arial" w:eastAsia="Arial" w:hAnsi="Arial"/>
          <w:sz w:val="14"/>
          <w:szCs w:val="14"/>
          <w:color w:val="auto"/>
        </w:rPr>
        <w:t>:</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 Graham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401695" cy="152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Signed</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Graham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401695" cy="15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Print name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401695" cy="152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Job title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31 March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3401695" cy="152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45720</wp:posOffset>
            </wp:positionV>
            <wp:extent cx="7259955" cy="152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2">
            <w:col w:w="4920" w:space="720"/>
            <w:col w:w="4579"/>
          </w:cols>
          <w:pgMar w:left="240" w:top="123" w:right="1440" w:bottom="1440" w:gutter="0" w:footer="0" w:header="0"/>
        </w:sectPr>
      </w:pPr>
    </w:p>
    <w:bookmarkStart w:id="393" w:name="page394"/>
    <w:bookmarkEnd w:id="393"/>
    <w:p>
      <w:pPr>
        <w:jc w:val="center"/>
        <w:ind w:right="20"/>
        <w:spacing w:after="0"/>
        <w:rPr>
          <w:sz w:val="20"/>
          <w:szCs w:val="20"/>
          <w:color w:val="auto"/>
        </w:rPr>
      </w:pPr>
      <w:r>
        <w:rPr>
          <w:rFonts w:ascii="Arial" w:cs="Arial" w:eastAsia="Arial" w:hAnsi="Arial"/>
          <w:sz w:val="16"/>
          <w:szCs w:val="16"/>
          <w:b w:val="1"/>
          <w:bCs w:val="1"/>
          <w:color w:val="auto"/>
        </w:rPr>
        <w:t>Schedule 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Borders>
              <w:top w:val="single" w:sz="8" w:color="auto"/>
            </w:tcBorders>
            <w:vMerge w:val="restart"/>
          </w:tcPr>
          <w:p>
            <w:pPr>
              <w:jc w:val="center"/>
              <w:ind w:left="99"/>
              <w:spacing w:after="0"/>
              <w:rPr>
                <w:sz w:val="20"/>
                <w:szCs w:val="20"/>
                <w:color w:val="auto"/>
              </w:rPr>
            </w:pPr>
            <w:r>
              <w:rPr>
                <w:rFonts w:ascii="Arial" w:cs="Arial" w:eastAsia="Arial" w:hAnsi="Arial"/>
                <w:sz w:val="16"/>
                <w:szCs w:val="16"/>
                <w:b w:val="1"/>
                <w:bCs w:val="1"/>
                <w:color w:val="auto"/>
              </w:rPr>
              <w:t>KBL ref</w:t>
            </w: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Title</w:t>
            </w: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CC</w:t>
            </w:r>
          </w:p>
        </w:tc>
        <w:tc>
          <w:tcPr>
            <w:tcW w:w="220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1"/>
              </w:rPr>
              <w:t>Application no.</w:t>
            </w:r>
          </w:p>
        </w:tc>
        <w:tc>
          <w:tcPr>
            <w:tcW w:w="2720" w:type="dxa"/>
            <w:vAlign w:val="bottom"/>
            <w:tcBorders>
              <w:top w:val="single" w:sz="8" w:color="auto"/>
            </w:tcBorders>
            <w:vMerge w:val="restart"/>
          </w:tcPr>
          <w:p>
            <w:pPr>
              <w:jc w:val="center"/>
              <w:ind w:left="79"/>
              <w:spacing w:after="0"/>
              <w:rPr>
                <w:sz w:val="20"/>
                <w:szCs w:val="20"/>
                <w:color w:val="auto"/>
              </w:rPr>
            </w:pPr>
            <w:r>
              <w:rPr>
                <w:rFonts w:ascii="Arial" w:cs="Arial" w:eastAsia="Arial" w:hAnsi="Arial"/>
                <w:sz w:val="16"/>
                <w:szCs w:val="16"/>
                <w:b w:val="1"/>
                <w:bCs w:val="1"/>
                <w:color w:val="auto"/>
                <w:w w:val="92"/>
              </w:rPr>
              <w:t>Priority document(s)</w:t>
            </w:r>
          </w:p>
        </w:tc>
        <w:tc>
          <w:tcPr>
            <w:tcW w:w="1320" w:type="dxa"/>
            <w:vAlign w:val="bottom"/>
            <w:tcBorders>
              <w:top w:val="single" w:sz="8" w:color="auto"/>
            </w:tcBorders>
            <w:vMerge w:val="restart"/>
          </w:tcPr>
          <w:p>
            <w:pPr>
              <w:jc w:val="center"/>
              <w:ind w:left="159"/>
              <w:spacing w:after="0"/>
              <w:rPr>
                <w:sz w:val="20"/>
                <w:szCs w:val="20"/>
                <w:color w:val="auto"/>
              </w:rPr>
            </w:pPr>
            <w:r>
              <w:rPr>
                <w:rFonts w:ascii="Arial" w:cs="Arial" w:eastAsia="Arial" w:hAnsi="Arial"/>
                <w:sz w:val="16"/>
                <w:szCs w:val="16"/>
                <w:b w:val="1"/>
                <w:bCs w:val="1"/>
                <w:color w:val="auto"/>
                <w:w w:val="89"/>
              </w:rPr>
              <w:t>Status</w:t>
            </w:r>
          </w:p>
        </w:tc>
        <w:tc>
          <w:tcPr>
            <w:tcW w:w="0" w:type="dxa"/>
            <w:vAlign w:val="bottom"/>
          </w:tcPr>
          <w:p>
            <w:pPr>
              <w:spacing w:after="0"/>
              <w:rPr>
                <w:sz w:val="1"/>
                <w:szCs w:val="1"/>
                <w:color w:val="auto"/>
              </w:rPr>
            </w:pPr>
          </w:p>
        </w:tc>
      </w:tr>
      <w:tr>
        <w:trPr>
          <w:trHeight w:val="113"/>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3"/>
              </w:rPr>
              <w:t>(Patent no.)</w:t>
            </w:r>
          </w:p>
        </w:tc>
        <w:tc>
          <w:tcPr>
            <w:tcW w:w="27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vMerge w:val="continue"/>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9"/>
        </w:trPr>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jc w:val="right"/>
              <w:ind w:right="1519"/>
              <w:spacing w:after="0"/>
              <w:rPr>
                <w:sz w:val="20"/>
                <w:szCs w:val="20"/>
                <w:color w:val="auto"/>
              </w:rPr>
            </w:pPr>
            <w:r>
              <w:rPr>
                <w:rFonts w:ascii="Arial" w:cs="Arial" w:eastAsia="Arial" w:hAnsi="Arial"/>
                <w:sz w:val="16"/>
                <w:szCs w:val="16"/>
                <w:color w:val="auto"/>
              </w:rPr>
              <w:t>12</w:t>
            </w: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2" w:right="219" w:bottom="1440" w:gutter="0" w:footer="0" w:header="0"/>
        </w:sectPr>
      </w:pPr>
    </w:p>
    <w:bookmarkStart w:id="394" w:name="page395"/>
    <w:bookmarkEnd w:id="3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Borders>
              <w:top w:val="single" w:sz="8" w:color="auto"/>
            </w:tcBorders>
            <w:vMerge w:val="restart"/>
          </w:tcPr>
          <w:p>
            <w:pPr>
              <w:jc w:val="center"/>
              <w:ind w:left="99"/>
              <w:spacing w:after="0"/>
              <w:rPr>
                <w:sz w:val="20"/>
                <w:szCs w:val="20"/>
                <w:color w:val="auto"/>
              </w:rPr>
            </w:pPr>
            <w:r>
              <w:rPr>
                <w:rFonts w:ascii="Arial" w:cs="Arial" w:eastAsia="Arial" w:hAnsi="Arial"/>
                <w:sz w:val="16"/>
                <w:szCs w:val="16"/>
                <w:b w:val="1"/>
                <w:bCs w:val="1"/>
                <w:color w:val="auto"/>
              </w:rPr>
              <w:t>KBL ref</w:t>
            </w: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Title</w:t>
            </w: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CC</w:t>
            </w:r>
          </w:p>
        </w:tc>
        <w:tc>
          <w:tcPr>
            <w:tcW w:w="220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1"/>
              </w:rPr>
              <w:t>Application no.</w:t>
            </w:r>
          </w:p>
        </w:tc>
        <w:tc>
          <w:tcPr>
            <w:tcW w:w="2720" w:type="dxa"/>
            <w:vAlign w:val="bottom"/>
            <w:tcBorders>
              <w:top w:val="single" w:sz="8" w:color="auto"/>
            </w:tcBorders>
            <w:vMerge w:val="restart"/>
          </w:tcPr>
          <w:p>
            <w:pPr>
              <w:jc w:val="center"/>
              <w:ind w:left="79"/>
              <w:spacing w:after="0"/>
              <w:rPr>
                <w:sz w:val="20"/>
                <w:szCs w:val="20"/>
                <w:color w:val="auto"/>
              </w:rPr>
            </w:pPr>
            <w:r>
              <w:rPr>
                <w:rFonts w:ascii="Arial" w:cs="Arial" w:eastAsia="Arial" w:hAnsi="Arial"/>
                <w:sz w:val="16"/>
                <w:szCs w:val="16"/>
                <w:b w:val="1"/>
                <w:bCs w:val="1"/>
                <w:color w:val="auto"/>
                <w:w w:val="92"/>
              </w:rPr>
              <w:t>Priority document(s)</w:t>
            </w:r>
          </w:p>
        </w:tc>
        <w:tc>
          <w:tcPr>
            <w:tcW w:w="1320" w:type="dxa"/>
            <w:vAlign w:val="bottom"/>
            <w:tcBorders>
              <w:top w:val="single" w:sz="8" w:color="auto"/>
            </w:tcBorders>
            <w:vMerge w:val="restart"/>
          </w:tcPr>
          <w:p>
            <w:pPr>
              <w:jc w:val="center"/>
              <w:ind w:left="159"/>
              <w:spacing w:after="0"/>
              <w:rPr>
                <w:sz w:val="20"/>
                <w:szCs w:val="20"/>
                <w:color w:val="auto"/>
              </w:rPr>
            </w:pPr>
            <w:r>
              <w:rPr>
                <w:rFonts w:ascii="Arial" w:cs="Arial" w:eastAsia="Arial" w:hAnsi="Arial"/>
                <w:sz w:val="16"/>
                <w:szCs w:val="16"/>
                <w:b w:val="1"/>
                <w:bCs w:val="1"/>
                <w:color w:val="auto"/>
                <w:w w:val="89"/>
              </w:rPr>
              <w:t>Status</w:t>
            </w:r>
          </w:p>
        </w:tc>
        <w:tc>
          <w:tcPr>
            <w:tcW w:w="0" w:type="dxa"/>
            <w:vAlign w:val="bottom"/>
          </w:tcPr>
          <w:p>
            <w:pPr>
              <w:spacing w:after="0"/>
              <w:rPr>
                <w:sz w:val="1"/>
                <w:szCs w:val="1"/>
                <w:color w:val="auto"/>
              </w:rPr>
            </w:pPr>
          </w:p>
        </w:tc>
      </w:tr>
      <w:tr>
        <w:trPr>
          <w:trHeight w:val="113"/>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3"/>
              </w:rPr>
              <w:t>(Patent no.)</w:t>
            </w:r>
          </w:p>
        </w:tc>
        <w:tc>
          <w:tcPr>
            <w:tcW w:w="27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vMerge w:val="continue"/>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00" w:type="dxa"/>
            <w:vAlign w:val="bottom"/>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720" w:type="dxa"/>
            <w:vAlign w:val="bottom"/>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600" w:type="dxa"/>
            <w:vAlign w:val="bottom"/>
            <w:vMerge w:val="restart"/>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Pr>
          <w:p>
            <w:pPr>
              <w:jc w:val="center"/>
              <w:ind w:left="79"/>
              <w:spacing w:after="0" w:line="182" w:lineRule="exact"/>
              <w:rPr>
                <w:sz w:val="20"/>
                <w:szCs w:val="20"/>
                <w:color w:val="auto"/>
              </w:rPr>
            </w:pPr>
            <w:r>
              <w:rPr>
                <w:rFonts w:ascii="Arial" w:cs="Arial" w:eastAsia="Arial" w:hAnsi="Arial"/>
                <w:sz w:val="16"/>
                <w:szCs w:val="16"/>
                <w:color w:val="auto"/>
              </w:rPr>
              <w:t>[*]</w:t>
            </w:r>
          </w:p>
        </w:tc>
        <w:tc>
          <w:tcPr>
            <w:tcW w:w="132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6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2720" w:type="dxa"/>
            <w:vAlign w:val="bottom"/>
            <w:vMerge w:val="restart"/>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6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w:t>
            </w:r>
          </w:p>
        </w:tc>
        <w:tc>
          <w:tcPr>
            <w:tcW w:w="27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9"/>
        </w:trPr>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jc w:val="right"/>
              <w:ind w:right="1519"/>
              <w:spacing w:after="0"/>
              <w:rPr>
                <w:sz w:val="20"/>
                <w:szCs w:val="20"/>
                <w:color w:val="auto"/>
              </w:rPr>
            </w:pPr>
            <w:r>
              <w:rPr>
                <w:rFonts w:ascii="Arial" w:cs="Arial" w:eastAsia="Arial" w:hAnsi="Arial"/>
                <w:sz w:val="16"/>
                <w:szCs w:val="16"/>
                <w:color w:val="auto"/>
              </w:rPr>
              <w:t>13</w:t>
            </w: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6"/>
          <w:szCs w:val="16"/>
          <w:b w:val="1"/>
          <w:bCs w:val="1"/>
          <w:color w:val="auto"/>
        </w:rPr>
        <w:t>Schedule 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EXPLOITATION LICENCE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45720</wp:posOffset>
            </wp:positionV>
            <wp:extent cx="7259955" cy="152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6" w:name="page397"/>
    <w:bookmarkEnd w:id="396"/>
    <w:p>
      <w:pPr>
        <w:jc w:val="center"/>
        <w:ind w:right="-2"/>
        <w:spacing w:after="0"/>
        <w:rPr>
          <w:sz w:val="20"/>
          <w:szCs w:val="20"/>
          <w:color w:val="auto"/>
        </w:rPr>
      </w:pPr>
      <w:r>
        <w:rPr>
          <w:rFonts w:ascii="Arial" w:cs="Arial" w:eastAsia="Arial" w:hAnsi="Arial"/>
          <w:sz w:val="16"/>
          <w:szCs w:val="16"/>
          <w:b w:val="1"/>
          <w:bCs w:val="1"/>
          <w:color w:val="auto"/>
        </w:rPr>
        <w:t>PATENT &amp; KNOW-HOW</w:t>
      </w:r>
    </w:p>
    <w:p>
      <w:pPr>
        <w:spacing w:after="0" w:line="25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LICENSE AGREEMENT</w:t>
      </w:r>
    </w:p>
    <w:p>
      <w:pPr>
        <w:spacing w:after="0" w:line="2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dated …………………………………. 20__ is between the following Parties:</w:t>
      </w:r>
    </w:p>
    <w:p>
      <w:pPr>
        <w:spacing w:after="0" w:line="254" w:lineRule="exact"/>
        <w:rPr>
          <w:sz w:val="20"/>
          <w:szCs w:val="20"/>
          <w:color w:val="auto"/>
        </w:rPr>
      </w:pPr>
    </w:p>
    <w:p>
      <w:pPr>
        <w:ind w:left="443" w:right="20" w:hanging="443"/>
        <w:spacing w:after="0" w:line="288" w:lineRule="auto"/>
        <w:tabs>
          <w:tab w:leader="none" w:pos="443" w:val="left"/>
        </w:tabs>
        <w:numPr>
          <w:ilvl w:val="0"/>
          <w:numId w:val="377"/>
        </w:numPr>
        <w:rPr>
          <w:rFonts w:ascii="Arial" w:cs="Arial" w:eastAsia="Arial" w:hAnsi="Arial"/>
          <w:sz w:val="16"/>
          <w:szCs w:val="16"/>
          <w:color w:val="auto"/>
        </w:rPr>
      </w:pPr>
      <w:r>
        <w:rPr>
          <w:rFonts w:ascii="Arial" w:cs="Arial" w:eastAsia="Arial" w:hAnsi="Arial"/>
          <w:sz w:val="16"/>
          <w:szCs w:val="16"/>
          <w:b w:val="1"/>
          <w:bCs w:val="1"/>
          <w:color w:val="auto"/>
        </w:rPr>
        <w:t>KODE BIOTECH LIMITED</w:t>
      </w:r>
      <w:r>
        <w:rPr>
          <w:rFonts w:ascii="Arial" w:cs="Arial" w:eastAsia="Arial" w:hAnsi="Arial"/>
          <w:sz w:val="16"/>
          <w:szCs w:val="16"/>
          <w:color w:val="auto"/>
        </w:rPr>
        <w:t>, a New Zealand limited company (company no. 713905) having its registered office at 19 Mount Street, Scott Laboratory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Auckland University of Technology, Auckland (the “</w:t>
      </w:r>
      <w:r>
        <w:rPr>
          <w:rFonts w:ascii="Arial" w:cs="Arial" w:eastAsia="Arial" w:hAnsi="Arial"/>
          <w:sz w:val="16"/>
          <w:szCs w:val="16"/>
          <w:b w:val="1"/>
          <w:bCs w:val="1"/>
          <w:color w:val="auto"/>
        </w:rPr>
        <w:t>Licensor</w:t>
      </w:r>
      <w:r>
        <w:rPr>
          <w:rFonts w:ascii="Arial" w:cs="Arial" w:eastAsia="Arial" w:hAnsi="Arial"/>
          <w:sz w:val="16"/>
          <w:szCs w:val="16"/>
          <w:color w:val="auto"/>
        </w:rPr>
        <w:t>”); and</w:t>
      </w:r>
    </w:p>
    <w:p>
      <w:pPr>
        <w:spacing w:after="0" w:line="185" w:lineRule="exact"/>
        <w:rPr>
          <w:rFonts w:ascii="Arial" w:cs="Arial" w:eastAsia="Arial" w:hAnsi="Arial"/>
          <w:sz w:val="16"/>
          <w:szCs w:val="16"/>
          <w:color w:val="auto"/>
        </w:rPr>
      </w:pPr>
    </w:p>
    <w:p>
      <w:pPr>
        <w:ind w:left="443" w:right="20" w:hanging="443"/>
        <w:spacing w:after="0" w:line="199" w:lineRule="auto"/>
        <w:tabs>
          <w:tab w:leader="none" w:pos="443" w:val="left"/>
        </w:tabs>
        <w:numPr>
          <w:ilvl w:val="0"/>
          <w:numId w:val="377"/>
        </w:numPr>
        <w:rPr>
          <w:rFonts w:ascii="Arial" w:cs="Arial" w:eastAsia="Arial" w:hAnsi="Arial"/>
          <w:sz w:val="16"/>
          <w:szCs w:val="16"/>
          <w:color w:val="auto"/>
        </w:rPr>
      </w:pPr>
      <w:r>
        <w:rPr>
          <w:rFonts w:ascii="Arial" w:cs="Arial" w:eastAsia="Arial" w:hAnsi="Arial"/>
          <w:sz w:val="16"/>
          <w:szCs w:val="16"/>
          <w:b w:val="1"/>
          <w:bCs w:val="1"/>
          <w:color w:val="auto"/>
        </w:rPr>
        <w:t>AGALIMMUNE LIMITED</w:t>
      </w:r>
      <w:r>
        <w:rPr>
          <w:rFonts w:ascii="Arial" w:cs="Arial" w:eastAsia="Arial" w:hAnsi="Arial"/>
          <w:sz w:val="16"/>
          <w:szCs w:val="16"/>
          <w:color w:val="auto"/>
        </w:rPr>
        <w:t>, a private limited company incorporated in England and Wales (company no. 08504603) having its registered office at 1</w:t>
      </w:r>
      <w:r>
        <w:rPr>
          <w:rFonts w:ascii="Arial" w:cs="Arial" w:eastAsia="Arial" w:hAnsi="Arial"/>
          <w:sz w:val="27"/>
          <w:szCs w:val="27"/>
          <w:color w:val="auto"/>
          <w:vertAlign w:val="superscript"/>
        </w:rPr>
        <w:t>st</w:t>
      </w:r>
      <w:r>
        <w:rPr>
          <w:rFonts w:ascii="Arial" w:cs="Arial" w:eastAsia="Arial" w:hAnsi="Arial"/>
          <w:sz w:val="16"/>
          <w:szCs w:val="16"/>
          <w:b w:val="1"/>
          <w:bCs w:val="1"/>
          <w:color w:val="auto"/>
        </w:rPr>
        <w:t xml:space="preserve"> </w:t>
      </w:r>
      <w:r>
        <w:rPr>
          <w:rFonts w:ascii="Arial" w:cs="Arial" w:eastAsia="Arial" w:hAnsi="Arial"/>
          <w:sz w:val="16"/>
          <w:szCs w:val="16"/>
          <w:color w:val="auto"/>
        </w:rPr>
        <w:t>Floor, Thavies</w:t>
      </w:r>
      <w:r>
        <w:rPr>
          <w:rFonts w:ascii="Arial" w:cs="Arial" w:eastAsia="Arial" w:hAnsi="Arial"/>
          <w:sz w:val="16"/>
          <w:szCs w:val="16"/>
          <w:b w:val="1"/>
          <w:bCs w:val="1"/>
          <w:color w:val="auto"/>
        </w:rPr>
        <w:t xml:space="preserve"> </w:t>
      </w:r>
      <w:r>
        <w:rPr>
          <w:rFonts w:ascii="Arial" w:cs="Arial" w:eastAsia="Arial" w:hAnsi="Arial"/>
          <w:sz w:val="16"/>
          <w:szCs w:val="16"/>
          <w:color w:val="auto"/>
        </w:rPr>
        <w:t>Inn House, 3-4 Holborn Circus, London EC1N 2HA (the “</w:t>
      </w:r>
      <w:r>
        <w:rPr>
          <w:rFonts w:ascii="Arial" w:cs="Arial" w:eastAsia="Arial" w:hAnsi="Arial"/>
          <w:sz w:val="16"/>
          <w:szCs w:val="16"/>
          <w:b w:val="1"/>
          <w:bCs w:val="1"/>
          <w:color w:val="auto"/>
        </w:rPr>
        <w:t>Licensee</w:t>
      </w:r>
      <w:r>
        <w:rPr>
          <w:rFonts w:ascii="Arial" w:cs="Arial" w:eastAsia="Arial" w:hAnsi="Arial"/>
          <w:sz w:val="16"/>
          <w:szCs w:val="16"/>
          <w:color w:val="auto"/>
        </w:rPr>
        <w:t>”).</w:t>
      </w:r>
    </w:p>
    <w:p>
      <w:pPr>
        <w:spacing w:after="0" w:line="23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Background</w:t>
      </w:r>
    </w:p>
    <w:p>
      <w:pPr>
        <w:spacing w:after="0" w:line="258" w:lineRule="exact"/>
        <w:rPr>
          <w:sz w:val="20"/>
          <w:szCs w:val="20"/>
          <w:color w:val="auto"/>
        </w:rPr>
      </w:pPr>
    </w:p>
    <w:p>
      <w:pPr>
        <w:ind w:left="583" w:hanging="583"/>
        <w:spacing w:after="0" w:line="283" w:lineRule="auto"/>
        <w:tabs>
          <w:tab w:leader="none" w:pos="583"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Licensor has developed a range of water dispersible glycan-lipid conjugates and is the owner of Exclusionary Rights in respect of the KODE™ Constructs and associated KODE™ Know how.</w:t>
      </w:r>
    </w:p>
    <w:p>
      <w:pPr>
        <w:spacing w:after="0" w:line="199" w:lineRule="exact"/>
        <w:rPr>
          <w:rFonts w:ascii="Arial" w:cs="Arial" w:eastAsia="Arial" w:hAnsi="Arial"/>
          <w:sz w:val="16"/>
          <w:szCs w:val="16"/>
          <w:color w:val="auto"/>
        </w:rPr>
      </w:pPr>
    </w:p>
    <w:p>
      <w:pPr>
        <w:ind w:left="583" w:right="20" w:hanging="583"/>
        <w:spacing w:after="0" w:line="283" w:lineRule="auto"/>
        <w:tabs>
          <w:tab w:leader="none" w:pos="583"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Licensee undertakes research into tumour anticancer therapy in humans and is developing a method of promoting tumour regression and destruction by the administration of glycolipids comprising the α-gal epitope.</w:t>
      </w:r>
    </w:p>
    <w:p>
      <w:pPr>
        <w:spacing w:after="0" w:line="199" w:lineRule="exact"/>
        <w:rPr>
          <w:rFonts w:ascii="Arial" w:cs="Arial" w:eastAsia="Arial" w:hAnsi="Arial"/>
          <w:sz w:val="16"/>
          <w:szCs w:val="16"/>
          <w:color w:val="auto"/>
        </w:rPr>
      </w:pPr>
    </w:p>
    <w:p>
      <w:pPr>
        <w:ind w:left="583" w:right="20" w:hanging="583"/>
        <w:spacing w:after="0" w:line="283" w:lineRule="auto"/>
        <w:tabs>
          <w:tab w:leader="none" w:pos="583" w:val="left"/>
        </w:tabs>
        <w:numPr>
          <w:ilvl w:val="0"/>
          <w:numId w:val="378"/>
        </w:numPr>
        <w:rPr>
          <w:rFonts w:ascii="Arial" w:cs="Arial" w:eastAsia="Arial" w:hAnsi="Arial"/>
          <w:sz w:val="16"/>
          <w:szCs w:val="16"/>
          <w:color w:val="auto"/>
        </w:rPr>
      </w:pPr>
      <w:r>
        <w:rPr>
          <w:rFonts w:ascii="Arial" w:cs="Arial" w:eastAsia="Arial" w:hAnsi="Arial"/>
          <w:sz w:val="16"/>
          <w:szCs w:val="16"/>
          <w:color w:val="auto"/>
        </w:rPr>
        <w:t>On March 31, 2015 the Licensee was granted by the Licensor the right to require the Licensor to enter into a license to pursue clinical development and commercialisation of the use of the KODE™ Technology as part of its method (“</w:t>
      </w:r>
      <w:r>
        <w:rPr>
          <w:rFonts w:ascii="Arial" w:cs="Arial" w:eastAsia="Arial" w:hAnsi="Arial"/>
          <w:sz w:val="16"/>
          <w:szCs w:val="16"/>
          <w:b w:val="1"/>
          <w:bCs w:val="1"/>
          <w:color w:val="auto"/>
        </w:rPr>
        <w:t>Option</w:t>
      </w:r>
      <w:r>
        <w:rPr>
          <w:rFonts w:ascii="Arial" w:cs="Arial" w:eastAsia="Arial" w:hAnsi="Arial"/>
          <w:sz w:val="16"/>
          <w:szCs w:val="16"/>
          <w:color w:val="auto"/>
        </w:rPr>
        <w:t>”).</w:t>
      </w:r>
    </w:p>
    <w:p>
      <w:pPr>
        <w:spacing w:after="0" w:line="195" w:lineRule="exact"/>
        <w:rPr>
          <w:rFonts w:ascii="Arial" w:cs="Arial" w:eastAsia="Arial" w:hAnsi="Arial"/>
          <w:sz w:val="16"/>
          <w:szCs w:val="16"/>
          <w:color w:val="auto"/>
        </w:rPr>
      </w:pPr>
    </w:p>
    <w:p>
      <w:pPr>
        <w:ind w:left="583" w:right="20" w:hanging="583"/>
        <w:spacing w:after="0" w:line="288" w:lineRule="auto"/>
        <w:tabs>
          <w:tab w:leader="none" w:pos="583"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Licensee has exercised its Option by delivery of an “</w:t>
      </w:r>
      <w:r>
        <w:rPr>
          <w:rFonts w:ascii="Arial" w:cs="Arial" w:eastAsia="Arial" w:hAnsi="Arial"/>
          <w:sz w:val="16"/>
          <w:szCs w:val="16"/>
          <w:b w:val="1"/>
          <w:bCs w:val="1"/>
          <w:color w:val="auto"/>
        </w:rPr>
        <w:t>Option Exercise Notice</w:t>
      </w:r>
      <w:r>
        <w:rPr>
          <w:rFonts w:ascii="Arial" w:cs="Arial" w:eastAsia="Arial" w:hAnsi="Arial"/>
          <w:sz w:val="16"/>
          <w:szCs w:val="16"/>
          <w:color w:val="auto"/>
        </w:rPr>
        <w:t>” as referred to in the Option, and this Agreement accordingly sets out the terms and conditions of the license granted by the Licensor.</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IT IS AGREED </w:t>
      </w:r>
      <w:r>
        <w:rPr>
          <w:rFonts w:ascii="Arial" w:cs="Arial" w:eastAsia="Arial" w:hAnsi="Arial"/>
          <w:sz w:val="16"/>
          <w:szCs w:val="16"/>
          <w:color w:val="auto"/>
        </w:rPr>
        <w:t>as follows:</w:t>
      </w:r>
    </w:p>
    <w:p>
      <w:pPr>
        <w:spacing w:after="0" w:line="254" w:lineRule="exact"/>
        <w:rPr>
          <w:sz w:val="20"/>
          <w:szCs w:val="20"/>
          <w:color w:val="auto"/>
        </w:rPr>
      </w:pPr>
    </w:p>
    <w:p>
      <w:pPr>
        <w:ind w:left="443" w:hanging="443"/>
        <w:spacing w:after="0"/>
        <w:tabs>
          <w:tab w:leader="none" w:pos="443" w:val="left"/>
        </w:tabs>
        <w:numPr>
          <w:ilvl w:val="0"/>
          <w:numId w:val="379"/>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 and Interpretation</w:t>
      </w:r>
    </w:p>
    <w:p>
      <w:pPr>
        <w:spacing w:after="0" w:line="258" w:lineRule="exact"/>
        <w:rPr>
          <w:sz w:val="20"/>
          <w:szCs w:val="20"/>
          <w:color w:val="auto"/>
        </w:rPr>
      </w:pPr>
    </w:p>
    <w:p>
      <w:pPr>
        <w:ind w:left="3"/>
        <w:spacing w:after="0"/>
        <w:tabs>
          <w:tab w:leader="none" w:pos="422"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In this Agreement (including the Background), the following words shall have the following meanings:</w:t>
      </w:r>
    </w:p>
    <w:p>
      <w:pPr>
        <w:spacing w:after="0" w:line="250" w:lineRule="exact"/>
        <w:rPr>
          <w:sz w:val="20"/>
          <w:szCs w:val="20"/>
          <w:color w:val="auto"/>
        </w:rPr>
      </w:pPr>
    </w:p>
    <w:p>
      <w:pPr>
        <w:jc w:val="both"/>
        <w:ind w:left="463" w:right="20"/>
        <w:spacing w:after="0" w:line="271" w:lineRule="auto"/>
        <w:rPr>
          <w:sz w:val="20"/>
          <w:szCs w:val="20"/>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 means an entity that controls, is controlled by, or is under common control with a Party to this Agreement. The term “control” as used in the preceding</w:t>
      </w:r>
      <w:r>
        <w:rPr>
          <w:rFonts w:ascii="Arial" w:cs="Arial" w:eastAsia="Arial" w:hAnsi="Arial"/>
          <w:sz w:val="16"/>
          <w:szCs w:val="16"/>
          <w:b w:val="1"/>
          <w:bCs w:val="1"/>
          <w:color w:val="auto"/>
        </w:rPr>
        <w:t xml:space="preserve"> </w:t>
      </w:r>
      <w:r>
        <w:rPr>
          <w:rFonts w:ascii="Arial" w:cs="Arial" w:eastAsia="Arial" w:hAnsi="Arial"/>
          <w:sz w:val="16"/>
          <w:szCs w:val="16"/>
          <w:color w:val="auto"/>
        </w:rPr>
        <w:t>sentence means possession of the power to direct or call for the direction of the management and policies of an entity, whether through ownership of a majority of the outstanding voting securities, by contract, or otherwise.</w:t>
      </w:r>
    </w:p>
    <w:p>
      <w:pPr>
        <w:spacing w:after="0" w:line="205" w:lineRule="exact"/>
        <w:rPr>
          <w:sz w:val="20"/>
          <w:szCs w:val="20"/>
          <w:color w:val="auto"/>
        </w:rPr>
      </w:pPr>
    </w:p>
    <w:p>
      <w:pPr>
        <w:jc w:val="both"/>
        <w:ind w:left="463" w:right="20"/>
        <w:spacing w:after="0" w:line="324" w:lineRule="auto"/>
        <w:rPr>
          <w:sz w:val="20"/>
          <w:szCs w:val="20"/>
          <w:color w:val="auto"/>
        </w:rPr>
      </w:pPr>
      <w:r>
        <w:rPr>
          <w:rFonts w:ascii="Arial" w:cs="Arial" w:eastAsia="Arial" w:hAnsi="Arial"/>
          <w:sz w:val="15"/>
          <w:szCs w:val="15"/>
          <w:b w:val="1"/>
          <w:bCs w:val="1"/>
          <w:color w:val="auto"/>
        </w:rPr>
        <w:t>Agalimmune Patent</w:t>
      </w:r>
      <w:r>
        <w:rPr>
          <w:rFonts w:ascii="Arial" w:cs="Arial" w:eastAsia="Arial" w:hAnsi="Arial"/>
          <w:sz w:val="15"/>
          <w:szCs w:val="15"/>
          <w:color w:val="auto"/>
        </w:rPr>
        <w:t>: means the patent application by the Licensee listed in Part 2 of Schedule 1 together with any and all granted patents, continuations, continuations-in-part, divisionals, extensions, reissues, supplementary protection certificates and similar rights that are based on or derive priority from the foregoing.</w:t>
      </w:r>
    </w:p>
    <w:p>
      <w:pPr>
        <w:spacing w:after="0" w:line="167" w:lineRule="exact"/>
        <w:rPr>
          <w:sz w:val="20"/>
          <w:szCs w:val="20"/>
          <w:color w:val="auto"/>
        </w:rPr>
      </w:pPr>
    </w:p>
    <w:p>
      <w:pPr>
        <w:jc w:val="both"/>
        <w:ind w:left="463"/>
        <w:spacing w:after="0" w:line="265" w:lineRule="auto"/>
        <w:rPr>
          <w:sz w:val="20"/>
          <w:szCs w:val="20"/>
          <w:color w:val="auto"/>
        </w:rPr>
      </w:pP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confidential or proprietary information (including without limitation any trade secrets, Exclusionary Rights, and any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designs, information, know-how, specifications, formulae, data, processes, methods, techniques and other technology) in any form belonging or relating to one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its Affiliates, its or their business or affairs and directly or indirectly furnished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in connection with this Agreement.</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59955" cy="152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3"/>
          </w:cols>
          <w:pgMar w:left="237" w:top="366" w:right="219" w:bottom="1440" w:gutter="0" w:footer="0" w:header="0"/>
        </w:sectPr>
      </w:pPr>
    </w:p>
    <w:bookmarkStart w:id="397" w:name="page398"/>
    <w:bookmarkEnd w:id="397"/>
    <w:p>
      <w:pPr>
        <w:ind w:left="2"/>
        <w:spacing w:after="0" w:line="288" w:lineRule="auto"/>
        <w:rPr>
          <w:sz w:val="20"/>
          <w:szCs w:val="20"/>
          <w:color w:val="auto"/>
        </w:rPr>
      </w:pPr>
      <w:r>
        <w:rPr>
          <w:rFonts w:ascii="Arial" w:cs="Arial" w:eastAsia="Arial" w:hAnsi="Arial"/>
          <w:sz w:val="16"/>
          <w:szCs w:val="16"/>
          <w:b w:val="1"/>
          <w:bCs w:val="1"/>
          <w:color w:val="auto"/>
        </w:rPr>
        <w:t xml:space="preserve">Control: </w:t>
      </w:r>
      <w:r>
        <w:rPr>
          <w:rFonts w:ascii="Arial" w:cs="Arial" w:eastAsia="Arial" w:hAnsi="Arial"/>
          <w:sz w:val="16"/>
          <w:szCs w:val="16"/>
          <w:color w:val="auto"/>
        </w:rPr>
        <w:t>in relation to a body corporate, the power of a person to secure that the affairs of the body corporate are conducted in accordance with the wishes of that</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persons):</w:t>
      </w:r>
    </w:p>
    <w:p>
      <w:pPr>
        <w:spacing w:after="0" w:line="196" w:lineRule="exact"/>
        <w:rPr>
          <w:sz w:val="20"/>
          <w:szCs w:val="20"/>
          <w:color w:val="auto"/>
        </w:rPr>
      </w:pPr>
    </w:p>
    <w:p>
      <w:pPr>
        <w:ind w:left="222" w:hanging="222"/>
        <w:spacing w:after="0"/>
        <w:tabs>
          <w:tab w:leader="none" w:pos="22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by means of the holding of shares, or the possession of voting power, in or in relation to, that or any other body corporate; or</w:t>
      </w:r>
    </w:p>
    <w:p>
      <w:pPr>
        <w:spacing w:after="0" w:line="254" w:lineRule="exact"/>
        <w:rPr>
          <w:rFonts w:ascii="Arial" w:cs="Arial" w:eastAsia="Arial" w:hAnsi="Arial"/>
          <w:sz w:val="16"/>
          <w:szCs w:val="16"/>
          <w:color w:val="auto"/>
        </w:rPr>
      </w:pPr>
    </w:p>
    <w:p>
      <w:pPr>
        <w:ind w:left="2" w:right="1140" w:hanging="2"/>
        <w:spacing w:after="0" w:line="607" w:lineRule="auto"/>
        <w:tabs>
          <w:tab w:leader="none" w:pos="232" w:val="left"/>
        </w:tabs>
        <w:numPr>
          <w:ilvl w:val="0"/>
          <w:numId w:val="380"/>
        </w:numPr>
        <w:rPr>
          <w:rFonts w:ascii="Arial" w:cs="Arial" w:eastAsia="Arial" w:hAnsi="Arial"/>
          <w:sz w:val="15"/>
          <w:szCs w:val="15"/>
          <w:color w:val="auto"/>
        </w:rPr>
      </w:pPr>
      <w:r>
        <w:rPr>
          <w:rFonts w:ascii="Arial" w:cs="Arial" w:eastAsia="Arial" w:hAnsi="Arial"/>
          <w:sz w:val="15"/>
          <w:szCs w:val="15"/>
          <w:color w:val="auto"/>
        </w:rPr>
        <w:t xml:space="preserve">by virtue of any powers conferred by the constitutional or corporate documents, or any other document, regulating that or any other body corporate, and a </w:t>
      </w:r>
      <w:r>
        <w:rPr>
          <w:rFonts w:ascii="Arial" w:cs="Arial" w:eastAsia="Arial" w:hAnsi="Arial"/>
          <w:sz w:val="15"/>
          <w:szCs w:val="15"/>
          <w:b w:val="1"/>
          <w:bCs w:val="1"/>
          <w:color w:val="auto"/>
        </w:rPr>
        <w:t>Change of Control</w:t>
      </w:r>
      <w:r>
        <w:rPr>
          <w:rFonts w:ascii="Arial" w:cs="Arial" w:eastAsia="Arial" w:hAnsi="Arial"/>
          <w:sz w:val="15"/>
          <w:szCs w:val="15"/>
          <w:color w:val="auto"/>
        </w:rPr>
        <w:t xml:space="preserve"> occurs if a person who controls any body corporate ceases to do so or if another person acquires control of it.</w:t>
      </w:r>
    </w:p>
    <w:p>
      <w:pPr>
        <w:ind w:left="2"/>
        <w:spacing w:after="0"/>
        <w:rPr>
          <w:sz w:val="20"/>
          <w:szCs w:val="20"/>
          <w:color w:val="auto"/>
        </w:rPr>
      </w:pPr>
      <w:r>
        <w:rPr>
          <w:rFonts w:ascii="Arial" w:cs="Arial" w:eastAsia="Arial" w:hAnsi="Arial"/>
          <w:sz w:val="16"/>
          <w:szCs w:val="16"/>
          <w:b w:val="1"/>
          <w:bCs w:val="1"/>
          <w:color w:val="auto"/>
        </w:rPr>
        <w:t xml:space="preserve">Dollar </w:t>
      </w:r>
      <w:r>
        <w:rPr>
          <w:rFonts w:ascii="Arial" w:cs="Arial" w:eastAsia="Arial" w:hAnsi="Arial"/>
          <w:sz w:val="16"/>
          <w:szCs w:val="16"/>
          <w:color w:val="auto"/>
        </w:rPr>
        <w:t>or</w:t>
      </w:r>
      <w:r>
        <w:rPr>
          <w:rFonts w:ascii="Arial" w:cs="Arial" w:eastAsia="Arial" w:hAnsi="Arial"/>
          <w:sz w:val="16"/>
          <w:szCs w:val="16"/>
          <w:b w:val="1"/>
          <w:bCs w:val="1"/>
          <w:color w:val="auto"/>
        </w:rPr>
        <w:t xml:space="preserve"> $: </w:t>
      </w:r>
      <w:r>
        <w:rPr>
          <w:rFonts w:ascii="Arial" w:cs="Arial" w:eastAsia="Arial" w:hAnsi="Arial"/>
          <w:sz w:val="16"/>
          <w:szCs w:val="16"/>
          <w:color w:val="auto"/>
        </w:rPr>
        <w:t>US Dollar.</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The date of delivery of the Option Exercise Notice.</w:t>
      </w:r>
    </w:p>
    <w:p>
      <w:pPr>
        <w:spacing w:after="0" w:line="254"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b w:val="1"/>
          <w:bCs w:val="1"/>
          <w:color w:val="auto"/>
        </w:rPr>
        <w:t xml:space="preserve">Exclusionary Rights: </w:t>
      </w:r>
      <w:r>
        <w:rPr>
          <w:rFonts w:ascii="Arial" w:cs="Arial" w:eastAsia="Arial" w:hAnsi="Arial"/>
          <w:sz w:val="16"/>
          <w:szCs w:val="16"/>
          <w:color w:val="auto"/>
        </w:rPr>
        <w:t>Intellectual property or other proprietary rights (such as registered designs, patents and registered trademarks) that provide the right to exclude</w:t>
      </w:r>
      <w:r>
        <w:rPr>
          <w:rFonts w:ascii="Arial" w:cs="Arial" w:eastAsia="Arial" w:hAnsi="Arial"/>
          <w:sz w:val="16"/>
          <w:szCs w:val="16"/>
          <w:b w:val="1"/>
          <w:bCs w:val="1"/>
          <w:color w:val="auto"/>
        </w:rPr>
        <w:t xml:space="preserve"> </w:t>
      </w:r>
      <w:r>
        <w:rPr>
          <w:rFonts w:ascii="Arial" w:cs="Arial" w:eastAsia="Arial" w:hAnsi="Arial"/>
          <w:sz w:val="16"/>
          <w:szCs w:val="16"/>
          <w:color w:val="auto"/>
        </w:rPr>
        <w:t>others from using the claimed subject matter.</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Field: </w:t>
      </w:r>
      <w:r>
        <w:rPr>
          <w:rFonts w:ascii="Arial" w:cs="Arial" w:eastAsia="Arial" w:hAnsi="Arial"/>
          <w:sz w:val="16"/>
          <w:szCs w:val="16"/>
          <w:color w:val="auto"/>
        </w:rPr>
        <w:t>Treatment of cancer in humans whether by way of intramural injection or direct application to tumours.</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KODE™ Constructs: [*]</w:t>
      </w:r>
    </w:p>
    <w:p>
      <w:pPr>
        <w:spacing w:after="0" w:line="254" w:lineRule="exact"/>
        <w:rPr>
          <w:sz w:val="20"/>
          <w:szCs w:val="20"/>
          <w:color w:val="auto"/>
        </w:rPr>
      </w:pPr>
    </w:p>
    <w:p>
      <w:pPr>
        <w:jc w:val="both"/>
        <w:ind w:left="2"/>
        <w:spacing w:after="0" w:line="259" w:lineRule="auto"/>
        <w:rPr>
          <w:sz w:val="20"/>
          <w:szCs w:val="20"/>
          <w:color w:val="auto"/>
        </w:rPr>
      </w:pPr>
      <w:r>
        <w:rPr>
          <w:rFonts w:ascii="Arial" w:cs="Arial" w:eastAsia="Arial" w:hAnsi="Arial"/>
          <w:sz w:val="16"/>
          <w:szCs w:val="16"/>
          <w:b w:val="1"/>
          <w:bCs w:val="1"/>
          <w:color w:val="auto"/>
        </w:rPr>
        <w:t xml:space="preserve">KODE™ Know-How: </w:t>
      </w:r>
      <w:r>
        <w:rPr>
          <w:rFonts w:ascii="Arial" w:cs="Arial" w:eastAsia="Arial" w:hAnsi="Arial"/>
          <w:sz w:val="16"/>
          <w:szCs w:val="16"/>
          <w:color w:val="auto"/>
        </w:rPr>
        <w:t>all know-how owned by the Licensor relating to KODE™ Technology that is not generally known and is useful or necessary for the Licensee to</w:t>
      </w:r>
      <w:r>
        <w:rPr>
          <w:rFonts w:ascii="Arial" w:cs="Arial" w:eastAsia="Arial" w:hAnsi="Arial"/>
          <w:sz w:val="16"/>
          <w:szCs w:val="16"/>
          <w:b w:val="1"/>
          <w:bCs w:val="1"/>
          <w:color w:val="auto"/>
        </w:rPr>
        <w:t xml:space="preserve"> </w:t>
      </w:r>
      <w:r>
        <w:rPr>
          <w:rFonts w:ascii="Arial" w:cs="Arial" w:eastAsia="Arial" w:hAnsi="Arial"/>
          <w:sz w:val="16"/>
          <w:szCs w:val="16"/>
          <w:color w:val="auto"/>
        </w:rPr>
        <w:t>enjoy the benefits of the right and licence granted by the Licensor under Clause 2 including Regulatory Documentation, and all pre-clinical and clinical data owned by the Licensor that is relevant to the Licensed Product. Examples of the KODE™ Know-How include, without limitation, all technical, scientific and other know-how, information and data, trade secrets, knowledge, technology, means, methods, processes, practices, formulas, instructions, skills, techniques, procedures, experiences, ideas, technical assistance, designs, drawings, assembly procedures, computer programs, apparatuses, specifications, data, results and other material, including pre-clinical and clinical trial results (including Regulatory Documentation), manufacturing procedures, test procedures and purification and isolation techniques, whether or not confidential, proprietary, patented or patentable.</w:t>
      </w:r>
    </w:p>
    <w:p>
      <w:pPr>
        <w:spacing w:after="0" w:line="217"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b w:val="1"/>
          <w:bCs w:val="1"/>
          <w:color w:val="auto"/>
        </w:rPr>
        <w:t xml:space="preserve">KODE™ Technology: </w:t>
      </w:r>
      <w:r>
        <w:rPr>
          <w:rFonts w:ascii="Arial" w:cs="Arial" w:eastAsia="Arial" w:hAnsi="Arial"/>
          <w:sz w:val="16"/>
          <w:szCs w:val="16"/>
          <w:color w:val="auto"/>
        </w:rPr>
        <w:t>The KODE™ Constructs, their preparation, and biological entities (including cells and virions) incorporating or prepared using KODE™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Constructs.</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LCIA: The </w:t>
      </w:r>
      <w:r>
        <w:rPr>
          <w:rFonts w:ascii="Arial" w:cs="Arial" w:eastAsia="Arial" w:hAnsi="Arial"/>
          <w:sz w:val="16"/>
          <w:szCs w:val="16"/>
          <w:color w:val="auto"/>
        </w:rPr>
        <w:t>London</w:t>
      </w:r>
      <w:r>
        <w:rPr>
          <w:rFonts w:ascii="Arial" w:cs="Arial" w:eastAsia="Arial" w:hAnsi="Arial"/>
          <w:sz w:val="16"/>
          <w:szCs w:val="16"/>
          <w:b w:val="1"/>
          <w:bCs w:val="1"/>
          <w:color w:val="auto"/>
        </w:rPr>
        <w:t xml:space="preserve"> Court of International Arbitration.</w:t>
      </w:r>
    </w:p>
    <w:p>
      <w:pPr>
        <w:spacing w:after="0" w:line="254" w:lineRule="exact"/>
        <w:rPr>
          <w:sz w:val="20"/>
          <w:szCs w:val="20"/>
          <w:color w:val="auto"/>
        </w:rPr>
      </w:pPr>
    </w:p>
    <w:p>
      <w:pPr>
        <w:jc w:val="both"/>
        <w:ind w:left="2"/>
        <w:spacing w:after="0" w:line="265" w:lineRule="auto"/>
        <w:rPr>
          <w:sz w:val="20"/>
          <w:szCs w:val="20"/>
          <w:color w:val="auto"/>
        </w:rPr>
      </w:pPr>
      <w:r>
        <w:rPr>
          <w:rFonts w:ascii="Arial" w:cs="Arial" w:eastAsia="Arial" w:hAnsi="Arial"/>
          <w:sz w:val="16"/>
          <w:szCs w:val="16"/>
          <w:b w:val="1"/>
          <w:bCs w:val="1"/>
          <w:color w:val="auto"/>
        </w:rPr>
        <w:t xml:space="preserve">Licensed Patents: </w:t>
      </w:r>
      <w:r>
        <w:rPr>
          <w:rFonts w:ascii="Arial" w:cs="Arial" w:eastAsia="Arial" w:hAnsi="Arial"/>
          <w:sz w:val="16"/>
          <w:szCs w:val="16"/>
          <w:color w:val="auto"/>
        </w:rPr>
        <w:t>All KODE Technology granted patents and applications owned by the Licensor including those listed in Part 1 of Schedule 1 together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continuations, continuations-in-part, divisionals, extensions, reissues, supplementary protection certificates and similar rights that are based on or derive priority from the foregoing. The Licensed Patents also include any granted patents and applications forming part of the New Rights created or acquired by the Licensor during the Term.</w:t>
      </w:r>
    </w:p>
    <w:p>
      <w:pPr>
        <w:spacing w:after="0" w:line="21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Licensed Product: </w:t>
      </w:r>
      <w:r>
        <w:rPr>
          <w:rFonts w:ascii="Arial" w:cs="Arial" w:eastAsia="Arial" w:hAnsi="Arial"/>
          <w:sz w:val="16"/>
          <w:szCs w:val="16"/>
          <w:color w:val="auto"/>
        </w:rPr>
        <w:t>A product in the Field that cannot be developed, manufactured, used, or sold without infringing one or more Valid Claims.</w:t>
      </w:r>
    </w:p>
    <w:p>
      <w:pPr>
        <w:spacing w:after="0" w:line="254"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color w:val="auto"/>
        </w:rPr>
        <w:t>: means the actual invoiced amount on sales of Licensed Products in arm's length transactions by the Licensee (and/or its Affiliates or a Sublicensee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less the following:</w:t>
      </w:r>
    </w:p>
    <w:p>
      <w:pPr>
        <w:spacing w:after="0" w:line="196" w:lineRule="exact"/>
        <w:rPr>
          <w:sz w:val="20"/>
          <w:szCs w:val="20"/>
          <w:color w:val="auto"/>
        </w:rPr>
      </w:pPr>
    </w:p>
    <w:p>
      <w:pPr>
        <w:ind w:left="222" w:hanging="222"/>
        <w:spacing w:after="0"/>
        <w:tabs>
          <w:tab w:leader="none" w:pos="22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customary trade, quantity, or cash discounts to non-affiliated brokers or agents to the extent actually allowed and taken;</w:t>
      </w:r>
    </w:p>
    <w:p>
      <w:pPr>
        <w:spacing w:after="0" w:line="254" w:lineRule="exact"/>
        <w:rPr>
          <w:rFonts w:ascii="Arial" w:cs="Arial" w:eastAsia="Arial" w:hAnsi="Arial"/>
          <w:sz w:val="16"/>
          <w:szCs w:val="16"/>
          <w:color w:val="auto"/>
        </w:rPr>
      </w:pPr>
    </w:p>
    <w:p>
      <w:pPr>
        <w:ind w:left="222" w:hanging="222"/>
        <w:spacing w:after="0"/>
        <w:tabs>
          <w:tab w:leader="none" w:pos="22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amounts repaid or credited by reason of rejection or return;</w:t>
      </w:r>
    </w:p>
    <w:p>
      <w:pPr>
        <w:spacing w:after="0" w:line="254" w:lineRule="exact"/>
        <w:rPr>
          <w:rFonts w:ascii="Arial" w:cs="Arial" w:eastAsia="Arial" w:hAnsi="Arial"/>
          <w:sz w:val="16"/>
          <w:szCs w:val="16"/>
          <w:color w:val="auto"/>
        </w:rPr>
      </w:pPr>
    </w:p>
    <w:p>
      <w:pPr>
        <w:ind w:left="222" w:hanging="222"/>
        <w:spacing w:after="0"/>
        <w:tabs>
          <w:tab w:leader="none" w:pos="22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to the extent identified on the invoice, any costs of packing, insurance, transport, delivery; and</w:t>
      </w:r>
    </w:p>
    <w:p>
      <w:pPr>
        <w:spacing w:after="0" w:line="254" w:lineRule="exact"/>
        <w:rPr>
          <w:rFonts w:ascii="Arial" w:cs="Arial" w:eastAsia="Arial" w:hAnsi="Arial"/>
          <w:sz w:val="16"/>
          <w:szCs w:val="16"/>
          <w:color w:val="auto"/>
        </w:rPr>
      </w:pPr>
    </w:p>
    <w:p>
      <w:pPr>
        <w:ind w:left="2" w:hanging="2"/>
        <w:spacing w:after="0" w:line="318" w:lineRule="auto"/>
        <w:tabs>
          <w:tab w:leader="none" w:pos="249" w:val="left"/>
        </w:tabs>
        <w:numPr>
          <w:ilvl w:val="0"/>
          <w:numId w:val="381"/>
        </w:numPr>
        <w:rPr>
          <w:rFonts w:ascii="Arial" w:cs="Arial" w:eastAsia="Arial" w:hAnsi="Arial"/>
          <w:sz w:val="15"/>
          <w:szCs w:val="15"/>
          <w:color w:val="auto"/>
        </w:rPr>
      </w:pPr>
      <w:r>
        <w:rPr>
          <w:rFonts w:ascii="Arial" w:cs="Arial" w:eastAsia="Arial" w:hAnsi="Arial"/>
          <w:sz w:val="15"/>
          <w:szCs w:val="15"/>
          <w:color w:val="auto"/>
        </w:rPr>
        <w:t>to the extent separately stated on purchase orders, invoices, or other documents of sale, any taxes or other governmental charges levied on the production, sale, transportation, delivery, or use of a Licensed Product which is paid by or on behalf of the Licensee (or the applicable Affiliates or Sublicensee).</w:t>
      </w:r>
    </w:p>
    <w:p>
      <w:pPr>
        <w:spacing w:after="0" w:line="334" w:lineRule="exact"/>
        <w:rPr>
          <w:sz w:val="20"/>
          <w:szCs w:val="20"/>
          <w:color w:val="auto"/>
        </w:rPr>
      </w:pPr>
    </w:p>
    <w:p>
      <w:pPr>
        <w:jc w:val="center"/>
        <w:ind w:right="438"/>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45720</wp:posOffset>
            </wp:positionV>
            <wp:extent cx="7259955" cy="152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962"/>
          </w:cols>
          <w:pgMar w:left="698" w:top="123" w:right="239" w:bottom="1440" w:gutter="0" w:footer="0" w:header="0"/>
        </w:sectPr>
      </w:pPr>
    </w:p>
    <w:bookmarkStart w:id="398" w:name="page399"/>
    <w:bookmarkEnd w:id="398"/>
    <w:p>
      <w:pPr>
        <w:jc w:val="both"/>
        <w:ind w:left="2" w:right="20"/>
        <w:spacing w:after="0" w:line="260" w:lineRule="auto"/>
        <w:rPr>
          <w:sz w:val="20"/>
          <w:szCs w:val="20"/>
          <w:color w:val="auto"/>
        </w:rPr>
      </w:pPr>
      <w:r>
        <w:rPr>
          <w:rFonts w:ascii="Arial" w:cs="Arial" w:eastAsia="Arial" w:hAnsi="Arial"/>
          <w:sz w:val="16"/>
          <w:szCs w:val="16"/>
          <w:color w:val="auto"/>
        </w:rPr>
        <w:t>In any transfers of Licensed Products between any of the Licensee and its Affiliates (or a Sublicensee and its Affiliates as applicable), Net Sales are subject to and calculated based on the final sale of the Licensed Product to an independent Third Party. If non-monetary consideration is received for any Licensed Products, Net Sales are calculated based on the fair market value of that consideration. If a Licensed Product is used or disposed of by the Licensee (or its Affiliate or the Sublicensee as applicable) in the provision of a commercial service, the Licensed Product is sold and the Net Sales are calculated based on the sales price of the Licensed Product to an independent Third Party during the same Royalty Period or, in the absence of sales, on the fair market value of the Licensed Product as determined by the Parties in good faith.</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New Rights </w:t>
      </w:r>
      <w:r>
        <w:rPr>
          <w:rFonts w:ascii="Arial" w:cs="Arial" w:eastAsia="Arial" w:hAnsi="Arial"/>
          <w:sz w:val="16"/>
          <w:szCs w:val="16"/>
          <w:color w:val="auto"/>
        </w:rPr>
        <w:t>has the meaning given in Clause 6.2(a).</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Parties: </w:t>
      </w:r>
      <w:r>
        <w:rPr>
          <w:rFonts w:ascii="Arial" w:cs="Arial" w:eastAsia="Arial" w:hAnsi="Arial"/>
          <w:sz w:val="16"/>
          <w:szCs w:val="16"/>
          <w:color w:val="auto"/>
        </w:rPr>
        <w:t>The Licensor and the Licensee and their respective permitted successors and assigns, and ‘</w:t>
      </w:r>
      <w:r>
        <w:rPr>
          <w:rFonts w:ascii="Arial" w:cs="Arial" w:eastAsia="Arial" w:hAnsi="Arial"/>
          <w:sz w:val="16"/>
          <w:szCs w:val="16"/>
          <w:b w:val="1"/>
          <w:bCs w:val="1"/>
          <w:color w:val="auto"/>
        </w:rPr>
        <w:t>Party</w:t>
      </w:r>
      <w:r>
        <w:rPr>
          <w:rFonts w:ascii="Arial" w:cs="Arial" w:eastAsia="Arial" w:hAnsi="Arial"/>
          <w:sz w:val="16"/>
          <w:szCs w:val="16"/>
          <w:color w:val="auto"/>
        </w:rPr>
        <w:t>’ shall mean each of them.</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Pound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color w:val="auto"/>
        </w:rPr>
        <w:t>: GBP Pound Sterling.</w:t>
      </w:r>
    </w:p>
    <w:p>
      <w:pPr>
        <w:spacing w:after="0" w:line="254" w:lineRule="exact"/>
        <w:rPr>
          <w:sz w:val="20"/>
          <w:szCs w:val="20"/>
          <w:color w:val="auto"/>
        </w:rPr>
      </w:pPr>
    </w:p>
    <w:p>
      <w:pPr>
        <w:jc w:val="both"/>
        <w:ind w:left="2"/>
        <w:spacing w:after="0" w:line="288" w:lineRule="auto"/>
        <w:rPr>
          <w:sz w:val="20"/>
          <w:szCs w:val="20"/>
          <w:color w:val="auto"/>
        </w:rPr>
      </w:pPr>
      <w:r>
        <w:rPr>
          <w:rFonts w:ascii="Arial" w:cs="Arial" w:eastAsia="Arial" w:hAnsi="Arial"/>
          <w:sz w:val="16"/>
          <w:szCs w:val="16"/>
          <w:b w:val="1"/>
          <w:bCs w:val="1"/>
          <w:color w:val="auto"/>
        </w:rPr>
        <w:t>Regulatory Approval</w:t>
      </w:r>
      <w:r>
        <w:rPr>
          <w:rFonts w:ascii="Arial" w:cs="Arial" w:eastAsia="Arial" w:hAnsi="Arial"/>
          <w:sz w:val="16"/>
          <w:szCs w:val="16"/>
          <w:color w:val="auto"/>
        </w:rPr>
        <w:t>: Means any and all approvals (including pricing and reimbursement approvals), licenses, registrations or authorizations of any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necessary for the marketing and sale of a Licensed Product in a country.</w:t>
      </w:r>
    </w:p>
    <w:p>
      <w:pPr>
        <w:spacing w:after="0" w:line="192" w:lineRule="exact"/>
        <w:rPr>
          <w:sz w:val="20"/>
          <w:szCs w:val="20"/>
          <w:color w:val="auto"/>
        </w:rPr>
      </w:pPr>
    </w:p>
    <w:p>
      <w:pPr>
        <w:jc w:val="both"/>
        <w:ind w:left="2" w:right="20"/>
        <w:spacing w:after="0" w:line="297" w:lineRule="auto"/>
        <w:rPr>
          <w:sz w:val="20"/>
          <w:szCs w:val="20"/>
          <w:color w:val="auto"/>
        </w:rPr>
      </w:pPr>
      <w:r>
        <w:rPr>
          <w:rFonts w:ascii="Arial" w:cs="Arial" w:eastAsia="Arial" w:hAnsi="Arial"/>
          <w:sz w:val="15"/>
          <w:szCs w:val="15"/>
          <w:b w:val="1"/>
          <w:bCs w:val="1"/>
          <w:color w:val="auto"/>
        </w:rPr>
        <w:t>Regulatory Authority</w:t>
      </w:r>
      <w:r>
        <w:rPr>
          <w:rFonts w:ascii="Arial" w:cs="Arial" w:eastAsia="Arial" w:hAnsi="Arial"/>
          <w:sz w:val="15"/>
          <w:szCs w:val="15"/>
          <w:color w:val="auto"/>
        </w:rPr>
        <w:t>: Means any applicable government entities regulating or otherwise exercising authority with respect to the manufacturing, marketing, sale,</w:t>
      </w:r>
      <w:r>
        <w:rPr>
          <w:rFonts w:ascii="Arial" w:cs="Arial" w:eastAsia="Arial" w:hAnsi="Arial"/>
          <w:sz w:val="15"/>
          <w:szCs w:val="15"/>
          <w:b w:val="1"/>
          <w:bCs w:val="1"/>
          <w:color w:val="auto"/>
        </w:rPr>
        <w:t xml:space="preserve"> </w:t>
      </w:r>
      <w:r>
        <w:rPr>
          <w:rFonts w:ascii="Arial" w:cs="Arial" w:eastAsia="Arial" w:hAnsi="Arial"/>
          <w:sz w:val="15"/>
          <w:szCs w:val="15"/>
          <w:color w:val="auto"/>
        </w:rPr>
        <w:t>reimbursement and/or pricing of the Licensed Products in the Territory, including, without limitation, in the United States, the United States Food and Drug Administration, and in the European Union, the European Medicines Agency, and any successor governmental authority having substantially the same function.</w:t>
      </w:r>
    </w:p>
    <w:p>
      <w:pPr>
        <w:spacing w:after="0" w:line="188" w:lineRule="exact"/>
        <w:rPr>
          <w:sz w:val="20"/>
          <w:szCs w:val="20"/>
          <w:color w:val="auto"/>
        </w:rPr>
      </w:pPr>
    </w:p>
    <w:p>
      <w:pPr>
        <w:jc w:val="both"/>
        <w:ind w:left="2"/>
        <w:spacing w:after="0" w:line="262" w:lineRule="auto"/>
        <w:rPr>
          <w:sz w:val="20"/>
          <w:szCs w:val="20"/>
          <w:color w:val="auto"/>
        </w:rPr>
      </w:pPr>
      <w:r>
        <w:rPr>
          <w:rFonts w:ascii="Arial" w:cs="Arial" w:eastAsia="Arial" w:hAnsi="Arial"/>
          <w:sz w:val="16"/>
          <w:szCs w:val="16"/>
          <w:b w:val="1"/>
          <w:bCs w:val="1"/>
          <w:color w:val="auto"/>
        </w:rPr>
        <w:t>Regulatory Documentation</w:t>
      </w:r>
      <w:r>
        <w:rPr>
          <w:rFonts w:ascii="Arial" w:cs="Arial" w:eastAsia="Arial" w:hAnsi="Arial"/>
          <w:sz w:val="16"/>
          <w:szCs w:val="16"/>
          <w:color w:val="auto"/>
        </w:rPr>
        <w:t>: Means (a) all applications, registrations, licenses, authorizations and approvals submitted to or received from Regulatory Authorities by</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(b) all correspondence submitted to or received from Regulatory Authorities by Licensor, (c) minutes and official contact reports relating to any communications by Licensor with any Regulatory Authority, (d) all supporting documents and all clinical studies and tests by Licensor, relating to any Licensed Product, and (e) all data contained in any of the foregoing, including all advertising and promotion documents, adverse event files and complaint files, but excluding any and all Regulatory Approvals with respect to such Licensed Product.</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Royalty Period</w:t>
      </w:r>
      <w:r>
        <w:rPr>
          <w:rFonts w:ascii="Arial" w:cs="Arial" w:eastAsia="Arial" w:hAnsi="Arial"/>
          <w:sz w:val="15"/>
          <w:szCs w:val="15"/>
          <w:color w:val="auto"/>
        </w:rPr>
        <w:t>: means the partial calendar quarter commencing on the date on which the first sale of a Licensed Product is entered into (including for clarity by a</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color w:val="auto"/>
        </w:rPr>
        <w:t>Sublicensee) and every complete or partial calendar quarter thereafter during which either:</w:t>
      </w:r>
    </w:p>
    <w:p>
      <w:pPr>
        <w:spacing w:after="0" w:line="243" w:lineRule="exact"/>
        <w:rPr>
          <w:sz w:val="20"/>
          <w:szCs w:val="20"/>
          <w:color w:val="auto"/>
        </w:rPr>
      </w:pPr>
    </w:p>
    <w:p>
      <w:pPr>
        <w:ind w:left="222" w:hanging="222"/>
        <w:spacing w:after="0"/>
        <w:tabs>
          <w:tab w:leader="none" w:pos="22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this Agreement remains in effect; or</w:t>
      </w:r>
    </w:p>
    <w:p>
      <w:pPr>
        <w:spacing w:after="0" w:line="254" w:lineRule="exact"/>
        <w:rPr>
          <w:rFonts w:ascii="Arial" w:cs="Arial" w:eastAsia="Arial" w:hAnsi="Arial"/>
          <w:sz w:val="16"/>
          <w:szCs w:val="16"/>
          <w:color w:val="auto"/>
        </w:rPr>
      </w:pPr>
    </w:p>
    <w:p>
      <w:pPr>
        <w:ind w:left="222" w:hanging="222"/>
        <w:spacing w:after="0"/>
        <w:tabs>
          <w:tab w:leader="none" w:pos="22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Licensee has the right to complete and sell work-in-progress and inventory of Licensed Products.</w:t>
      </w:r>
    </w:p>
    <w:p>
      <w:pPr>
        <w:spacing w:after="0" w:line="25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Sublicensee</w:t>
      </w:r>
      <w:r>
        <w:rPr>
          <w:rFonts w:ascii="Arial" w:cs="Arial" w:eastAsia="Arial" w:hAnsi="Arial"/>
          <w:sz w:val="16"/>
          <w:szCs w:val="16"/>
          <w:color w:val="auto"/>
        </w:rPr>
        <w:t>: means any sublicensee of the rights granted the Licensee under this Agreement, and “</w:t>
      </w:r>
      <w:r>
        <w:rPr>
          <w:rFonts w:ascii="Arial" w:cs="Arial" w:eastAsia="Arial" w:hAnsi="Arial"/>
          <w:sz w:val="16"/>
          <w:szCs w:val="16"/>
          <w:b w:val="1"/>
          <w:bCs w:val="1"/>
          <w:color w:val="auto"/>
        </w:rPr>
        <w:t>Sublicense</w:t>
      </w:r>
      <w:r>
        <w:rPr>
          <w:rFonts w:ascii="Arial" w:cs="Arial" w:eastAsia="Arial" w:hAnsi="Arial"/>
          <w:sz w:val="16"/>
          <w:szCs w:val="16"/>
          <w:color w:val="auto"/>
        </w:rPr>
        <w:t>” shall be construed accordingly.</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Sublicense Net Sales: </w:t>
      </w:r>
      <w:r>
        <w:rPr>
          <w:rFonts w:ascii="Arial" w:cs="Arial" w:eastAsia="Arial" w:hAnsi="Arial"/>
          <w:sz w:val="16"/>
          <w:szCs w:val="16"/>
          <w:color w:val="auto"/>
        </w:rPr>
        <w:t>means Net Sales by a Sublicensee.</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Sublicense Royalties</w:t>
      </w:r>
      <w:r>
        <w:rPr>
          <w:rFonts w:ascii="Arial" w:cs="Arial" w:eastAsia="Arial" w:hAnsi="Arial"/>
          <w:sz w:val="16"/>
          <w:szCs w:val="16"/>
          <w:color w:val="auto"/>
        </w:rPr>
        <w:t>: means royalties due to and received by the Licensee under a Sublicense in respect of sales of Licensed Products.</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period defined in Clause 8.1.</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Third Party: </w:t>
      </w:r>
      <w:r>
        <w:rPr>
          <w:rFonts w:ascii="Arial" w:cs="Arial" w:eastAsia="Arial" w:hAnsi="Arial"/>
          <w:sz w:val="16"/>
          <w:szCs w:val="16"/>
          <w:color w:val="auto"/>
        </w:rPr>
        <w:t>Any person other than a Party.</w:t>
      </w:r>
    </w:p>
    <w:p>
      <w:pPr>
        <w:spacing w:after="0" w:line="25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Valid Claim</w:t>
      </w:r>
      <w:r>
        <w:rPr>
          <w:rFonts w:ascii="Arial" w:cs="Arial" w:eastAsia="Arial" w:hAnsi="Arial"/>
          <w:sz w:val="16"/>
          <w:szCs w:val="16"/>
          <w:color w:val="auto"/>
        </w:rPr>
        <w:t>: means:</w:t>
      </w:r>
    </w:p>
    <w:p>
      <w:pPr>
        <w:spacing w:after="0" w:line="258" w:lineRule="exact"/>
        <w:rPr>
          <w:sz w:val="20"/>
          <w:szCs w:val="20"/>
          <w:color w:val="auto"/>
        </w:rPr>
      </w:pPr>
    </w:p>
    <w:p>
      <w:pPr>
        <w:ind w:left="2" w:right="20" w:hanging="2"/>
        <w:spacing w:after="0" w:line="283" w:lineRule="auto"/>
        <w:tabs>
          <w:tab w:leader="none" w:pos="25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 claim of an issued and unexpired patent covering the Licensed Patents which has not been permanently revoked or held unenforceable or invalid by an unappealable or unappealed decision of a court or government agency of competent jurisdiction; or</w:t>
      </w:r>
    </w:p>
    <w:p>
      <w:pPr>
        <w:spacing w:after="0" w:line="358" w:lineRule="exact"/>
        <w:rPr>
          <w:sz w:val="20"/>
          <w:szCs w:val="20"/>
          <w:color w:val="auto"/>
        </w:rPr>
      </w:pPr>
    </w:p>
    <w:p>
      <w:pPr>
        <w:jc w:val="center"/>
        <w:ind w:right="458"/>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45720</wp:posOffset>
            </wp:positionV>
            <wp:extent cx="7259955" cy="152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982"/>
          </w:cols>
          <w:pgMar w:left="698" w:top="127" w:right="219" w:bottom="1440" w:gutter="0" w:footer="0" w:header="0"/>
        </w:sectPr>
      </w:pPr>
    </w:p>
    <w:bookmarkStart w:id="399" w:name="page400"/>
    <w:bookmarkEnd w:id="399"/>
    <w:p>
      <w:pPr>
        <w:ind w:left="460" w:right="20" w:hanging="2"/>
        <w:spacing w:after="0" w:line="288" w:lineRule="auto"/>
        <w:tabs>
          <w:tab w:leader="none" w:pos="693"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a claim of a pending patent application within the Licensed Patents that has not been abandoned or finally disallowed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years of the first filing date without the possibility of appeal or refiling.</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purposes of Clause 8.1 (Commencement and termination by expiry) Valid Claims shall be construed with regard to the Agalimmune Patent mutatis mutandis.</w:t>
      </w:r>
    </w:p>
    <w:p>
      <w:pPr>
        <w:spacing w:after="0" w:line="266" w:lineRule="exact"/>
        <w:rPr>
          <w:sz w:val="20"/>
          <w:szCs w:val="20"/>
          <w:color w:val="auto"/>
        </w:rPr>
      </w:pPr>
    </w:p>
    <w:p>
      <w:pPr>
        <w:jc w:val="both"/>
        <w:ind w:left="440" w:hanging="450"/>
        <w:spacing w:after="0" w:line="268" w:lineRule="auto"/>
        <w:tabs>
          <w:tab w:leader="none" w:pos="42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 Except where otherwise stated, any reference in this Agreement to a Clause or a Schedule is to a Clause of or a Schedule to this Agreement.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provisions of the Schedules shall form part of this Agreement as if set out here. The headings and sub-headings in this document are inserted for convenience only and shall not affect the construction or interpretation of this Agreement.</w:t>
      </w:r>
    </w:p>
    <w:p>
      <w:pPr>
        <w:spacing w:after="0" w:line="20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auto"/>
        </w:rPr>
        <w:t>License</w:t>
      </w:r>
    </w:p>
    <w:p>
      <w:pPr>
        <w:spacing w:after="0" w:line="258" w:lineRule="exact"/>
        <w:rPr>
          <w:sz w:val="20"/>
          <w:szCs w:val="20"/>
          <w:color w:val="auto"/>
        </w:rPr>
      </w:pPr>
    </w:p>
    <w:p>
      <w:pPr>
        <w:jc w:val="both"/>
        <w:ind w:left="440" w:right="20" w:hanging="450"/>
        <w:spacing w:after="0" w:line="283" w:lineRule="auto"/>
        <w:tabs>
          <w:tab w:leader="none" w:pos="4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u w:val="single" w:color="auto"/>
          <w:color w:val="auto"/>
        </w:rPr>
        <w:t>Grant of License</w:t>
      </w:r>
      <w:r>
        <w:rPr>
          <w:rFonts w:ascii="Arial" w:cs="Arial" w:eastAsia="Arial" w:hAnsi="Arial"/>
          <w:sz w:val="16"/>
          <w:szCs w:val="16"/>
          <w:color w:val="auto"/>
        </w:rPr>
        <w:t>. For the Term, and subject to the provisions of this Agreement, the Licensor hereby grants to the Licensee a worldwide, exclusive, royalty-bearing,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transferable license in the Exclusionary Rights under the Licensed Patents to:</w:t>
      </w:r>
    </w:p>
    <w:p>
      <w:pPr>
        <w:spacing w:after="0" w:line="199" w:lineRule="exact"/>
        <w:rPr>
          <w:sz w:val="20"/>
          <w:szCs w:val="20"/>
          <w:color w:val="auto"/>
        </w:rPr>
      </w:pPr>
    </w:p>
    <w:p>
      <w:pPr>
        <w:ind w:left="900" w:hanging="452"/>
        <w:spacing w:after="0"/>
        <w:tabs>
          <w:tab w:leader="none" w:pos="9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use the KODE™ Technology and KODE™ Know-how in the Field; and</w:t>
      </w:r>
    </w:p>
    <w:p>
      <w:pPr>
        <w:spacing w:after="0" w:line="254" w:lineRule="exact"/>
        <w:rPr>
          <w:rFonts w:ascii="Arial" w:cs="Arial" w:eastAsia="Arial" w:hAnsi="Arial"/>
          <w:sz w:val="16"/>
          <w:szCs w:val="16"/>
          <w:color w:val="auto"/>
        </w:rPr>
      </w:pPr>
    </w:p>
    <w:p>
      <w:pPr>
        <w:ind w:left="900" w:hanging="452"/>
        <w:spacing w:after="0"/>
        <w:tabs>
          <w:tab w:leader="none" w:pos="9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develop, have developed, make, have made, use, have used, import, have imported, sell and have sold Licensed Products.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Licensor undertakes not to grant others the right to exploit the Exclusionary Rights under the Licensed Patents in the Field during the Term.</w:t>
      </w:r>
    </w:p>
    <w:p>
      <w:pPr>
        <w:spacing w:after="0" w:line="254" w:lineRule="exact"/>
        <w:rPr>
          <w:sz w:val="20"/>
          <w:szCs w:val="20"/>
          <w:color w:val="auto"/>
        </w:rPr>
      </w:pPr>
    </w:p>
    <w:p>
      <w:pPr>
        <w:jc w:val="both"/>
        <w:ind w:left="440" w:right="20" w:hanging="450"/>
        <w:spacing w:after="0" w:line="261" w:lineRule="auto"/>
        <w:tabs>
          <w:tab w:leader="none" w:pos="4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u w:val="single" w:color="auto"/>
          <w:color w:val="auto"/>
        </w:rPr>
        <w:t>Additional Know-how</w:t>
      </w:r>
      <w:r>
        <w:rPr>
          <w:rFonts w:ascii="Arial" w:cs="Arial" w:eastAsia="Arial" w:hAnsi="Arial"/>
          <w:sz w:val="16"/>
          <w:szCs w:val="16"/>
          <w:color w:val="auto"/>
        </w:rPr>
        <w:t>. The Licensor shall promptly make available to the Licensee such further KODE™ Know-how as the Licensor acquires after the date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and is at liberty to disclose to the Licensee for commercial use. Such further KODE™ Know-how so supplied by the Licensor under this Clause shall, where it has been identified by describing and recording it when provided to the Licensee, be deemed to be part of the KODE™ Know-how. Nothing in this Agreement shall constitute any representation or warranty that any such further KODE™ Know-how supplied to the Licensee pursuant to this Clause is accurate, up to date, complete, or relevant to the KODE™ Technology or the manufacture of the Licensed Products.</w:t>
      </w:r>
    </w:p>
    <w:p>
      <w:pPr>
        <w:spacing w:after="0" w:line="217" w:lineRule="exact"/>
        <w:rPr>
          <w:sz w:val="20"/>
          <w:szCs w:val="20"/>
          <w:color w:val="auto"/>
        </w:rPr>
      </w:pPr>
    </w:p>
    <w:p>
      <w:pPr>
        <w:jc w:val="both"/>
        <w:ind w:left="440" w:right="20" w:hanging="450"/>
        <w:spacing w:after="0" w:line="358" w:lineRule="auto"/>
        <w:tabs>
          <w:tab w:leader="none" w:pos="4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u w:val="single" w:color="auto"/>
          <w:color w:val="auto"/>
        </w:rPr>
        <w:t>Sublicenses</w:t>
      </w:r>
      <w:r>
        <w:rPr>
          <w:rFonts w:ascii="Arial" w:cs="Arial" w:eastAsia="Arial" w:hAnsi="Arial"/>
          <w:sz w:val="14"/>
          <w:szCs w:val="14"/>
          <w:color w:val="auto"/>
        </w:rPr>
        <w:t>. The Licensee may grant Sublicenses of its rights licensed under this Agreement. All Sublicenses executed by the Licensee pursuant to this Clause shall</w:t>
      </w:r>
      <w:r>
        <w:rPr>
          <w:rFonts w:ascii="Arial" w:cs="Arial" w:eastAsia="Arial" w:hAnsi="Arial"/>
          <w:sz w:val="14"/>
          <w:szCs w:val="14"/>
          <w:u w:val="single" w:color="auto"/>
          <w:color w:val="auto"/>
        </w:rPr>
        <w:t xml:space="preserve"> </w:t>
      </w:r>
      <w:r>
        <w:rPr>
          <w:rFonts w:ascii="Arial" w:cs="Arial" w:eastAsia="Arial" w:hAnsi="Arial"/>
          <w:sz w:val="14"/>
          <w:szCs w:val="14"/>
          <w:color w:val="auto"/>
        </w:rPr>
        <w:t>expressly bind the Sublicensee to the relevant terms of this Agreement. The Licensee shall promptly furnish the Licensor with a fully executed copy of any Sublicense.</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u w:val="single" w:color="auto"/>
          <w:color w:val="auto"/>
        </w:rPr>
        <w:t>Retained Rights</w:t>
      </w:r>
      <w:r>
        <w:rPr>
          <w:rFonts w:ascii="Arial" w:cs="Arial" w:eastAsia="Arial" w:hAnsi="Arial"/>
          <w:sz w:val="14"/>
          <w:szCs w:val="14"/>
          <w:color w:val="auto"/>
        </w:rPr>
        <w:t>. For the avoidance of doubt the Licensor retains the right to use and exploit the Exclusionary Rights under the Licensed Patents outside of the Field.</w:t>
      </w:r>
    </w:p>
    <w:p>
      <w:pPr>
        <w:spacing w:after="0" w:line="254" w:lineRule="exact"/>
        <w:rPr>
          <w:sz w:val="20"/>
          <w:szCs w:val="20"/>
          <w:color w:val="auto"/>
        </w:rPr>
      </w:pPr>
    </w:p>
    <w:p>
      <w:pPr>
        <w:jc w:val="both"/>
        <w:ind w:left="440" w:right="20" w:hanging="450"/>
        <w:spacing w:after="0" w:line="263" w:lineRule="auto"/>
        <w:tabs>
          <w:tab w:leader="none" w:pos="4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u w:val="single" w:color="auto"/>
          <w:color w:val="auto"/>
        </w:rPr>
        <w:t>Supply and Use of KODE™ Constructs</w:t>
      </w:r>
      <w:r>
        <w:rPr>
          <w:rFonts w:ascii="Arial" w:cs="Arial" w:eastAsia="Arial" w:hAnsi="Arial"/>
          <w:sz w:val="16"/>
          <w:szCs w:val="16"/>
          <w:color w:val="auto"/>
        </w:rPr>
        <w:t>. To enable the Licensee to enjoy the benefits of the right and licence granted by the Licensor hereunder the Licensee will from</w:t>
      </w:r>
      <w:r>
        <w:rPr>
          <w:rFonts w:ascii="Arial" w:cs="Arial" w:eastAsia="Arial" w:hAnsi="Arial"/>
          <w:sz w:val="16"/>
          <w:szCs w:val="16"/>
          <w:u w:val="single" w:color="auto"/>
          <w:color w:val="auto"/>
        </w:rPr>
        <w:t xml:space="preserve"> </w:t>
      </w:r>
      <w:r>
        <w:rPr>
          <w:rFonts w:ascii="Arial" w:cs="Arial" w:eastAsia="Arial" w:hAnsi="Arial"/>
          <w:sz w:val="16"/>
          <w:szCs w:val="16"/>
          <w:color w:val="auto"/>
        </w:rPr>
        <w:t>time to time require a reliable, good quality supply of KODE™ Constructs. The Licensor shall take commercially reasonable steps during the term of this licence to ensure that at all material times one or more suppliers (each an “</w:t>
      </w:r>
      <w:r>
        <w:rPr>
          <w:rFonts w:ascii="Arial" w:cs="Arial" w:eastAsia="Arial" w:hAnsi="Arial"/>
          <w:sz w:val="16"/>
          <w:szCs w:val="16"/>
          <w:b w:val="1"/>
          <w:bCs w:val="1"/>
          <w:color w:val="auto"/>
        </w:rPr>
        <w:t>Authorised KODE™ Construct Manufacturer &amp; Supplier</w:t>
      </w:r>
      <w:r>
        <w:rPr>
          <w:rFonts w:ascii="Arial" w:cs="Arial" w:eastAsia="Arial" w:hAnsi="Arial"/>
          <w:sz w:val="16"/>
          <w:szCs w:val="16"/>
          <w:color w:val="auto"/>
        </w:rPr>
        <w:t>”) is granted a license to enable the manufacture and supply of KODE™ Constructs to the Licensee. Each such licence shall:</w:t>
      </w:r>
    </w:p>
    <w:p>
      <w:pPr>
        <w:spacing w:after="0" w:line="216" w:lineRule="exact"/>
        <w:rPr>
          <w:sz w:val="20"/>
          <w:szCs w:val="20"/>
          <w:color w:val="auto"/>
        </w:rPr>
      </w:pPr>
    </w:p>
    <w:p>
      <w:pPr>
        <w:ind w:left="900" w:right="20" w:hanging="452"/>
        <w:spacing w:after="0" w:line="318" w:lineRule="auto"/>
        <w:tabs>
          <w:tab w:leader="none" w:pos="90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 xml:space="preserve">require the Authorised KODE™ Construct Manufacturer &amp; Supplier to ensure that all KODE™ Constructs supplied to the Licensee are, as a minimum, manufactured in accordance with </w:t>
      </w:r>
      <w:r>
        <w:rPr>
          <w:rFonts w:ascii="Arial" w:cs="Arial" w:eastAsia="Arial" w:hAnsi="Arial"/>
          <w:sz w:val="15"/>
          <w:szCs w:val="15"/>
          <w:b w:val="1"/>
          <w:bCs w:val="1"/>
          <w:color w:val="auto"/>
        </w:rPr>
        <w:t>[*]</w:t>
      </w:r>
      <w:r>
        <w:rPr>
          <w:rFonts w:ascii="Arial" w:cs="Arial" w:eastAsia="Arial" w:hAnsi="Arial"/>
          <w:sz w:val="15"/>
          <w:szCs w:val="15"/>
          <w:color w:val="auto"/>
        </w:rPr>
        <w:t xml:space="preserve"> as certified by the Licensor (or an appropriate independent Third Party certifier approved by the Licensor); and</w:t>
      </w:r>
    </w:p>
    <w:p>
      <w:pPr>
        <w:spacing w:after="0" w:line="172" w:lineRule="exact"/>
        <w:rPr>
          <w:rFonts w:ascii="Arial" w:cs="Arial" w:eastAsia="Arial" w:hAnsi="Arial"/>
          <w:sz w:val="15"/>
          <w:szCs w:val="15"/>
          <w:color w:val="auto"/>
        </w:rPr>
      </w:pPr>
    </w:p>
    <w:p>
      <w:pPr>
        <w:ind w:left="900" w:right="20" w:hanging="452"/>
        <w:spacing w:after="0" w:line="288" w:lineRule="auto"/>
        <w:tabs>
          <w:tab w:leader="none" w:pos="90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 xml:space="preserve">provide that the Licensor’s royalties for such licence shall not exceed a margin of </w:t>
      </w:r>
      <w:r>
        <w:rPr>
          <w:rFonts w:ascii="Arial" w:cs="Arial" w:eastAsia="Arial" w:hAnsi="Arial"/>
          <w:sz w:val="16"/>
          <w:szCs w:val="16"/>
          <w:b w:val="1"/>
          <w:bCs w:val="1"/>
          <w:color w:val="auto"/>
        </w:rPr>
        <w:t>[*]</w:t>
      </w:r>
      <w:r>
        <w:rPr>
          <w:rFonts w:ascii="Arial" w:cs="Arial" w:eastAsia="Arial" w:hAnsi="Arial"/>
          <w:sz w:val="16"/>
          <w:szCs w:val="16"/>
          <w:color w:val="auto"/>
        </w:rPr>
        <w:t xml:space="preserve"> over the Authorised KODE™ Construct Manufacturer &amp; Supplier’s costs of goods manufactured.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00" w:name="page401"/>
    <w:bookmarkEnd w:id="400"/>
    <w:p>
      <w:pPr>
        <w:ind w:left="460"/>
        <w:spacing w:after="0"/>
        <w:rPr>
          <w:sz w:val="20"/>
          <w:szCs w:val="20"/>
          <w:color w:val="auto"/>
        </w:rPr>
      </w:pPr>
      <w:r>
        <w:rPr>
          <w:rFonts w:ascii="Arial" w:cs="Arial" w:eastAsia="Arial" w:hAnsi="Arial"/>
          <w:sz w:val="16"/>
          <w:szCs w:val="16"/>
          <w:color w:val="auto"/>
        </w:rPr>
        <w:t>The Licensor shall give reasonable consideration to (if applicable) a proposal or proposals from time to time by the Licensee for:</w:t>
      </w:r>
    </w:p>
    <w:p>
      <w:pPr>
        <w:spacing w:after="0" w:line="254"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the Licensee itself to become an Authorised KODE™ Construct Manufacturer &amp; Supplier; and/or</w:t>
      </w:r>
    </w:p>
    <w:p>
      <w:pPr>
        <w:spacing w:after="0" w:line="254"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for a Third Party to become an Authorised KODE™ Construct Manufacturer &amp; Supplier,</w:t>
      </w:r>
    </w:p>
    <w:p>
      <w:pPr>
        <w:spacing w:after="0" w:line="254" w:lineRule="exact"/>
        <w:rPr>
          <w:sz w:val="20"/>
          <w:szCs w:val="20"/>
          <w:color w:val="auto"/>
        </w:rPr>
      </w:pPr>
    </w:p>
    <w:p>
      <w:pPr>
        <w:ind w:left="460" w:right="260"/>
        <w:spacing w:after="0" w:line="283" w:lineRule="auto"/>
        <w:rPr>
          <w:sz w:val="20"/>
          <w:szCs w:val="20"/>
          <w:color w:val="auto"/>
        </w:rPr>
      </w:pPr>
      <w:r>
        <w:rPr>
          <w:rFonts w:ascii="Arial" w:cs="Arial" w:eastAsia="Arial" w:hAnsi="Arial"/>
          <w:sz w:val="16"/>
          <w:szCs w:val="16"/>
          <w:color w:val="auto"/>
        </w:rPr>
        <w:t>subject always to agreeing commercially reasonable quality and supply terms for the manufacture and supply KODE™ Constructs for the Licensee. Such a license is required to be separately negotiated with the Licensor.</w:t>
      </w:r>
    </w:p>
    <w:p>
      <w:pPr>
        <w:spacing w:after="0" w:line="195"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6"/>
          <w:szCs w:val="16"/>
          <w:b w:val="1"/>
          <w:bCs w:val="1"/>
          <w:color w:val="auto"/>
        </w:rPr>
        <w:t>Diligence and Commercialisation Requirements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Arial" w:cs="Arial" w:eastAsia="Arial" w:hAnsi="Arial"/>
                <w:sz w:val="16"/>
                <w:szCs w:val="16"/>
                <w:color w:val="auto"/>
              </w:rPr>
              <w:t>11.1</w:t>
            </w:r>
          </w:p>
        </w:tc>
        <w:tc>
          <w:tcPr>
            <w:tcW w:w="11000" w:type="dxa"/>
            <w:vAlign w:val="bottom"/>
            <w:gridSpan w:val="4"/>
          </w:tcPr>
          <w:p>
            <w:pPr>
              <w:spacing w:after="0"/>
              <w:rPr>
                <w:sz w:val="20"/>
                <w:szCs w:val="20"/>
                <w:color w:val="auto"/>
              </w:rPr>
            </w:pPr>
            <w:r>
              <w:rPr>
                <w:rFonts w:ascii="Arial" w:cs="Arial" w:eastAsia="Arial" w:hAnsi="Arial"/>
                <w:sz w:val="16"/>
                <w:szCs w:val="16"/>
                <w:color w:val="auto"/>
                <w:w w:val="96"/>
              </w:rPr>
              <w:t>Diligence Requirements.  The Licensee shall use reasonable diligent efforts or require its Affiliates and Sublicensees to use reasonable diligent efforts to develop</w:t>
            </w:r>
          </w:p>
        </w:tc>
      </w:tr>
      <w:tr>
        <w:trPr>
          <w:trHeight w:val="20"/>
        </w:trPr>
        <w:tc>
          <w:tcPr>
            <w:tcW w:w="4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11"/>
        </w:trPr>
        <w:tc>
          <w:tcPr>
            <w:tcW w:w="44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Licensed Products and to introduce Licensed Products into the commercial market.</w:t>
            </w:r>
          </w:p>
        </w:tc>
        <w:tc>
          <w:tcPr>
            <w:tcW w:w="4300" w:type="dxa"/>
            <w:vAlign w:val="bottom"/>
          </w:tcPr>
          <w:p>
            <w:pPr>
              <w:spacing w:after="0"/>
              <w:rPr>
                <w:sz w:val="18"/>
                <w:szCs w:val="18"/>
                <w:color w:val="auto"/>
              </w:rPr>
            </w:pPr>
          </w:p>
        </w:tc>
      </w:tr>
      <w:tr>
        <w:trPr>
          <w:trHeight w:val="403"/>
        </w:trPr>
        <w:tc>
          <w:tcPr>
            <w:tcW w:w="440" w:type="dxa"/>
            <w:vAlign w:val="bottom"/>
          </w:tcPr>
          <w:p>
            <w:pPr>
              <w:spacing w:after="0"/>
              <w:rPr>
                <w:sz w:val="20"/>
                <w:szCs w:val="20"/>
                <w:color w:val="auto"/>
              </w:rPr>
            </w:pPr>
            <w:r>
              <w:rPr>
                <w:rFonts w:ascii="Arial" w:cs="Arial" w:eastAsia="Arial" w:hAnsi="Arial"/>
                <w:sz w:val="16"/>
                <w:szCs w:val="16"/>
                <w:color w:val="auto"/>
              </w:rPr>
              <w:t>11.2</w:t>
            </w:r>
          </w:p>
        </w:tc>
        <w:tc>
          <w:tcPr>
            <w:tcW w:w="11000" w:type="dxa"/>
            <w:vAlign w:val="bottom"/>
            <w:gridSpan w:val="4"/>
          </w:tcPr>
          <w:p>
            <w:pPr>
              <w:spacing w:after="0"/>
              <w:rPr>
                <w:sz w:val="20"/>
                <w:szCs w:val="20"/>
                <w:color w:val="auto"/>
              </w:rPr>
            </w:pPr>
            <w:r>
              <w:rPr>
                <w:rFonts w:ascii="Arial" w:cs="Arial" w:eastAsia="Arial" w:hAnsi="Arial"/>
                <w:sz w:val="16"/>
                <w:szCs w:val="16"/>
                <w:color w:val="auto"/>
              </w:rPr>
              <w:t>Development Plans &amp; Reports. The Licensee shall furnish the Licensor with plans and reports as follows:</w:t>
            </w:r>
          </w:p>
        </w:tc>
      </w:tr>
      <w:tr>
        <w:trPr>
          <w:trHeight w:val="264"/>
        </w:trPr>
        <w:tc>
          <w:tcPr>
            <w:tcW w:w="440" w:type="dxa"/>
            <w:vAlign w:val="bottom"/>
            <w:tcBorders>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4720" w:type="dxa"/>
            <w:vAlign w:val="bottom"/>
            <w:tcBorders>
              <w:bottom w:val="single" w:sz="8" w:color="auto"/>
            </w:tcBorders>
          </w:tcPr>
          <w:p>
            <w:pPr>
              <w:spacing w:after="0"/>
              <w:rPr>
                <w:sz w:val="22"/>
                <w:szCs w:val="22"/>
                <w:color w:val="auto"/>
              </w:rPr>
            </w:pPr>
          </w:p>
        </w:tc>
        <w:tc>
          <w:tcPr>
            <w:tcW w:w="4300" w:type="dxa"/>
            <w:vAlign w:val="bottom"/>
            <w:tcBorders>
              <w:bottom w:val="single" w:sz="8" w:color="auto"/>
            </w:tcBorders>
          </w:tcPr>
          <w:p>
            <w:pPr>
              <w:spacing w:after="0"/>
              <w:rPr>
                <w:sz w:val="22"/>
                <w:szCs w:val="22"/>
                <w:color w:val="auto"/>
              </w:rPr>
            </w:pPr>
          </w:p>
        </w:tc>
      </w:tr>
      <w:tr>
        <w:trPr>
          <w:trHeight w:val="253"/>
        </w:trPr>
        <w:tc>
          <w:tcPr>
            <w:tcW w:w="440" w:type="dxa"/>
            <w:vAlign w:val="bottom"/>
            <w:tcBorders>
              <w:bottom w:val="single" w:sz="8" w:color="EEECE1"/>
            </w:tcBorders>
            <w:shd w:val="clear" w:color="auto" w:fill="EEECE1"/>
          </w:tcPr>
          <w:p>
            <w:pPr>
              <w:spacing w:after="0"/>
              <w:rPr>
                <w:sz w:val="21"/>
                <w:szCs w:val="21"/>
                <w:color w:val="auto"/>
              </w:rPr>
            </w:pPr>
          </w:p>
        </w:tc>
        <w:tc>
          <w:tcPr>
            <w:tcW w:w="1600" w:type="dxa"/>
            <w:vAlign w:val="bottom"/>
            <w:tcBorders>
              <w:bottom w:val="single" w:sz="8" w:color="EEECE1"/>
            </w:tcBorders>
            <w:shd w:val="clear" w:color="auto" w:fill="EEECE1"/>
          </w:tcPr>
          <w:p>
            <w:pPr>
              <w:spacing w:after="0"/>
              <w:rPr>
                <w:sz w:val="21"/>
                <w:szCs w:val="21"/>
                <w:color w:val="auto"/>
              </w:rPr>
            </w:pPr>
          </w:p>
        </w:tc>
        <w:tc>
          <w:tcPr>
            <w:tcW w:w="380" w:type="dxa"/>
            <w:vAlign w:val="bottom"/>
            <w:tcBorders>
              <w:bottom w:val="single" w:sz="8" w:color="EEECE1"/>
            </w:tcBorders>
            <w:shd w:val="clear" w:color="auto" w:fill="EEECE1"/>
          </w:tcPr>
          <w:p>
            <w:pPr>
              <w:spacing w:after="0"/>
              <w:rPr>
                <w:sz w:val="21"/>
                <w:szCs w:val="21"/>
                <w:color w:val="auto"/>
              </w:rPr>
            </w:pPr>
          </w:p>
        </w:tc>
        <w:tc>
          <w:tcPr>
            <w:tcW w:w="4720" w:type="dxa"/>
            <w:vAlign w:val="bottom"/>
            <w:tcBorders>
              <w:bottom w:val="single" w:sz="8" w:color="EEECE1"/>
              <w:right w:val="single" w:sz="8" w:color="auto"/>
            </w:tcBorders>
            <w:shd w:val="clear" w:color="auto" w:fill="EEECE1"/>
          </w:tcPr>
          <w:p>
            <w:pPr>
              <w:ind w:left="620"/>
              <w:spacing w:after="0"/>
              <w:rPr>
                <w:sz w:val="20"/>
                <w:szCs w:val="20"/>
                <w:color w:val="auto"/>
              </w:rPr>
            </w:pPr>
            <w:r>
              <w:rPr>
                <w:rFonts w:ascii="Arial" w:cs="Arial" w:eastAsia="Arial" w:hAnsi="Arial"/>
                <w:sz w:val="16"/>
                <w:szCs w:val="16"/>
                <w:b w:val="1"/>
                <w:bCs w:val="1"/>
                <w:color w:val="auto"/>
              </w:rPr>
              <w:t>Plans &amp; Report</w:t>
            </w:r>
          </w:p>
        </w:tc>
        <w:tc>
          <w:tcPr>
            <w:tcW w:w="4300" w:type="dxa"/>
            <w:vAlign w:val="bottom"/>
            <w:tcBorders>
              <w:bottom w:val="single" w:sz="8" w:color="EEECE1"/>
              <w:right w:val="single" w:sz="8" w:color="auto"/>
            </w:tcBorders>
            <w:shd w:val="clear" w:color="auto" w:fill="EEECE1"/>
          </w:tcPr>
          <w:p>
            <w:pPr>
              <w:ind w:left="1820"/>
              <w:spacing w:after="0"/>
              <w:rPr>
                <w:sz w:val="20"/>
                <w:szCs w:val="20"/>
                <w:color w:val="auto"/>
              </w:rPr>
            </w:pPr>
            <w:r>
              <w:rPr>
                <w:rFonts w:ascii="Arial" w:cs="Arial" w:eastAsia="Arial" w:hAnsi="Arial"/>
                <w:sz w:val="16"/>
                <w:szCs w:val="16"/>
                <w:b w:val="1"/>
                <w:bCs w:val="1"/>
                <w:color w:val="auto"/>
              </w:rPr>
              <w:t>Due Date</w:t>
            </w:r>
          </w:p>
        </w:tc>
      </w:tr>
      <w:tr>
        <w:trPr>
          <w:trHeight w:val="207"/>
        </w:trPr>
        <w:tc>
          <w:tcPr>
            <w:tcW w:w="714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color w:val="auto"/>
              </w:rPr>
              <w:t>A written business plan under which the Licensee intends as of the Effective Date to develop and</w:t>
            </w:r>
          </w:p>
        </w:tc>
        <w:tc>
          <w:tcPr>
            <w:tcW w:w="4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of the Effective Date</w:t>
            </w:r>
          </w:p>
        </w:tc>
      </w:tr>
      <w:tr>
        <w:trPr>
          <w:trHeight w:val="254"/>
        </w:trPr>
        <w:tc>
          <w:tcPr>
            <w:tcW w:w="7140" w:type="dxa"/>
            <w:vAlign w:val="bottom"/>
            <w:tcBorders>
              <w:bottom w:val="single" w:sz="8" w:color="auto"/>
              <w:right w:val="single" w:sz="8" w:color="auto"/>
            </w:tcBorders>
            <w:gridSpan w:val="4"/>
          </w:tcPr>
          <w:p>
            <w:pPr>
              <w:ind w:left="40"/>
              <w:spacing w:after="0"/>
              <w:rPr>
                <w:sz w:val="20"/>
                <w:szCs w:val="20"/>
                <w:color w:val="auto"/>
              </w:rPr>
            </w:pPr>
            <w:r>
              <w:rPr>
                <w:rFonts w:ascii="Arial" w:cs="Arial" w:eastAsia="Arial" w:hAnsi="Arial"/>
                <w:sz w:val="16"/>
                <w:szCs w:val="16"/>
                <w:color w:val="auto"/>
              </w:rPr>
              <w:t>commercialize Licensed Products</w:t>
            </w:r>
          </w:p>
        </w:tc>
        <w:tc>
          <w:tcPr>
            <w:tcW w:w="4300" w:type="dxa"/>
            <w:vAlign w:val="bottom"/>
            <w:tcBorders>
              <w:bottom w:val="single" w:sz="8" w:color="auto"/>
              <w:right w:val="single" w:sz="8" w:color="auto"/>
            </w:tcBorders>
          </w:tcPr>
          <w:p>
            <w:pPr>
              <w:spacing w:after="0"/>
              <w:rPr>
                <w:sz w:val="22"/>
                <w:szCs w:val="22"/>
                <w:color w:val="auto"/>
              </w:rPr>
            </w:pPr>
          </w:p>
        </w:tc>
      </w:tr>
      <w:tr>
        <w:trPr>
          <w:trHeight w:val="189"/>
        </w:trPr>
        <w:tc>
          <w:tcPr>
            <w:tcW w:w="7140" w:type="dxa"/>
            <w:vAlign w:val="bottom"/>
            <w:gridSpan w:val="4"/>
          </w:tcPr>
          <w:p>
            <w:pPr>
              <w:ind w:left="40"/>
              <w:spacing w:after="0"/>
              <w:rPr>
                <w:sz w:val="20"/>
                <w:szCs w:val="20"/>
                <w:color w:val="auto"/>
              </w:rPr>
            </w:pPr>
            <w:r>
              <w:rPr>
                <w:rFonts w:ascii="Arial" w:cs="Arial" w:eastAsia="Arial" w:hAnsi="Arial"/>
                <w:sz w:val="16"/>
                <w:szCs w:val="16"/>
                <w:color w:val="auto"/>
              </w:rPr>
              <w:t>A written update of the business plan including without limitation:</w:t>
            </w:r>
          </w:p>
        </w:tc>
        <w:tc>
          <w:tcPr>
            <w:tcW w:w="4300" w:type="dxa"/>
            <w:vAlign w:val="bottom"/>
          </w:tcPr>
          <w:p>
            <w:pPr>
              <w:ind w:left="20"/>
              <w:spacing w:after="0"/>
              <w:rPr>
                <w:sz w:val="20"/>
                <w:szCs w:val="20"/>
                <w:color w:val="auto"/>
              </w:rPr>
            </w:pPr>
            <w:r>
              <w:rPr>
                <w:rFonts w:ascii="Arial" w:cs="Arial" w:eastAsia="Arial" w:hAnsi="Arial"/>
                <w:sz w:val="16"/>
                <w:szCs w:val="16"/>
                <w:color w:val="auto"/>
                <w:w w:val="96"/>
              </w:rPr>
              <w:t xml:space="preserve">Within </w:t>
            </w:r>
            <w:r>
              <w:rPr>
                <w:rFonts w:ascii="Arial" w:cs="Arial" w:eastAsia="Arial" w:hAnsi="Arial"/>
                <w:sz w:val="16"/>
                <w:szCs w:val="16"/>
                <w:b w:val="1"/>
                <w:bCs w:val="1"/>
                <w:color w:val="auto"/>
                <w:w w:val="96"/>
              </w:rPr>
              <w:t>[*]</w:t>
            </w:r>
            <w:r>
              <w:rPr>
                <w:rFonts w:ascii="Arial" w:cs="Arial" w:eastAsia="Arial" w:hAnsi="Arial"/>
                <w:sz w:val="16"/>
                <w:szCs w:val="16"/>
                <w:color w:val="auto"/>
                <w:w w:val="96"/>
              </w:rPr>
              <w:t xml:space="preserve"> days after the start of each calendar year, beginning</w:t>
            </w:r>
          </w:p>
        </w:tc>
      </w:tr>
      <w:tr>
        <w:trPr>
          <w:trHeight w:val="207"/>
        </w:trPr>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6700" w:type="dxa"/>
            <w:vAlign w:val="bottom"/>
            <w:gridSpan w:val="3"/>
          </w:tcPr>
          <w:p>
            <w:pPr>
              <w:ind w:left="60"/>
              <w:spacing w:after="0"/>
              <w:rPr>
                <w:sz w:val="20"/>
                <w:szCs w:val="20"/>
                <w:color w:val="auto"/>
              </w:rPr>
            </w:pPr>
            <w:r>
              <w:rPr>
                <w:rFonts w:ascii="Arial" w:cs="Arial" w:eastAsia="Arial" w:hAnsi="Arial"/>
                <w:sz w:val="16"/>
                <w:szCs w:val="16"/>
                <w:color w:val="auto"/>
              </w:rPr>
              <w:t>research and development progress during the prior year;</w:t>
            </w:r>
          </w:p>
        </w:tc>
        <w:tc>
          <w:tcPr>
            <w:tcW w:w="4300" w:type="dxa"/>
            <w:vAlign w:val="bottom"/>
          </w:tcPr>
          <w:p>
            <w:pPr>
              <w:ind w:left="20"/>
              <w:spacing w:after="0"/>
              <w:rPr>
                <w:sz w:val="20"/>
                <w:szCs w:val="20"/>
                <w:color w:val="auto"/>
              </w:rPr>
            </w:pPr>
            <w:r>
              <w:rPr>
                <w:rFonts w:ascii="Arial" w:cs="Arial" w:eastAsia="Arial" w:hAnsi="Arial"/>
                <w:sz w:val="16"/>
                <w:szCs w:val="16"/>
                <w:color w:val="auto"/>
              </w:rPr>
              <w:t>on 1 January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-741045</wp:posOffset>
            </wp:positionV>
            <wp:extent cx="7258685" cy="12680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8685" cy="1268095"/>
                    </a:xfrm>
                    <a:prstGeom prst="rect">
                      <a:avLst/>
                    </a:prstGeom>
                    <a:noFill/>
                  </pic:spPr>
                </pic:pic>
              </a:graphicData>
            </a:graphic>
          </wp:anchor>
        </w:drawing>
      </w:r>
    </w:p>
    <w:p>
      <w:pPr>
        <w:ind w:left="500" w:hanging="454"/>
        <w:spacing w:after="0"/>
        <w:tabs>
          <w:tab w:leader="none" w:pos="5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efforts to obtain regulatory approval during the prior year;</w:t>
      </w:r>
    </w:p>
    <w:p>
      <w:pPr>
        <w:spacing w:after="0" w:line="10" w:lineRule="exact"/>
        <w:rPr>
          <w:rFonts w:ascii="Arial" w:cs="Arial" w:eastAsia="Arial" w:hAnsi="Arial"/>
          <w:sz w:val="16"/>
          <w:szCs w:val="16"/>
          <w:color w:val="auto"/>
        </w:rPr>
      </w:pPr>
    </w:p>
    <w:p>
      <w:pPr>
        <w:ind w:left="500" w:hanging="454"/>
        <w:spacing w:after="0"/>
        <w:tabs>
          <w:tab w:leader="none" w:pos="5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marketing, and sales figures during the prior year;</w:t>
      </w:r>
    </w:p>
    <w:p>
      <w:pPr>
        <w:spacing w:after="0" w:line="10" w:lineRule="exact"/>
        <w:rPr>
          <w:rFonts w:ascii="Arial" w:cs="Arial" w:eastAsia="Arial" w:hAnsi="Arial"/>
          <w:sz w:val="16"/>
          <w:szCs w:val="16"/>
          <w:color w:val="auto"/>
        </w:rPr>
      </w:pPr>
    </w:p>
    <w:p>
      <w:pPr>
        <w:ind w:left="500" w:hanging="454"/>
        <w:spacing w:after="0"/>
        <w:tabs>
          <w:tab w:leader="none" w:pos="5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 discussion of its intended development and commercialisation efforts; and</w:t>
      </w:r>
    </w:p>
    <w:p>
      <w:pPr>
        <w:spacing w:after="0" w:line="10" w:lineRule="exact"/>
        <w:rPr>
          <w:rFonts w:ascii="Arial" w:cs="Arial" w:eastAsia="Arial" w:hAnsi="Arial"/>
          <w:sz w:val="16"/>
          <w:szCs w:val="16"/>
          <w:color w:val="auto"/>
        </w:rPr>
      </w:pPr>
    </w:p>
    <w:p>
      <w:pPr>
        <w:ind w:left="500" w:hanging="454"/>
        <w:spacing w:after="0"/>
        <w:tabs>
          <w:tab w:leader="none" w:pos="5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sales projections for the current year.</w:t>
      </w:r>
    </w:p>
    <w:p>
      <w:pPr>
        <w:spacing w:after="0" w:line="29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5"/>
          <w:szCs w:val="15"/>
          <w:u w:val="single" w:color="auto"/>
          <w:color w:val="auto"/>
        </w:rPr>
        <w:t>Compliance</w:t>
      </w:r>
      <w:r>
        <w:rPr>
          <w:rFonts w:ascii="Arial" w:cs="Arial" w:eastAsia="Arial" w:hAnsi="Arial"/>
          <w:sz w:val="15"/>
          <w:szCs w:val="15"/>
          <w:color w:val="auto"/>
        </w:rPr>
        <w:t>.</w:t>
      </w:r>
    </w:p>
    <w:p>
      <w:pPr>
        <w:spacing w:after="0" w:line="254" w:lineRule="exact"/>
        <w:rPr>
          <w:sz w:val="20"/>
          <w:szCs w:val="20"/>
          <w:color w:val="auto"/>
        </w:rPr>
      </w:pPr>
    </w:p>
    <w:p>
      <w:pPr>
        <w:ind w:left="900" w:hanging="452"/>
        <w:spacing w:after="0"/>
        <w:tabs>
          <w:tab w:leader="none" w:pos="900"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KODE™ Constructs</w:t>
      </w:r>
      <w:r>
        <w:rPr>
          <w:rFonts w:ascii="Arial" w:cs="Arial" w:eastAsia="Arial" w:hAnsi="Arial"/>
          <w:sz w:val="16"/>
          <w:szCs w:val="16"/>
          <w:color w:val="auto"/>
        </w:rPr>
        <w:t>. The Licensee shall comply with all applicable laws, regulations and guidelines relevant to the use of KODE™ Constructs.</w:t>
      </w:r>
    </w:p>
    <w:p>
      <w:pPr>
        <w:spacing w:after="0" w:line="254" w:lineRule="exact"/>
        <w:rPr>
          <w:rFonts w:ascii="Arial" w:cs="Arial" w:eastAsia="Arial" w:hAnsi="Arial"/>
          <w:sz w:val="16"/>
          <w:szCs w:val="16"/>
          <w:color w:val="auto"/>
        </w:rPr>
      </w:pPr>
    </w:p>
    <w:p>
      <w:pPr>
        <w:jc w:val="both"/>
        <w:ind w:left="900" w:right="20" w:hanging="452"/>
        <w:spacing w:after="0" w:line="268" w:lineRule="auto"/>
        <w:tabs>
          <w:tab w:leader="none" w:pos="900" w:val="left"/>
        </w:tabs>
        <w:numPr>
          <w:ilvl w:val="0"/>
          <w:numId w:val="388"/>
        </w:numPr>
        <w:rPr>
          <w:rFonts w:ascii="Arial" w:cs="Arial" w:eastAsia="Arial" w:hAnsi="Arial"/>
          <w:sz w:val="16"/>
          <w:szCs w:val="16"/>
          <w:color w:val="auto"/>
        </w:rPr>
      </w:pPr>
      <w:r>
        <w:rPr>
          <w:rFonts w:ascii="Arial" w:cs="Arial" w:eastAsia="Arial" w:hAnsi="Arial"/>
          <w:sz w:val="16"/>
          <w:szCs w:val="16"/>
          <w:u w:val="single" w:color="auto"/>
          <w:color w:val="auto"/>
        </w:rPr>
        <w:t>Licensed Products Compliance</w:t>
      </w:r>
      <w:r>
        <w:rPr>
          <w:rFonts w:ascii="Arial" w:cs="Arial" w:eastAsia="Arial" w:hAnsi="Arial"/>
          <w:sz w:val="16"/>
          <w:szCs w:val="16"/>
          <w:color w:val="auto"/>
        </w:rPr>
        <w:t>. The Licensee shall take all reasonable steps to comply with, and shall require that its Affiliates and Sublicensees comply with, all local, state, federal, and international laws and regulations relating to the development, testing, manufacture, use, and sale of Licensed Products. The Licensee expressly agrees to comply with the following:</w:t>
      </w:r>
    </w:p>
    <w:p>
      <w:pPr>
        <w:spacing w:after="0" w:line="211" w:lineRule="exact"/>
        <w:rPr>
          <w:rFonts w:ascii="Arial" w:cs="Arial" w:eastAsia="Arial" w:hAnsi="Arial"/>
          <w:sz w:val="16"/>
          <w:szCs w:val="16"/>
          <w:color w:val="auto"/>
        </w:rPr>
      </w:pPr>
    </w:p>
    <w:p>
      <w:pPr>
        <w:jc w:val="both"/>
        <w:ind w:left="1460" w:right="20" w:hanging="549"/>
        <w:spacing w:after="0" w:line="358" w:lineRule="auto"/>
        <w:tabs>
          <w:tab w:leader="none" w:pos="1460" w:val="left"/>
        </w:tabs>
        <w:numPr>
          <w:ilvl w:val="1"/>
          <w:numId w:val="388"/>
        </w:numPr>
        <w:rPr>
          <w:rFonts w:ascii="Arial" w:cs="Arial" w:eastAsia="Arial" w:hAnsi="Arial"/>
          <w:sz w:val="14"/>
          <w:szCs w:val="14"/>
          <w:color w:val="auto"/>
        </w:rPr>
      </w:pPr>
      <w:r>
        <w:rPr>
          <w:rFonts w:ascii="Arial" w:cs="Arial" w:eastAsia="Arial" w:hAnsi="Arial"/>
          <w:sz w:val="14"/>
          <w:szCs w:val="14"/>
          <w:color w:val="auto"/>
        </w:rPr>
        <w:t>The Licensee or its Affiliates or Sublicensees shall obtain all necessary approvals from the United States Food &amp; Drug Administration and any similar foreign governmental authorities in countries or regions in which the Licensee or Affiliate or Sublicensee intends to make, use, or sell Licensed Products.</w:t>
      </w:r>
    </w:p>
    <w:p>
      <w:pPr>
        <w:spacing w:after="0" w:line="152" w:lineRule="exact"/>
        <w:rPr>
          <w:rFonts w:ascii="Arial" w:cs="Arial" w:eastAsia="Arial" w:hAnsi="Arial"/>
          <w:sz w:val="14"/>
          <w:szCs w:val="14"/>
          <w:color w:val="auto"/>
        </w:rPr>
      </w:pPr>
    </w:p>
    <w:p>
      <w:pPr>
        <w:jc w:val="both"/>
        <w:ind w:left="1460" w:right="20" w:hanging="549"/>
        <w:spacing w:after="0" w:line="260" w:lineRule="auto"/>
        <w:tabs>
          <w:tab w:leader="none" w:pos="1460" w:val="left"/>
        </w:tabs>
        <w:numPr>
          <w:ilvl w:val="1"/>
          <w:numId w:val="388"/>
        </w:numPr>
        <w:rPr>
          <w:rFonts w:ascii="Arial" w:cs="Arial" w:eastAsia="Arial" w:hAnsi="Arial"/>
          <w:sz w:val="16"/>
          <w:szCs w:val="16"/>
          <w:color w:val="auto"/>
        </w:rPr>
      </w:pPr>
      <w:r>
        <w:rPr>
          <w:rFonts w:ascii="Arial" w:cs="Arial" w:eastAsia="Arial" w:hAnsi="Arial"/>
          <w:sz w:val="16"/>
          <w:szCs w:val="16"/>
          <w:color w:val="auto"/>
        </w:rPr>
        <w:t>The Licensee and its Affiliates and Sublicensees shall comply with all United States laws and regulations controlling the export of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and foreign nationals. The Licensee hereby gives written assurance that it will comply with and will cause its Affiliates and Sublicensees to comply with all United States export control laws and regulations, that it bears sole responsibility for any violation of those laws and regulations by itself or its Affiliates or Sublicensees.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01" w:name="page402"/>
    <w:bookmarkEnd w:id="401"/>
    <w:p>
      <w:pPr>
        <w:jc w:val="both"/>
        <w:ind w:left="440" w:right="20" w:hanging="450"/>
        <w:spacing w:after="0" w:line="283" w:lineRule="auto"/>
        <w:tabs>
          <w:tab w:leader="none" w:pos="42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u w:val="single" w:color="auto"/>
          <w:color w:val="auto"/>
        </w:rPr>
        <w:t>Use of Licensor Name</w:t>
      </w:r>
      <w:r>
        <w:rPr>
          <w:rFonts w:ascii="Arial" w:cs="Arial" w:eastAsia="Arial" w:hAnsi="Arial"/>
          <w:sz w:val="16"/>
          <w:szCs w:val="16"/>
          <w:color w:val="auto"/>
        </w:rPr>
        <w:t>. In accordance with Clause 7.2, but subject to Clause 3.5, the Licensee and its Affiliates and Sublicensees may not use the name “KODE Biotech</w:t>
      </w:r>
      <w:r>
        <w:rPr>
          <w:rFonts w:ascii="Arial" w:cs="Arial" w:eastAsia="Arial" w:hAnsi="Arial"/>
          <w:sz w:val="16"/>
          <w:szCs w:val="16"/>
          <w:u w:val="single" w:color="auto"/>
          <w:color w:val="auto"/>
        </w:rPr>
        <w:t xml:space="preserve"> </w:t>
      </w:r>
      <w:r>
        <w:rPr>
          <w:rFonts w:ascii="Arial" w:cs="Arial" w:eastAsia="Arial" w:hAnsi="Arial"/>
          <w:sz w:val="16"/>
          <w:szCs w:val="16"/>
          <w:color w:val="auto"/>
        </w:rPr>
        <w:t>Ltd” or any variation of that name in connection with the marketing or sale of any Licensed Products without prior consent.</w:t>
      </w:r>
    </w:p>
    <w:p>
      <w:pPr>
        <w:spacing w:after="0" w:line="199" w:lineRule="exact"/>
        <w:rPr>
          <w:sz w:val="20"/>
          <w:szCs w:val="20"/>
          <w:color w:val="auto"/>
        </w:rPr>
      </w:pPr>
    </w:p>
    <w:p>
      <w:pPr>
        <w:jc w:val="both"/>
        <w:ind w:left="440" w:right="20" w:hanging="450"/>
        <w:spacing w:after="0" w:line="260" w:lineRule="auto"/>
        <w:tabs>
          <w:tab w:leader="none" w:pos="42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u w:val="single" w:color="auto"/>
          <w:color w:val="auto"/>
        </w:rPr>
        <w:t>Use of Trademarks</w:t>
      </w:r>
      <w:r>
        <w:rPr>
          <w:rFonts w:ascii="Arial" w:cs="Arial" w:eastAsia="Arial" w:hAnsi="Arial"/>
          <w:sz w:val="16"/>
          <w:szCs w:val="16"/>
          <w:color w:val="auto"/>
        </w:rPr>
        <w:t>. The Licensee shall be entitled to use (and to grant the right to Sublicensees to use) the KODE™ trademark and other relevant trademarks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Licensor in the form and manner approved by the Licensor (acting reasonably) on or in relation to Licensed Products manufactured and sold, including without limitation use in brochures and marketing materials, provided always that such use is legally permissible. The Licensee will submit sample copies of the proposed use (including the details of proposed package inserts, packaging or promotional or advertising materials) to the Licensor for approval, such approval not to be unreasonably withheld or delayed. The Licensor hereby grants to the Licensee the non-exclusive right to use the KODE™ trademark and other relevant Licensor trademark(s) as contemplated in accordance with the terms of and for the duration of this agreement.</w:t>
      </w:r>
    </w:p>
    <w:p>
      <w:pPr>
        <w:spacing w:after="0" w:line="217" w:lineRule="exact"/>
        <w:rPr>
          <w:sz w:val="20"/>
          <w:szCs w:val="20"/>
          <w:color w:val="auto"/>
        </w:rPr>
      </w:pPr>
    </w:p>
    <w:p>
      <w:pPr>
        <w:jc w:val="both"/>
        <w:ind w:left="440" w:right="20" w:hanging="450"/>
        <w:spacing w:after="0" w:line="268" w:lineRule="auto"/>
        <w:tabs>
          <w:tab w:leader="none" w:pos="42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u w:val="single" w:color="auto"/>
          <w:color w:val="auto"/>
        </w:rPr>
        <w:t>Marking of Licensed Products</w:t>
      </w:r>
      <w:r>
        <w:rPr>
          <w:rFonts w:ascii="Arial" w:cs="Arial" w:eastAsia="Arial" w:hAnsi="Arial"/>
          <w:sz w:val="16"/>
          <w:szCs w:val="16"/>
          <w:color w:val="auto"/>
        </w:rPr>
        <w:t>. To the extent commercially feasible and consistent with prevailing business practices, the Licensee shall mark and shall cause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Affiliates and Sublicensees to mark all Licensed Products that are manufactured or sold under this Agreement with the number of each issued patent under the Licensed Patents that applies to a Licensed Product.</w:t>
      </w:r>
    </w:p>
    <w:p>
      <w:pPr>
        <w:spacing w:after="0" w:line="212"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5"/>
          <w:szCs w:val="15"/>
          <w:u w:val="single" w:color="auto"/>
          <w:color w:val="auto"/>
        </w:rPr>
        <w:t>Indemnity</w:t>
      </w:r>
      <w:r>
        <w:rPr>
          <w:rFonts w:ascii="Arial" w:cs="Arial" w:eastAsia="Arial" w:hAnsi="Arial"/>
          <w:sz w:val="15"/>
          <w:szCs w:val="15"/>
          <w:color w:val="auto"/>
        </w:rPr>
        <w:t>.</w:t>
      </w:r>
    </w:p>
    <w:p>
      <w:pPr>
        <w:spacing w:after="0" w:line="250" w:lineRule="exact"/>
        <w:rPr>
          <w:sz w:val="20"/>
          <w:szCs w:val="20"/>
          <w:color w:val="auto"/>
        </w:rPr>
      </w:pPr>
    </w:p>
    <w:p>
      <w:pPr>
        <w:jc w:val="both"/>
        <w:ind w:left="900" w:right="20" w:hanging="452"/>
        <w:spacing w:after="0" w:line="284" w:lineRule="auto"/>
        <w:tabs>
          <w:tab w:leader="none" w:pos="900" w:val="left"/>
        </w:tabs>
        <w:numPr>
          <w:ilvl w:val="0"/>
          <w:numId w:val="389"/>
        </w:numPr>
        <w:rPr>
          <w:rFonts w:ascii="Arial" w:cs="Arial" w:eastAsia="Arial" w:hAnsi="Arial"/>
          <w:sz w:val="15"/>
          <w:szCs w:val="15"/>
          <w:color w:val="auto"/>
        </w:rPr>
      </w:pPr>
      <w:r>
        <w:rPr>
          <w:rFonts w:ascii="Arial" w:cs="Arial" w:eastAsia="Arial" w:hAnsi="Arial"/>
          <w:sz w:val="15"/>
          <w:szCs w:val="15"/>
          <w:u w:val="single" w:color="auto"/>
          <w:color w:val="auto"/>
        </w:rPr>
        <w:t>Indemnitees</w:t>
      </w:r>
      <w:r>
        <w:rPr>
          <w:rFonts w:ascii="Arial" w:cs="Arial" w:eastAsia="Arial" w:hAnsi="Arial"/>
          <w:sz w:val="15"/>
          <w:szCs w:val="15"/>
          <w:color w:val="auto"/>
        </w:rPr>
        <w:t>. The Licensee shall indemnify the Licensor, its agents and employees (“</w:t>
      </w:r>
      <w:r>
        <w:rPr>
          <w:rFonts w:ascii="Arial" w:cs="Arial" w:eastAsia="Arial" w:hAnsi="Arial"/>
          <w:sz w:val="15"/>
          <w:szCs w:val="15"/>
          <w:b w:val="1"/>
          <w:bCs w:val="1"/>
          <w:color w:val="auto"/>
        </w:rPr>
        <w:t>Indemnitees</w:t>
      </w:r>
      <w:r>
        <w:rPr>
          <w:rFonts w:ascii="Arial" w:cs="Arial" w:eastAsia="Arial" w:hAnsi="Arial"/>
          <w:sz w:val="15"/>
          <w:szCs w:val="15"/>
          <w:color w:val="auto"/>
        </w:rPr>
        <w:t>”) against all Claims and Losses arising from the Licensee’s receipt, use, or keeping of KODE™ Constructs, provided that the Licensee shall have no liability to the extent any Claim or Loss is directly attributable to the negligence or intentional misconduct of the Licensor or its officers, employees, and agents, or for any special incidental, consequential or punitive damages. ‘</w:t>
      </w:r>
      <w:r>
        <w:rPr>
          <w:rFonts w:ascii="Arial" w:cs="Arial" w:eastAsia="Arial" w:hAnsi="Arial"/>
          <w:sz w:val="15"/>
          <w:szCs w:val="15"/>
          <w:b w:val="1"/>
          <w:bCs w:val="1"/>
          <w:color w:val="auto"/>
        </w:rPr>
        <w:t>Claims</w:t>
      </w:r>
      <w:r>
        <w:rPr>
          <w:rFonts w:ascii="Arial" w:cs="Arial" w:eastAsia="Arial" w:hAnsi="Arial"/>
          <w:sz w:val="15"/>
          <w:szCs w:val="15"/>
          <w:color w:val="auto"/>
        </w:rPr>
        <w:t>’ shall mean all demands, claims, proceedings, penalties, fines, and liability (whether criminal or civil, in contract, tort, or otherwise), and ‘</w:t>
      </w:r>
      <w:r>
        <w:rPr>
          <w:rFonts w:ascii="Arial" w:cs="Arial" w:eastAsia="Arial" w:hAnsi="Arial"/>
          <w:sz w:val="15"/>
          <w:szCs w:val="15"/>
          <w:b w:val="1"/>
          <w:bCs w:val="1"/>
          <w:color w:val="auto"/>
        </w:rPr>
        <w:t>Losses</w:t>
      </w:r>
      <w:r>
        <w:rPr>
          <w:rFonts w:ascii="Arial" w:cs="Arial" w:eastAsia="Arial" w:hAnsi="Arial"/>
          <w:sz w:val="15"/>
          <w:szCs w:val="15"/>
          <w:color w:val="auto"/>
        </w:rPr>
        <w:t>’ shall mean all losses including without limitation financial losses, damages, reasonable legal costs, and other reasonable expenses of any nature.</w:t>
      </w:r>
    </w:p>
    <w:p>
      <w:pPr>
        <w:spacing w:after="0" w:line="201" w:lineRule="exact"/>
        <w:rPr>
          <w:rFonts w:ascii="Arial" w:cs="Arial" w:eastAsia="Arial" w:hAnsi="Arial"/>
          <w:sz w:val="15"/>
          <w:szCs w:val="15"/>
          <w:color w:val="auto"/>
        </w:rPr>
      </w:pPr>
    </w:p>
    <w:p>
      <w:pPr>
        <w:jc w:val="both"/>
        <w:ind w:left="900" w:hanging="452"/>
        <w:spacing w:after="0" w:line="259" w:lineRule="auto"/>
        <w:tabs>
          <w:tab w:leader="none" w:pos="900"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The Indemnitees agree to provide the Licensee with prompt written notice of any claim, suit, action, demand, or judgment for which indemnification is sought under this Agreement. The Indemnitees shall cooperate fully with the Licensee in the defence and will permit the Licensee to conduct and control the defence and the disposition of the claim, suit, or action (including all decisions relative to litigation, appeal, and settlement). However, any Indemnitee may (acting reasonably) retain its own counsel, at the expense of the Licensee, if representation of the Indemnitee by the counsel retained by the Licensee would be inappropriate because of actual or potential conflicts in the interests of the Indemnitee and any other party represented by that counsel. The Licensee agrees to keep the Licensor reasonably informed of the progress in the defence and disposition of the Claim and to consult with the Licensor regarding any proposed settlement.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02" w:name="page403"/>
    <w:bookmarkEnd w:id="402"/>
    <w:p>
      <w:pPr>
        <w:ind w:left="900" w:hanging="452"/>
        <w:spacing w:after="0"/>
        <w:tabs>
          <w:tab w:leader="none" w:pos="900"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Licensee shall maintain insurance that is reasonably sufficient to fulfil its obligations under this Agreement, including the following:</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560" w:type="dxa"/>
            <w:vAlign w:val="bottom"/>
            <w:tcBorders>
              <w:top w:val="single" w:sz="8" w:color="auto"/>
              <w:left w:val="single" w:sz="8" w:color="auto"/>
              <w:bottom w:val="single" w:sz="8" w:color="EEECE1"/>
              <w:right w:val="single" w:sz="8" w:color="auto"/>
            </w:tcBorders>
            <w:shd w:val="clear" w:color="auto" w:fill="EEECE1"/>
          </w:tcPr>
          <w:p>
            <w:pPr>
              <w:ind w:left="1300"/>
              <w:spacing w:after="0"/>
              <w:rPr>
                <w:sz w:val="20"/>
                <w:szCs w:val="20"/>
                <w:color w:val="auto"/>
              </w:rPr>
            </w:pPr>
            <w:r>
              <w:rPr>
                <w:rFonts w:ascii="Arial" w:cs="Arial" w:eastAsia="Arial" w:hAnsi="Arial"/>
                <w:sz w:val="16"/>
                <w:szCs w:val="16"/>
                <w:b w:val="1"/>
                <w:bCs w:val="1"/>
                <w:color w:val="auto"/>
              </w:rPr>
              <w:t>Effective Date</w:t>
            </w:r>
          </w:p>
        </w:tc>
        <w:tc>
          <w:tcPr>
            <w:tcW w:w="5480" w:type="dxa"/>
            <w:vAlign w:val="bottom"/>
            <w:tcBorders>
              <w:top w:val="single" w:sz="8" w:color="auto"/>
              <w:bottom w:val="single" w:sz="8" w:color="EEECE1"/>
              <w:right w:val="single" w:sz="8" w:color="auto"/>
            </w:tcBorders>
            <w:shd w:val="clear" w:color="auto" w:fill="EEECE1"/>
          </w:tcPr>
          <w:p>
            <w:pPr>
              <w:ind w:left="2380"/>
              <w:spacing w:after="0"/>
              <w:rPr>
                <w:sz w:val="20"/>
                <w:szCs w:val="20"/>
                <w:color w:val="auto"/>
              </w:rPr>
            </w:pPr>
            <w:r>
              <w:rPr>
                <w:rFonts w:ascii="Arial" w:cs="Arial" w:eastAsia="Arial" w:hAnsi="Arial"/>
                <w:sz w:val="16"/>
                <w:szCs w:val="16"/>
                <w:b w:val="1"/>
                <w:bCs w:val="1"/>
                <w:color w:val="auto"/>
              </w:rPr>
              <w:t>Insurance</w:t>
            </w:r>
          </w:p>
        </w:tc>
        <w:tc>
          <w:tcPr>
            <w:tcW w:w="2400" w:type="dxa"/>
            <w:vAlign w:val="bottom"/>
            <w:tcBorders>
              <w:top w:val="single" w:sz="8" w:color="auto"/>
              <w:bottom w:val="single" w:sz="8" w:color="EEECE1"/>
              <w:right w:val="single" w:sz="8" w:color="auto"/>
            </w:tcBorders>
            <w:shd w:val="clear" w:color="auto" w:fill="EEECE1"/>
          </w:tcPr>
          <w:p>
            <w:pPr>
              <w:ind w:left="840"/>
              <w:spacing w:after="0"/>
              <w:rPr>
                <w:sz w:val="20"/>
                <w:szCs w:val="20"/>
                <w:color w:val="auto"/>
              </w:rPr>
            </w:pPr>
            <w:r>
              <w:rPr>
                <w:rFonts w:ascii="Arial" w:cs="Arial" w:eastAsia="Arial" w:hAnsi="Arial"/>
                <w:sz w:val="16"/>
                <w:szCs w:val="16"/>
                <w:b w:val="1"/>
                <w:bCs w:val="1"/>
                <w:color w:val="auto"/>
              </w:rPr>
              <w:t>Coverage</w:t>
            </w:r>
          </w:p>
        </w:tc>
      </w:tr>
      <w:tr>
        <w:trPr>
          <w:trHeight w:val="218"/>
        </w:trPr>
        <w:tc>
          <w:tcPr>
            <w:tcW w:w="3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Commencing on the Effective Date</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Workers’ compensation insurance</w:t>
            </w:r>
          </w:p>
        </w:tc>
        <w:tc>
          <w:tcPr>
            <w:tcW w:w="24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w w:val="98"/>
              </w:rPr>
              <w:t>Statutory limits as required by law</w:t>
            </w:r>
          </w:p>
        </w:tc>
      </w:tr>
      <w:tr>
        <w:trPr>
          <w:trHeight w:val="29"/>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18"/>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Commencing on the Effective Date</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Commercial general liability insurance</w:t>
            </w:r>
          </w:p>
        </w:tc>
        <w:tc>
          <w:tcPr>
            <w:tcW w:w="24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w:t>
            </w:r>
          </w:p>
        </w:tc>
      </w:tr>
      <w:tr>
        <w:trPr>
          <w:trHeight w:val="29"/>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07"/>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Upon commencing testing or sales</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Clinical trials insurance (upon commencing testing) / product liability insurance</w:t>
            </w:r>
          </w:p>
        </w:tc>
        <w:tc>
          <w:tcPr>
            <w:tcW w:w="24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w:t>
            </w:r>
          </w:p>
        </w:tc>
      </w:tr>
      <w:tr>
        <w:trPr>
          <w:trHeight w:val="236"/>
        </w:trPr>
        <w:tc>
          <w:tcPr>
            <w:tcW w:w="3560" w:type="dxa"/>
            <w:vAlign w:val="bottom"/>
            <w:tcBorders>
              <w:left w:val="single" w:sz="8" w:color="auto"/>
              <w:bottom w:val="single" w:sz="8" w:color="auto"/>
              <w:right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(upon sale)</w:t>
            </w:r>
          </w:p>
        </w:tc>
        <w:tc>
          <w:tcPr>
            <w:tcW w:w="2400" w:type="dxa"/>
            <w:vAlign w:val="bottom"/>
            <w:tcBorders>
              <w:bottom w:val="single" w:sz="8" w:color="auto"/>
              <w:right w:val="single" w:sz="8" w:color="auto"/>
            </w:tcBorders>
          </w:tcPr>
          <w:p>
            <w:pPr>
              <w:spacing w:after="0"/>
              <w:rPr>
                <w:sz w:val="20"/>
                <w:szCs w:val="20"/>
                <w:color w:val="auto"/>
              </w:rPr>
            </w:pPr>
          </w:p>
        </w:tc>
      </w:tr>
      <w:tr>
        <w:trPr>
          <w:trHeight w:val="218"/>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In connection with the conduct of any clinical testing</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Professional liability insurance (errors and omissions)</w:t>
            </w:r>
          </w:p>
        </w:tc>
        <w:tc>
          <w:tcPr>
            <w:tcW w:w="24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w:t>
            </w:r>
          </w:p>
        </w:tc>
      </w:tr>
      <w:tr>
        <w:trPr>
          <w:trHeight w:val="29"/>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bl>
    <w:p>
      <w:pPr>
        <w:spacing w:after="0" w:line="231" w:lineRule="exact"/>
        <w:rPr>
          <w:sz w:val="20"/>
          <w:szCs w:val="20"/>
          <w:color w:val="auto"/>
        </w:rPr>
      </w:pPr>
    </w:p>
    <w:p>
      <w:pPr>
        <w:ind w:left="1460" w:right="20" w:hanging="549"/>
        <w:spacing w:after="0" w:line="283" w:lineRule="auto"/>
        <w:tabs>
          <w:tab w:leader="none" w:pos="14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Upon commencement of coverage (as required above) and thereafter annually upon renewal, the Licensee shall provide the Licensor with written evidence of insurance.</w:t>
      </w:r>
    </w:p>
    <w:p>
      <w:pPr>
        <w:spacing w:after="0" w:line="199" w:lineRule="exact"/>
        <w:rPr>
          <w:rFonts w:ascii="Arial" w:cs="Arial" w:eastAsia="Arial" w:hAnsi="Arial"/>
          <w:sz w:val="16"/>
          <w:szCs w:val="16"/>
          <w:color w:val="auto"/>
        </w:rPr>
      </w:pPr>
    </w:p>
    <w:p>
      <w:pPr>
        <w:jc w:val="both"/>
        <w:ind w:left="1460" w:right="20" w:hanging="549"/>
        <w:spacing w:after="0" w:line="263" w:lineRule="auto"/>
        <w:tabs>
          <w:tab w:leader="none" w:pos="14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Such insurance shall list the Licensor as a named insured and additional insured. All policies shall be endorsed to indicate that they provide primary coverage without right of contribution by any insurance carrier or self-insured by the Licensor. A waiver of subrogation in favour of the indemnitees shall also be endorsed to the policies. If such coverage is not written on an “occurrence” basis (i.e., it is written on a “claims made” basis), the Licensee shall maintain such insurance coverage during the term of this Agreement and for five (5) years thereafter.</w:t>
      </w:r>
    </w:p>
    <w:p>
      <w:pPr>
        <w:spacing w:after="0" w:line="216" w:lineRule="exact"/>
        <w:rPr>
          <w:rFonts w:ascii="Arial" w:cs="Arial" w:eastAsia="Arial" w:hAnsi="Arial"/>
          <w:sz w:val="16"/>
          <w:szCs w:val="16"/>
          <w:color w:val="auto"/>
        </w:rPr>
      </w:pPr>
    </w:p>
    <w:p>
      <w:pPr>
        <w:jc w:val="both"/>
        <w:ind w:left="1460" w:right="20" w:hanging="549"/>
        <w:spacing w:after="0" w:line="268" w:lineRule="auto"/>
        <w:tabs>
          <w:tab w:leader="none" w:pos="14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For purposes of this Clause, references to the “Licensee” shall include any Affiliate of the Licensee to which the Licensee grants a sublicense hereunder or to which it otherwise delegates any of the Licensee’s obligations hereunder, and the Licensee shall ensure that the foregoing insurance obligations shall apply to any such Affiliate.</w:t>
      </w:r>
    </w:p>
    <w:p>
      <w:pPr>
        <w:spacing w:after="0" w:line="20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auto"/>
        </w:rPr>
        <w:t>Consideration</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u w:val="single" w:color="auto"/>
          <w:color w:val="auto"/>
        </w:rPr>
        <w:t>Licence Fee</w:t>
      </w:r>
      <w:r>
        <w:rPr>
          <w:rFonts w:ascii="Arial" w:cs="Arial" w:eastAsia="Arial" w:hAnsi="Arial"/>
          <w:sz w:val="14"/>
          <w:szCs w:val="14"/>
          <w:color w:val="auto"/>
        </w:rPr>
        <w:t>. In partial consideration of the rights granted under this Agreement, the Licensee shall pay to the Licensor the following licence issue fee</w:t>
      </w:r>
    </w:p>
    <w:p>
      <w:pPr>
        <w:spacing w:after="0" w:line="247" w:lineRule="exact"/>
        <w:rPr>
          <w:sz w:val="20"/>
          <w:szCs w:val="20"/>
          <w:color w:val="auto"/>
        </w:rPr>
      </w:pPr>
    </w:p>
    <w:tbl>
      <w:tblPr>
        <w:tblLayout w:type="fixed"/>
        <w:tblInd w:w="1730" w:type="dxa"/>
        <w:tblCellMar>
          <w:top w:w="0" w:type="dxa"/>
          <w:left w:w="0" w:type="dxa"/>
          <w:bottom w:w="0" w:type="dxa"/>
          <w:right w:w="0" w:type="dxa"/>
        </w:tblCellMar>
      </w:tblPr>
      <w:tr>
        <w:trPr>
          <w:trHeight w:val="277"/>
        </w:trPr>
        <w:tc>
          <w:tcPr>
            <w:tcW w:w="6820" w:type="dxa"/>
            <w:vAlign w:val="bottom"/>
            <w:tcBorders>
              <w:top w:val="single" w:sz="8" w:color="auto"/>
              <w:left w:val="single" w:sz="8" w:color="auto"/>
              <w:bottom w:val="single" w:sz="8" w:color="EEECE1"/>
              <w:right w:val="single" w:sz="8" w:color="auto"/>
            </w:tcBorders>
            <w:shd w:val="clear" w:color="auto" w:fill="EEECE1"/>
          </w:tcPr>
          <w:p>
            <w:pPr>
              <w:ind w:left="3200"/>
              <w:spacing w:after="0"/>
              <w:rPr>
                <w:sz w:val="20"/>
                <w:szCs w:val="20"/>
                <w:color w:val="auto"/>
              </w:rPr>
            </w:pPr>
            <w:r>
              <w:rPr>
                <w:rFonts w:ascii="Arial" w:cs="Arial" w:eastAsia="Arial" w:hAnsi="Arial"/>
                <w:sz w:val="16"/>
                <w:szCs w:val="16"/>
                <w:b w:val="1"/>
                <w:bCs w:val="1"/>
                <w:color w:val="auto"/>
              </w:rPr>
              <w:t>Event</w:t>
            </w:r>
          </w:p>
        </w:tc>
        <w:tc>
          <w:tcPr>
            <w:tcW w:w="1180" w:type="dxa"/>
            <w:vAlign w:val="bottom"/>
            <w:tcBorders>
              <w:top w:val="single" w:sz="8" w:color="auto"/>
              <w:bottom w:val="single" w:sz="8" w:color="EEECE1"/>
              <w:right w:val="single" w:sz="8" w:color="auto"/>
            </w:tcBorders>
            <w:shd w:val="clear" w:color="auto" w:fill="EEECE1"/>
          </w:tcPr>
          <w:p>
            <w:pPr>
              <w:jc w:val="right"/>
              <w:ind w:right="219"/>
              <w:spacing w:after="0"/>
              <w:rPr>
                <w:sz w:val="20"/>
                <w:szCs w:val="20"/>
                <w:color w:val="auto"/>
              </w:rPr>
            </w:pPr>
            <w:r>
              <w:rPr>
                <w:rFonts w:ascii="Arial" w:cs="Arial" w:eastAsia="Arial" w:hAnsi="Arial"/>
                <w:sz w:val="16"/>
                <w:szCs w:val="16"/>
                <w:b w:val="1"/>
                <w:bCs w:val="1"/>
                <w:color w:val="auto"/>
              </w:rPr>
              <w:t>Payment</w:t>
            </w:r>
          </w:p>
        </w:tc>
      </w:tr>
      <w:tr>
        <w:trPr>
          <w:trHeight w:val="218"/>
        </w:trPr>
        <w:tc>
          <w:tcPr>
            <w:tcW w:w="68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first anniversary of the Effective Date</w:t>
            </w:r>
          </w:p>
        </w:tc>
        <w:tc>
          <w:tcPr>
            <w:tcW w:w="1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
        </w:trPr>
        <w:tc>
          <w:tcPr>
            <w:tcW w:w="68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license issue fee payment is non-refundable and is not creditable against any other payments due to the Licensor under this Agreement.</w:t>
      </w: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u w:val="single" w:color="auto"/>
          <w:color w:val="auto"/>
        </w:rPr>
        <w:t>Maintenance Fees</w:t>
      </w:r>
      <w:r>
        <w:rPr>
          <w:rFonts w:ascii="Arial" w:cs="Arial" w:eastAsia="Arial" w:hAnsi="Arial"/>
          <w:sz w:val="14"/>
          <w:szCs w:val="14"/>
          <w:color w:val="auto"/>
        </w:rPr>
        <w:t>. The Licensee shall pay to the Licensor the following licence maintenance fees:</w:t>
      </w:r>
    </w:p>
    <w:p>
      <w:pPr>
        <w:spacing w:after="0" w:line="247" w:lineRule="exact"/>
        <w:rPr>
          <w:sz w:val="20"/>
          <w:szCs w:val="20"/>
          <w:color w:val="auto"/>
        </w:rPr>
      </w:pPr>
    </w:p>
    <w:tbl>
      <w:tblPr>
        <w:tblLayout w:type="fixed"/>
        <w:tblInd w:w="1730" w:type="dxa"/>
        <w:tblCellMar>
          <w:top w:w="0" w:type="dxa"/>
          <w:left w:w="0" w:type="dxa"/>
          <w:bottom w:w="0" w:type="dxa"/>
          <w:right w:w="0" w:type="dxa"/>
        </w:tblCellMar>
      </w:tblPr>
      <w:tr>
        <w:trPr>
          <w:trHeight w:val="277"/>
        </w:trPr>
        <w:tc>
          <w:tcPr>
            <w:tcW w:w="6760" w:type="dxa"/>
            <w:vAlign w:val="bottom"/>
            <w:tcBorders>
              <w:top w:val="single" w:sz="8" w:color="auto"/>
              <w:left w:val="single" w:sz="8" w:color="auto"/>
              <w:bottom w:val="single" w:sz="8" w:color="EEECE1"/>
              <w:right w:val="single" w:sz="8" w:color="auto"/>
            </w:tcBorders>
            <w:shd w:val="clear" w:color="auto" w:fill="EEECE1"/>
          </w:tcPr>
          <w:p>
            <w:pPr>
              <w:ind w:left="3160"/>
              <w:spacing w:after="0"/>
              <w:rPr>
                <w:sz w:val="20"/>
                <w:szCs w:val="20"/>
                <w:color w:val="auto"/>
              </w:rPr>
            </w:pPr>
            <w:r>
              <w:rPr>
                <w:rFonts w:ascii="Arial" w:cs="Arial" w:eastAsia="Arial" w:hAnsi="Arial"/>
                <w:sz w:val="16"/>
                <w:szCs w:val="16"/>
                <w:b w:val="1"/>
                <w:bCs w:val="1"/>
                <w:color w:val="auto"/>
              </w:rPr>
              <w:t>Event</w:t>
            </w:r>
          </w:p>
        </w:tc>
        <w:tc>
          <w:tcPr>
            <w:tcW w:w="1240" w:type="dxa"/>
            <w:vAlign w:val="bottom"/>
            <w:tcBorders>
              <w:top w:val="single" w:sz="8" w:color="auto"/>
              <w:bottom w:val="single" w:sz="8" w:color="EEECE1"/>
              <w:right w:val="single" w:sz="8" w:color="auto"/>
            </w:tcBorders>
            <w:shd w:val="clear" w:color="auto" w:fill="EEECE1"/>
          </w:tcPr>
          <w:p>
            <w:pPr>
              <w:jc w:val="right"/>
              <w:ind w:right="259"/>
              <w:spacing w:after="0"/>
              <w:rPr>
                <w:sz w:val="20"/>
                <w:szCs w:val="20"/>
                <w:color w:val="auto"/>
              </w:rPr>
            </w:pPr>
            <w:r>
              <w:rPr>
                <w:rFonts w:ascii="Arial" w:cs="Arial" w:eastAsia="Arial" w:hAnsi="Arial"/>
                <w:sz w:val="16"/>
                <w:szCs w:val="16"/>
                <w:b w:val="1"/>
                <w:bCs w:val="1"/>
                <w:color w:val="auto"/>
              </w:rPr>
              <w:t>Payment</w:t>
            </w:r>
          </w:p>
        </w:tc>
      </w:tr>
      <w:tr>
        <w:trPr>
          <w:trHeight w:val="218"/>
        </w:trPr>
        <w:tc>
          <w:tcPr>
            <w:tcW w:w="6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each anniversary of the Effective Date</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
        </w:trPr>
        <w:tc>
          <w:tcPr>
            <w:tcW w:w="676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license maintenance fee payments are non-refundable and are not creditable against any other payments due to the Licensor under this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03" w:name="page404"/>
    <w:bookmarkEnd w:id="403"/>
    <w:p>
      <w:pPr>
        <w:spacing w:after="0"/>
        <w:tabs>
          <w:tab w:leader="none" w:pos="42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4"/>
          <w:szCs w:val="14"/>
          <w:u w:val="single" w:color="auto"/>
          <w:color w:val="auto"/>
        </w:rPr>
        <w:t>Milestone Payments</w:t>
      </w:r>
      <w:r>
        <w:rPr>
          <w:rFonts w:ascii="Arial" w:cs="Arial" w:eastAsia="Arial" w:hAnsi="Arial"/>
          <w:sz w:val="14"/>
          <w:szCs w:val="14"/>
          <w:color w:val="auto"/>
        </w:rPr>
        <w:t>. The Licensee shall pay to the Licensor the following milestone payments: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0300" w:type="dxa"/>
            <w:vAlign w:val="bottom"/>
            <w:tcBorders>
              <w:top w:val="single" w:sz="8" w:color="auto"/>
              <w:left w:val="single" w:sz="8" w:color="auto"/>
              <w:bottom w:val="single" w:sz="8" w:color="EEECE1"/>
              <w:right w:val="single" w:sz="8" w:color="auto"/>
            </w:tcBorders>
            <w:shd w:val="clear" w:color="auto" w:fill="EEECE1"/>
          </w:tcPr>
          <w:p>
            <w:pPr>
              <w:ind w:left="4940"/>
              <w:spacing w:after="0"/>
              <w:rPr>
                <w:sz w:val="20"/>
                <w:szCs w:val="20"/>
                <w:color w:val="auto"/>
              </w:rPr>
            </w:pPr>
            <w:r>
              <w:rPr>
                <w:rFonts w:ascii="Arial" w:cs="Arial" w:eastAsia="Arial" w:hAnsi="Arial"/>
                <w:sz w:val="16"/>
                <w:szCs w:val="16"/>
                <w:b w:val="1"/>
                <w:bCs w:val="1"/>
                <w:color w:val="auto"/>
              </w:rPr>
              <w:t>Event</w:t>
            </w:r>
          </w:p>
        </w:tc>
        <w:tc>
          <w:tcPr>
            <w:tcW w:w="1140" w:type="dxa"/>
            <w:vAlign w:val="bottom"/>
            <w:tcBorders>
              <w:top w:val="single" w:sz="8" w:color="auto"/>
              <w:bottom w:val="single" w:sz="8" w:color="EEECE1"/>
              <w:right w:val="single" w:sz="8" w:color="auto"/>
            </w:tcBorders>
            <w:shd w:val="clear" w:color="auto" w:fill="EEECE1"/>
          </w:tcPr>
          <w:p>
            <w:pPr>
              <w:jc w:val="right"/>
              <w:ind w:right="199"/>
              <w:spacing w:after="0"/>
              <w:rPr>
                <w:sz w:val="20"/>
                <w:szCs w:val="20"/>
                <w:color w:val="auto"/>
              </w:rPr>
            </w:pPr>
            <w:r>
              <w:rPr>
                <w:rFonts w:ascii="Arial" w:cs="Arial" w:eastAsia="Arial" w:hAnsi="Arial"/>
                <w:sz w:val="16"/>
                <w:szCs w:val="16"/>
                <w:b w:val="1"/>
                <w:bCs w:val="1"/>
                <w:color w:val="auto"/>
              </w:rPr>
              <w:t>Payment</w:t>
            </w:r>
          </w:p>
        </w:tc>
      </w:tr>
      <w:tr>
        <w:trPr>
          <w:trHeight w:val="218"/>
        </w:trPr>
        <w:tc>
          <w:tcPr>
            <w:tcW w:w="10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initiation of first Phase III Clinical Trial of a Licensed Product (initiation being first dose of first patient)</w:t>
            </w:r>
          </w:p>
        </w:tc>
        <w:tc>
          <w:tcPr>
            <w:tcW w:w="11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
        </w:trPr>
        <w:tc>
          <w:tcPr>
            <w:tcW w:w="103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18"/>
        </w:trPr>
        <w:tc>
          <w:tcPr>
            <w:tcW w:w="10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approval of first Licensed Product for a first indication</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
        </w:trPr>
        <w:tc>
          <w:tcPr>
            <w:tcW w:w="103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48"/>
        </w:trPr>
        <w:tc>
          <w:tcPr>
            <w:tcW w:w="10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first commercial sale of a first Licensed Product following approval for use in humans</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8"/>
        </w:trPr>
        <w:tc>
          <w:tcPr>
            <w:tcW w:w="10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 xml:space="preserve">Within </w:t>
            </w:r>
            <w:r>
              <w:rPr>
                <w:rFonts w:ascii="Arial" w:cs="Arial" w:eastAsia="Arial" w:hAnsi="Arial"/>
                <w:sz w:val="16"/>
                <w:szCs w:val="16"/>
                <w:b w:val="1"/>
                <w:bCs w:val="1"/>
                <w:color w:val="auto"/>
                <w:w w:val="96"/>
              </w:rPr>
              <w:t>[*]</w:t>
            </w:r>
            <w:r>
              <w:rPr>
                <w:rFonts w:ascii="Arial" w:cs="Arial" w:eastAsia="Arial" w:hAnsi="Arial"/>
                <w:sz w:val="16"/>
                <w:szCs w:val="16"/>
                <w:color w:val="auto"/>
                <w:w w:val="96"/>
              </w:rPr>
              <w:t xml:space="preserve"> days after the financial year end of the first financial year in which net sales of Licensed Products for use in humans achieve not less than </w:t>
            </w:r>
            <w:r>
              <w:rPr>
                <w:rFonts w:ascii="Arial" w:cs="Arial" w:eastAsia="Arial" w:hAnsi="Arial"/>
                <w:sz w:val="16"/>
                <w:szCs w:val="16"/>
                <w:b w:val="1"/>
                <w:bCs w:val="1"/>
                <w:color w:val="auto"/>
                <w:w w:val="96"/>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
        </w:trPr>
        <w:tc>
          <w:tcPr>
            <w:tcW w:w="103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milestone payments are non-refundable and are not creditable against any other payments due to the Licensor under this Agreement.</w:t>
      </w: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12.4</w:t>
      </w:r>
      <w:r>
        <w:rPr>
          <w:sz w:val="20"/>
          <w:szCs w:val="20"/>
          <w:color w:val="auto"/>
        </w:rPr>
        <w:tab/>
      </w:r>
      <w:r>
        <w:rPr>
          <w:rFonts w:ascii="Arial" w:cs="Arial" w:eastAsia="Arial" w:hAnsi="Arial"/>
          <w:sz w:val="14"/>
          <w:szCs w:val="14"/>
          <w:u w:val="single" w:color="auto"/>
          <w:color w:val="auto"/>
        </w:rPr>
        <w:t>Net Sales Royalties</w:t>
      </w:r>
      <w:r>
        <w:rPr>
          <w:rFonts w:ascii="Arial" w:cs="Arial" w:eastAsia="Arial" w:hAnsi="Arial"/>
          <w:sz w:val="14"/>
          <w:szCs w:val="14"/>
          <w:color w:val="auto"/>
        </w:rPr>
        <w:t>. The Licensee shall pay to the Licensor royalties in respect of its sales of Licensed Products as follows:</w:t>
      </w:r>
    </w:p>
    <w:p>
      <w:pPr>
        <w:spacing w:after="0" w:line="247" w:lineRule="exact"/>
        <w:rPr>
          <w:sz w:val="20"/>
          <w:szCs w:val="20"/>
          <w:color w:val="auto"/>
        </w:rPr>
      </w:pPr>
    </w:p>
    <w:tbl>
      <w:tblPr>
        <w:tblLayout w:type="fixed"/>
        <w:tblInd w:w="2870" w:type="dxa"/>
        <w:tblCellMar>
          <w:top w:w="0" w:type="dxa"/>
          <w:left w:w="0" w:type="dxa"/>
          <w:bottom w:w="0" w:type="dxa"/>
          <w:right w:w="0" w:type="dxa"/>
        </w:tblCellMar>
      </w:tblPr>
      <w:tr>
        <w:trPr>
          <w:trHeight w:val="277"/>
        </w:trPr>
        <w:tc>
          <w:tcPr>
            <w:tcW w:w="3480" w:type="dxa"/>
            <w:vAlign w:val="bottom"/>
            <w:tcBorders>
              <w:top w:val="single" w:sz="8" w:color="auto"/>
              <w:left w:val="single" w:sz="8" w:color="auto"/>
              <w:bottom w:val="single" w:sz="8" w:color="EEECE1"/>
              <w:right w:val="single" w:sz="8" w:color="auto"/>
            </w:tcBorders>
            <w:shd w:val="clear" w:color="auto" w:fill="EEECE1"/>
          </w:tcPr>
          <w:p>
            <w:pPr>
              <w:ind w:left="1420"/>
              <w:spacing w:after="0"/>
              <w:rPr>
                <w:sz w:val="20"/>
                <w:szCs w:val="20"/>
                <w:color w:val="auto"/>
              </w:rPr>
            </w:pPr>
            <w:r>
              <w:rPr>
                <w:rFonts w:ascii="Arial" w:cs="Arial" w:eastAsia="Arial" w:hAnsi="Arial"/>
                <w:sz w:val="16"/>
                <w:szCs w:val="16"/>
                <w:b w:val="1"/>
                <w:bCs w:val="1"/>
                <w:color w:val="auto"/>
              </w:rPr>
              <w:t>Net Sales</w:t>
            </w:r>
          </w:p>
        </w:tc>
        <w:tc>
          <w:tcPr>
            <w:tcW w:w="2220" w:type="dxa"/>
            <w:vAlign w:val="bottom"/>
            <w:tcBorders>
              <w:top w:val="single" w:sz="8" w:color="auto"/>
              <w:bottom w:val="single" w:sz="8" w:color="EEECE1"/>
              <w:right w:val="single" w:sz="8" w:color="auto"/>
            </w:tcBorders>
            <w:shd w:val="clear" w:color="auto" w:fill="EEECE1"/>
          </w:tcPr>
          <w:p>
            <w:pPr>
              <w:jc w:val="right"/>
              <w:ind w:right="739"/>
              <w:spacing w:after="0"/>
              <w:rPr>
                <w:sz w:val="20"/>
                <w:szCs w:val="20"/>
                <w:color w:val="auto"/>
              </w:rPr>
            </w:pPr>
            <w:r>
              <w:rPr>
                <w:rFonts w:ascii="Arial" w:cs="Arial" w:eastAsia="Arial" w:hAnsi="Arial"/>
                <w:sz w:val="16"/>
                <w:szCs w:val="16"/>
                <w:b w:val="1"/>
                <w:bCs w:val="1"/>
                <w:color w:val="auto"/>
              </w:rPr>
              <w:t>Payment</w:t>
            </w:r>
          </w:p>
        </w:tc>
      </w:tr>
      <w:tr>
        <w:trPr>
          <w:trHeight w:val="218"/>
        </w:trPr>
        <w:tc>
          <w:tcPr>
            <w:tcW w:w="3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xml:space="preserve">Net Sales in </w:t>
            </w:r>
            <w:r>
              <w:rPr>
                <w:rFonts w:ascii="Arial" w:cs="Arial" w:eastAsia="Arial" w:hAnsi="Arial"/>
                <w:sz w:val="16"/>
                <w:szCs w:val="16"/>
                <w:b w:val="1"/>
                <w:bCs w:val="1"/>
                <w:color w:val="auto"/>
              </w:rPr>
              <w:t>[*]</w:t>
            </w:r>
          </w:p>
        </w:tc>
        <w:tc>
          <w:tcPr>
            <w:tcW w:w="2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18"/>
        </w:trPr>
        <w:tc>
          <w:tcPr>
            <w:tcW w:w="3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 xml:space="preserve">Net Sales in </w:t>
            </w:r>
            <w:r>
              <w:rPr>
                <w:rFonts w:ascii="Arial" w:cs="Arial" w:eastAsia="Arial" w:hAnsi="Arial"/>
                <w:sz w:val="16"/>
                <w:szCs w:val="16"/>
                <w:b w:val="1"/>
                <w:bCs w:val="1"/>
                <w:color w:val="auto"/>
              </w:rPr>
              <w:t>[*]</w:t>
            </w:r>
          </w:p>
        </w:tc>
        <w:tc>
          <w:tcPr>
            <w:tcW w:w="22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9"/>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23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12.5</w:t>
      </w:r>
      <w:r>
        <w:rPr>
          <w:sz w:val="20"/>
          <w:szCs w:val="20"/>
          <w:color w:val="auto"/>
        </w:rPr>
        <w:tab/>
      </w:r>
      <w:r>
        <w:rPr>
          <w:rFonts w:ascii="Arial" w:cs="Arial" w:eastAsia="Arial" w:hAnsi="Arial"/>
          <w:sz w:val="14"/>
          <w:szCs w:val="14"/>
          <w:u w:val="single" w:color="auto"/>
          <w:color w:val="auto"/>
        </w:rPr>
        <w:t>Sublicense Royalties</w:t>
      </w:r>
      <w:r>
        <w:rPr>
          <w:rFonts w:ascii="Arial" w:cs="Arial" w:eastAsia="Arial" w:hAnsi="Arial"/>
          <w:sz w:val="14"/>
          <w:szCs w:val="14"/>
          <w:color w:val="auto"/>
        </w:rPr>
        <w:t>. The Licensee shall pay to the Licensor royalties in respect of sales of Licensed Products by each Sublicensee as follows:</w:t>
      </w:r>
    </w:p>
    <w:p>
      <w:pPr>
        <w:spacing w:after="0" w:line="254" w:lineRule="exact"/>
        <w:rPr>
          <w:sz w:val="20"/>
          <w:szCs w:val="20"/>
          <w:color w:val="auto"/>
        </w:rPr>
      </w:pPr>
    </w:p>
    <w:p>
      <w:pPr>
        <w:ind w:left="900" w:hanging="452"/>
        <w:spacing w:after="0"/>
        <w:tabs>
          <w:tab w:leader="none" w:pos="90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greater of:</w:t>
      </w:r>
    </w:p>
    <w:p>
      <w:pPr>
        <w:spacing w:after="0" w:line="250" w:lineRule="exact"/>
        <w:rPr>
          <w:rFonts w:ascii="Arial" w:cs="Arial" w:eastAsia="Arial" w:hAnsi="Arial"/>
          <w:sz w:val="16"/>
          <w:szCs w:val="16"/>
          <w:color w:val="auto"/>
        </w:rPr>
      </w:pPr>
    </w:p>
    <w:p>
      <w:pPr>
        <w:ind w:left="1460" w:hanging="549"/>
        <w:spacing w:after="0"/>
        <w:tabs>
          <w:tab w:leader="none" w:pos="1460" w:val="left"/>
        </w:tabs>
        <w:numPr>
          <w:ilvl w:val="1"/>
          <w:numId w:val="392"/>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54" w:lineRule="exact"/>
        <w:rPr>
          <w:rFonts w:ascii="Arial" w:cs="Arial" w:eastAsia="Arial" w:hAnsi="Arial"/>
          <w:sz w:val="16"/>
          <w:szCs w:val="16"/>
          <w:color w:val="auto"/>
        </w:rPr>
      </w:pPr>
    </w:p>
    <w:p>
      <w:pPr>
        <w:ind w:left="1460" w:hanging="549"/>
        <w:spacing w:after="0"/>
        <w:tabs>
          <w:tab w:leader="none" w:pos="1460" w:val="left"/>
        </w:tabs>
        <w:numPr>
          <w:ilvl w:val="1"/>
          <w:numId w:val="392"/>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58" w:lineRule="exact"/>
        <w:rPr>
          <w:rFonts w:ascii="Arial" w:cs="Arial" w:eastAsia="Arial" w:hAnsi="Arial"/>
          <w:sz w:val="16"/>
          <w:szCs w:val="16"/>
          <w:color w:val="auto"/>
        </w:rPr>
      </w:pPr>
    </w:p>
    <w:p>
      <w:pPr>
        <w:ind w:left="900" w:hanging="452"/>
        <w:spacing w:after="0"/>
        <w:tabs>
          <w:tab w:leader="none" w:pos="90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greater of:</w:t>
      </w:r>
    </w:p>
    <w:p>
      <w:pPr>
        <w:spacing w:after="0" w:line="250" w:lineRule="exact"/>
        <w:rPr>
          <w:rFonts w:ascii="Arial" w:cs="Arial" w:eastAsia="Arial" w:hAnsi="Arial"/>
          <w:sz w:val="16"/>
          <w:szCs w:val="16"/>
          <w:color w:val="auto"/>
        </w:rPr>
      </w:pPr>
    </w:p>
    <w:p>
      <w:pPr>
        <w:ind w:left="1460" w:hanging="549"/>
        <w:spacing w:after="0"/>
        <w:tabs>
          <w:tab w:leader="none" w:pos="1460" w:val="left"/>
        </w:tabs>
        <w:numPr>
          <w:ilvl w:val="1"/>
          <w:numId w:val="392"/>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54" w:lineRule="exact"/>
        <w:rPr>
          <w:rFonts w:ascii="Arial" w:cs="Arial" w:eastAsia="Arial" w:hAnsi="Arial"/>
          <w:sz w:val="16"/>
          <w:szCs w:val="16"/>
          <w:color w:val="auto"/>
        </w:rPr>
      </w:pPr>
    </w:p>
    <w:p>
      <w:pPr>
        <w:ind w:left="1460" w:hanging="549"/>
        <w:spacing w:after="0"/>
        <w:tabs>
          <w:tab w:leader="none" w:pos="1460" w:val="left"/>
        </w:tabs>
        <w:numPr>
          <w:ilvl w:val="1"/>
          <w:numId w:val="392"/>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58" w:lineRule="exact"/>
        <w:rPr>
          <w:sz w:val="20"/>
          <w:szCs w:val="20"/>
          <w:color w:val="auto"/>
        </w:rPr>
      </w:pPr>
    </w:p>
    <w:p>
      <w:pPr>
        <w:jc w:val="both"/>
        <w:ind w:left="440" w:right="20" w:hanging="450"/>
        <w:spacing w:after="0" w:line="261" w:lineRule="auto"/>
        <w:tabs>
          <w:tab w:leader="none" w:pos="42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In order that the royalty rates in Clause 4.5 in respect of sales of Licensed Products by each Sublicensee shall not be circumvented, if a Sublicensee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or affiliated party acquires Control of the Licensee, and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months the Sublicense previously held by such Sublicensee is terminated, then with effect from the date of termination of the Sublicense the royalty rates payable by the Licensee to the Licensor pursuant to Clause 4.4 in respect of those sales of Licensed Products which would otherwise have been sold pursuant to the applicable Sublicense shall be adjusted to such rate as preserves the effective royalty rate to which the Licensor was entitled immediately prior to termination of the Sublicense.</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12.7</w:t>
      </w:r>
      <w:r>
        <w:rPr>
          <w:sz w:val="20"/>
          <w:szCs w:val="20"/>
          <w:color w:val="auto"/>
        </w:rPr>
        <w:tab/>
      </w:r>
      <w:r>
        <w:rPr>
          <w:rFonts w:ascii="Arial" w:cs="Arial" w:eastAsia="Arial" w:hAnsi="Arial"/>
          <w:sz w:val="14"/>
          <w:szCs w:val="14"/>
          <w:u w:val="single" w:color="auto"/>
          <w:color w:val="auto"/>
        </w:rPr>
        <w:t>No Multiple Royalties</w:t>
      </w:r>
      <w:r>
        <w:rPr>
          <w:rFonts w:ascii="Arial" w:cs="Arial" w:eastAsia="Arial" w:hAnsi="Arial"/>
          <w:sz w:val="14"/>
          <w:szCs w:val="14"/>
          <w:color w:val="auto"/>
        </w:rPr>
        <w:t>. No multiple royalties shall be payable because any Licensed Product is covered by more than one Licensed Patent.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04" w:name="page405"/>
    <w:bookmarkEnd w:id="404"/>
    <w:p>
      <w:pPr>
        <w:jc w:val="both"/>
        <w:ind w:left="440" w:right="20" w:hanging="450"/>
        <w:spacing w:after="0" w:line="263" w:lineRule="auto"/>
        <w:tabs>
          <w:tab w:leader="none" w:pos="420" w:val="left"/>
        </w:tabs>
        <w:rPr>
          <w:sz w:val="20"/>
          <w:szCs w:val="20"/>
          <w:color w:val="auto"/>
        </w:rPr>
      </w:pPr>
      <w:r>
        <w:rPr>
          <w:rFonts w:ascii="Arial" w:cs="Arial" w:eastAsia="Arial" w:hAnsi="Arial"/>
          <w:sz w:val="16"/>
          <w:szCs w:val="16"/>
          <w:color w:val="auto"/>
        </w:rPr>
        <w:t>12.8</w:t>
      </w:r>
      <w:r>
        <w:rPr>
          <w:sz w:val="20"/>
          <w:szCs w:val="20"/>
          <w:color w:val="auto"/>
        </w:rPr>
        <w:tab/>
      </w:r>
      <w:r>
        <w:rPr>
          <w:rFonts w:ascii="Arial" w:cs="Arial" w:eastAsia="Arial" w:hAnsi="Arial"/>
          <w:sz w:val="16"/>
          <w:szCs w:val="16"/>
          <w:u w:val="single" w:color="auto"/>
          <w:color w:val="auto"/>
        </w:rPr>
        <w:t>Buy Out</w:t>
      </w:r>
      <w:r>
        <w:rPr>
          <w:rFonts w:ascii="Arial" w:cs="Arial" w:eastAsia="Arial" w:hAnsi="Arial"/>
          <w:sz w:val="16"/>
          <w:szCs w:val="16"/>
          <w:color w:val="auto"/>
        </w:rPr>
        <w:t>. The Licensor shall give reasonable consideration to any proposal by the Licensee (or its assignee or successor) for a one-time lump sum payment in full</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consideration of all future payment obligations to the Licensor under this Agreement, including, without limitation, royalties, milestone payments, license maintenance fees and manufacturing royalties; provided, however that the Licensor shall have the right in its sole discretion to reject any and all proposals for any reason whatsoever or for no reason at all.</w:t>
      </w:r>
    </w:p>
    <w:p>
      <w:pPr>
        <w:spacing w:after="0" w:line="212"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6"/>
          <w:szCs w:val="16"/>
          <w:b w:val="1"/>
          <w:bCs w:val="1"/>
          <w:color w:val="auto"/>
        </w:rPr>
        <w:t>Royalty Reports; Payments; Records</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u w:val="single" w:color="auto"/>
          <w:color w:val="auto"/>
        </w:rPr>
        <w:t>First Sale</w:t>
      </w:r>
      <w:r>
        <w:rPr>
          <w:rFonts w:ascii="Arial" w:cs="Arial" w:eastAsia="Arial" w:hAnsi="Arial"/>
          <w:sz w:val="14"/>
          <w:szCs w:val="14"/>
          <w:color w:val="auto"/>
        </w:rPr>
        <w:t>. The Licensee shall report to the Licensor the date of:</w:t>
      </w:r>
    </w:p>
    <w:p>
      <w:pPr>
        <w:spacing w:after="0" w:line="250" w:lineRule="exact"/>
        <w:rPr>
          <w:sz w:val="20"/>
          <w:szCs w:val="20"/>
          <w:color w:val="auto"/>
        </w:rPr>
      </w:pPr>
    </w:p>
    <w:p>
      <w:pPr>
        <w:ind w:left="900" w:hanging="452"/>
        <w:spacing w:after="0"/>
        <w:tabs>
          <w:tab w:leader="none" w:pos="900" w:val="left"/>
        </w:tabs>
        <w:numPr>
          <w:ilvl w:val="0"/>
          <w:numId w:val="393"/>
        </w:numPr>
        <w:rPr>
          <w:rFonts w:ascii="Arial" w:cs="Arial" w:eastAsia="Arial" w:hAnsi="Arial"/>
          <w:sz w:val="15"/>
          <w:szCs w:val="15"/>
          <w:color w:val="auto"/>
        </w:rPr>
      </w:pPr>
      <w:r>
        <w:rPr>
          <w:rFonts w:ascii="Arial" w:cs="Arial" w:eastAsia="Arial" w:hAnsi="Arial"/>
          <w:sz w:val="15"/>
          <w:szCs w:val="15"/>
          <w:color w:val="auto"/>
        </w:rPr>
        <w:t xml:space="preserve">First manufacture and supply of KODE™ Constructs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days after occurrence by the Licensee and by each Authorised Manufacturer &amp; Supplier; and</w:t>
      </w:r>
    </w:p>
    <w:p>
      <w:pPr>
        <w:spacing w:after="0" w:line="265" w:lineRule="exact"/>
        <w:rPr>
          <w:rFonts w:ascii="Arial" w:cs="Arial" w:eastAsia="Arial" w:hAnsi="Arial"/>
          <w:sz w:val="15"/>
          <w:szCs w:val="15"/>
          <w:color w:val="auto"/>
        </w:rPr>
      </w:pPr>
    </w:p>
    <w:p>
      <w:pPr>
        <w:ind w:right="280" w:firstLine="448"/>
        <w:spacing w:after="0" w:line="571" w:lineRule="auto"/>
        <w:tabs>
          <w:tab w:leader="none" w:pos="901"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First commercial sale (whether by the Licensee, or its Affiliate or any Sublicensee) of each Licensed Product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occurrence in each country. 13.2 </w:t>
      </w:r>
      <w:r>
        <w:rPr>
          <w:rFonts w:ascii="Arial" w:cs="Arial" w:eastAsia="Arial" w:hAnsi="Arial"/>
          <w:sz w:val="16"/>
          <w:szCs w:val="16"/>
          <w:u w:val="single" w:color="auto"/>
          <w:color w:val="auto"/>
        </w:rPr>
        <w:t>Reports and Payments</w:t>
      </w:r>
      <w:r>
        <w:rPr>
          <w:rFonts w:ascii="Arial" w:cs="Arial" w:eastAsia="Arial" w:hAnsi="Arial"/>
          <w:sz w:val="16"/>
          <w:szCs w:val="16"/>
          <w:color w:val="auto"/>
        </w:rPr>
        <w:t>.</w:t>
      </w:r>
    </w:p>
    <w:p>
      <w:pPr>
        <w:spacing w:after="0" w:line="1" w:lineRule="exact"/>
        <w:rPr>
          <w:sz w:val="20"/>
          <w:szCs w:val="20"/>
          <w:color w:val="auto"/>
        </w:rPr>
      </w:pPr>
    </w:p>
    <w:p>
      <w:pPr>
        <w:ind w:left="900" w:hanging="452"/>
        <w:spacing w:after="0"/>
        <w:tabs>
          <w:tab w:leader="none" w:pos="90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conclusion of each Royalty Period, the Licensee shall deliver to the Licensor a report containing the following information:</w:t>
      </w:r>
    </w:p>
    <w:p>
      <w:pPr>
        <w:spacing w:after="0" w:line="258" w:lineRule="exact"/>
        <w:rPr>
          <w:rFonts w:ascii="Arial" w:cs="Arial" w:eastAsia="Arial" w:hAnsi="Arial"/>
          <w:sz w:val="16"/>
          <w:szCs w:val="16"/>
          <w:color w:val="auto"/>
        </w:rPr>
      </w:pPr>
    </w:p>
    <w:p>
      <w:pPr>
        <w:jc w:val="both"/>
        <w:ind w:left="1360" w:hanging="449"/>
        <w:spacing w:after="0" w:line="268" w:lineRule="auto"/>
        <w:tabs>
          <w:tab w:leader="none" w:pos="136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With regard to KODE™ Constructs acquired, the identity of the Authorised KODE™ Construct Manufacturer &amp; Supplier(s) and the volumes of KODE™ Construct purchased, and the Licensor will promptly thereafter provide such information as reasonably required to verify its margin royalty in respect of such supplies;</w:t>
      </w:r>
    </w:p>
    <w:p>
      <w:pPr>
        <w:spacing w:after="0" w:line="211" w:lineRule="exact"/>
        <w:rPr>
          <w:rFonts w:ascii="Arial" w:cs="Arial" w:eastAsia="Arial" w:hAnsi="Arial"/>
          <w:sz w:val="16"/>
          <w:szCs w:val="16"/>
          <w:color w:val="auto"/>
        </w:rPr>
      </w:pPr>
    </w:p>
    <w:p>
      <w:pPr>
        <w:ind w:left="1360" w:hanging="449"/>
        <w:spacing w:after="0"/>
        <w:tabs>
          <w:tab w:leader="none" w:pos="136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With regard to the royalties payable in respect of Licensed Products:</w:t>
      </w:r>
    </w:p>
    <w:p>
      <w:pPr>
        <w:spacing w:after="0" w:line="290"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4"/>
          <w:szCs w:val="14"/>
          <w:color w:val="auto"/>
        </w:rPr>
        <w:t>the number of Licensed Products sold to independent third parties in each country;</w:t>
      </w:r>
    </w:p>
    <w:p>
      <w:pPr>
        <w:spacing w:after="0" w:line="266"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B</w:t>
      </w:r>
      <w:r>
        <w:rPr>
          <w:rFonts w:ascii="Arial" w:cs="Arial" w:eastAsia="Arial" w:hAnsi="Arial"/>
          <w:sz w:val="14"/>
          <w:szCs w:val="14"/>
          <w:color w:val="auto"/>
        </w:rPr>
        <w:t>the gross sales price for each Licensed Product by the Licensee and its Affiliates during the applicable Royalty Period in each country;</w:t>
      </w:r>
    </w:p>
    <w:p>
      <w:pPr>
        <w:spacing w:after="0" w:line="254" w:lineRule="exact"/>
        <w:rPr>
          <w:rFonts w:ascii="Arial" w:cs="Arial" w:eastAsia="Arial" w:hAnsi="Arial"/>
          <w:sz w:val="16"/>
          <w:szCs w:val="16"/>
          <w:color w:val="auto"/>
        </w:rPr>
      </w:pPr>
    </w:p>
    <w:p>
      <w:pPr>
        <w:ind w:left="1820" w:right="860" w:hanging="451"/>
        <w:spacing w:after="0" w:line="283" w:lineRule="auto"/>
        <w:rPr>
          <w:rFonts w:ascii="Arial" w:cs="Arial" w:eastAsia="Arial" w:hAnsi="Arial"/>
          <w:sz w:val="16"/>
          <w:szCs w:val="16"/>
          <w:color w:val="auto"/>
        </w:rPr>
      </w:pPr>
      <w:r>
        <w:rPr>
          <w:rFonts w:ascii="Arial" w:cs="Arial" w:eastAsia="Arial" w:hAnsi="Arial"/>
          <w:sz w:val="16"/>
          <w:szCs w:val="16"/>
          <w:color w:val="auto"/>
        </w:rPr>
        <w:t>Cthe calculation of Net Sales for the applicable Royalty Period in each country, including a listing of applicable deductions with specific identification of the Russian Federation; and</w:t>
      </w:r>
    </w:p>
    <w:p>
      <w:pPr>
        <w:spacing w:after="0" w:line="199"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D</w:t>
      </w:r>
      <w:r>
        <w:rPr>
          <w:rFonts w:ascii="Arial" w:cs="Arial" w:eastAsia="Arial" w:hAnsi="Arial"/>
          <w:sz w:val="14"/>
          <w:szCs w:val="14"/>
          <w:color w:val="auto"/>
        </w:rPr>
        <w:t>total royalties payable on Net Sales in United States dollars, together with the exchange rates used for conversion; and</w:t>
      </w:r>
    </w:p>
    <w:p>
      <w:pPr>
        <w:spacing w:after="0" w:line="254" w:lineRule="exact"/>
        <w:rPr>
          <w:rFonts w:ascii="Arial" w:cs="Arial" w:eastAsia="Arial" w:hAnsi="Arial"/>
          <w:sz w:val="16"/>
          <w:szCs w:val="16"/>
          <w:color w:val="auto"/>
        </w:rPr>
      </w:pPr>
    </w:p>
    <w:p>
      <w:pPr>
        <w:ind w:left="1360" w:hanging="449"/>
        <w:spacing w:after="0"/>
        <w:tabs>
          <w:tab w:leader="none" w:pos="136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With regard to royalties due to the Licensor in respect of Sublicenses for the applicable Royalty Period:</w:t>
      </w:r>
    </w:p>
    <w:p>
      <w:pPr>
        <w:spacing w:after="0" w:line="290"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4"/>
          <w:szCs w:val="14"/>
          <w:color w:val="auto"/>
        </w:rPr>
        <w:t>details of the identity of the Sublicensees;</w:t>
      </w:r>
    </w:p>
    <w:p>
      <w:pPr>
        <w:spacing w:after="0" w:line="266"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B</w:t>
      </w:r>
      <w:r>
        <w:rPr>
          <w:rFonts w:ascii="Arial" w:cs="Arial" w:eastAsia="Arial" w:hAnsi="Arial"/>
          <w:sz w:val="14"/>
          <w:szCs w:val="14"/>
          <w:color w:val="auto"/>
        </w:rPr>
        <w:t>the gross Sublicense Net Sales during the applicable Royalty Period;</w:t>
      </w:r>
    </w:p>
    <w:p>
      <w:pPr>
        <w:spacing w:after="0" w:line="254"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6"/>
          <w:szCs w:val="16"/>
          <w:color w:val="auto"/>
        </w:rPr>
        <w:t>C</w:t>
      </w:r>
      <w:r>
        <w:rPr>
          <w:rFonts w:ascii="Arial" w:cs="Arial" w:eastAsia="Arial" w:hAnsi="Arial"/>
          <w:sz w:val="14"/>
          <w:szCs w:val="14"/>
          <w:color w:val="auto"/>
        </w:rPr>
        <w:t>the gross Sublicense Royalties during the applicable Royalty Period; and</w:t>
      </w:r>
    </w:p>
    <w:p>
      <w:pPr>
        <w:spacing w:after="0" w:line="254" w:lineRule="exact"/>
        <w:rPr>
          <w:rFonts w:ascii="Arial" w:cs="Arial" w:eastAsia="Arial" w:hAnsi="Arial"/>
          <w:sz w:val="16"/>
          <w:szCs w:val="16"/>
          <w:color w:val="auto"/>
        </w:rPr>
      </w:pPr>
    </w:p>
    <w:p>
      <w:pPr>
        <w:ind w:left="1820" w:right="180" w:hanging="451"/>
        <w:spacing w:after="0" w:line="283" w:lineRule="auto"/>
        <w:rPr>
          <w:rFonts w:ascii="Arial" w:cs="Arial" w:eastAsia="Arial" w:hAnsi="Arial"/>
          <w:sz w:val="16"/>
          <w:szCs w:val="16"/>
          <w:color w:val="auto"/>
        </w:rPr>
      </w:pPr>
      <w:r>
        <w:rPr>
          <w:rFonts w:ascii="Arial" w:cs="Arial" w:eastAsia="Arial" w:hAnsi="Arial"/>
          <w:sz w:val="16"/>
          <w:szCs w:val="16"/>
          <w:color w:val="auto"/>
        </w:rPr>
        <w:t>Dthe calculation of the and total, amount due to the Licensor in respect of the Sublicense for the applicable Royalty Period in United States dollars, together with the exchange rates used for conversion.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05" w:name="page406"/>
    <w:bookmarkEnd w:id="405"/>
    <w:p>
      <w:pPr>
        <w:ind w:left="920" w:right="200"/>
        <w:spacing w:after="0" w:line="283" w:lineRule="auto"/>
        <w:rPr>
          <w:sz w:val="20"/>
          <w:szCs w:val="20"/>
          <w:color w:val="auto"/>
        </w:rPr>
      </w:pPr>
      <w:r>
        <w:rPr>
          <w:rFonts w:ascii="Arial" w:cs="Arial" w:eastAsia="Arial" w:hAnsi="Arial"/>
          <w:sz w:val="16"/>
          <w:szCs w:val="16"/>
          <w:color w:val="auto"/>
        </w:rPr>
        <w:t>Concurrent with this report, the Licensee shall remit to the Licensor any payment due for the applicable Royalty Period. If no amounts are due to the Licensor for any Royalty Period, the report shall so state.</w:t>
      </w:r>
    </w:p>
    <w:p>
      <w:pPr>
        <w:spacing w:after="0" w:line="199" w:lineRule="exact"/>
        <w:rPr>
          <w:sz w:val="20"/>
          <w:szCs w:val="20"/>
          <w:color w:val="auto"/>
        </w:rPr>
      </w:pPr>
    </w:p>
    <w:p>
      <w:pPr>
        <w:jc w:val="both"/>
        <w:ind w:left="440" w:hanging="450"/>
        <w:spacing w:after="0" w:line="268" w:lineRule="auto"/>
        <w:tabs>
          <w:tab w:leader="none" w:pos="42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u w:val="single" w:color="auto"/>
          <w:color w:val="auto"/>
        </w:rPr>
        <w:t>Payments in United States Dollars</w:t>
      </w:r>
      <w:r>
        <w:rPr>
          <w:rFonts w:ascii="Arial" w:cs="Arial" w:eastAsia="Arial" w:hAnsi="Arial"/>
          <w:sz w:val="16"/>
          <w:szCs w:val="16"/>
          <w:color w:val="auto"/>
        </w:rPr>
        <w:t>. The Licensee shall make all payments in United States dollars. The Licensee shall convert foreign currency to United States dollars</w:t>
      </w:r>
      <w:r>
        <w:rPr>
          <w:rFonts w:ascii="Arial" w:cs="Arial" w:eastAsia="Arial" w:hAnsi="Arial"/>
          <w:sz w:val="16"/>
          <w:szCs w:val="16"/>
          <w:u w:val="single" w:color="auto"/>
          <w:color w:val="auto"/>
        </w:rPr>
        <w:t xml:space="preserve"> </w:t>
      </w:r>
      <w:r>
        <w:rPr>
          <w:rFonts w:ascii="Arial" w:cs="Arial" w:eastAsia="Arial" w:hAnsi="Arial"/>
          <w:sz w:val="16"/>
          <w:szCs w:val="16"/>
          <w:color w:val="auto"/>
        </w:rPr>
        <w:t>at the conversion rate existing in the United States (as reported in the Wall Street Journal) on the last working day of the calendar quarter preceding the applicable Royalty Period. The Licensee may not deduct exchange, collection, or other charges.</w:t>
      </w:r>
    </w:p>
    <w:p>
      <w:pPr>
        <w:spacing w:after="0" w:line="212" w:lineRule="exact"/>
        <w:rPr>
          <w:sz w:val="20"/>
          <w:szCs w:val="20"/>
          <w:color w:val="auto"/>
        </w:rPr>
      </w:pPr>
    </w:p>
    <w:p>
      <w:pPr>
        <w:jc w:val="both"/>
        <w:ind w:left="440" w:hanging="450"/>
        <w:spacing w:after="0" w:line="260" w:lineRule="auto"/>
        <w:tabs>
          <w:tab w:leader="none" w:pos="42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u w:val="single" w:color="auto"/>
          <w:color w:val="auto"/>
        </w:rPr>
        <w:t>Payments in Other Currencies</w:t>
      </w:r>
      <w:r>
        <w:rPr>
          <w:rFonts w:ascii="Arial" w:cs="Arial" w:eastAsia="Arial" w:hAnsi="Arial"/>
          <w:sz w:val="16"/>
          <w:szCs w:val="16"/>
          <w:color w:val="auto"/>
        </w:rPr>
        <w:t>. If by law, regulation, or fiscal policy of a particular country, conversion into United States dollars or transfer of funds of a convertible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currency to the United States is restricted or forbidden, the Licensee shall give the Licensor prompt written notice of the restriction within the </w:t>
      </w:r>
      <w:r>
        <w:rPr>
          <w:rFonts w:ascii="Arial" w:cs="Arial" w:eastAsia="Arial" w:hAnsi="Arial"/>
          <w:sz w:val="16"/>
          <w:szCs w:val="16"/>
          <w:b w:val="1"/>
          <w:bCs w:val="1"/>
          <w:color w:val="auto"/>
        </w:rPr>
        <w:t>[*]</w:t>
      </w:r>
      <w:r>
        <w:rPr>
          <w:rFonts w:ascii="Arial" w:cs="Arial" w:eastAsia="Arial" w:hAnsi="Arial"/>
          <w:sz w:val="16"/>
          <w:szCs w:val="16"/>
          <w:color w:val="auto"/>
        </w:rPr>
        <w:t xml:space="preserve"> reporting and payment deadline for each Royalty Period. The Licensee shall pay any amounts due the Licensor through whatever lawful methods the Licensor reasonably designates. However, if the Licensor fails to designate a payment method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Licensor is notified of the restriction, the Licensee may deposit payment in local currency to the credit of the Licensor in a recognized banking institution selected by the Licensee and identified by written notice to the Licensor, and that deposit fulfils all obligations of the Licensee to the Licensor with respect to that payment.</w:t>
      </w:r>
    </w:p>
    <w:p>
      <w:pPr>
        <w:spacing w:after="0" w:line="217" w:lineRule="exact"/>
        <w:rPr>
          <w:sz w:val="20"/>
          <w:szCs w:val="20"/>
          <w:color w:val="auto"/>
        </w:rPr>
      </w:pPr>
    </w:p>
    <w:p>
      <w:pPr>
        <w:jc w:val="both"/>
        <w:ind w:left="440" w:hanging="450"/>
        <w:spacing w:after="0" w:line="268" w:lineRule="auto"/>
        <w:tabs>
          <w:tab w:leader="none" w:pos="42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u w:val="single" w:color="auto"/>
          <w:color w:val="auto"/>
        </w:rPr>
        <w:t>Records</w:t>
      </w:r>
      <w:r>
        <w:rPr>
          <w:rFonts w:ascii="Arial" w:cs="Arial" w:eastAsia="Arial" w:hAnsi="Arial"/>
          <w:sz w:val="16"/>
          <w:szCs w:val="16"/>
          <w:color w:val="auto"/>
        </w:rPr>
        <w:t>. The Licensee shall maintain and shall cause its Affiliates and require its Sublicensees to maintain complete and accurate records of Licensed Products that are</w:t>
      </w:r>
      <w:r>
        <w:rPr>
          <w:rFonts w:ascii="Arial" w:cs="Arial" w:eastAsia="Arial" w:hAnsi="Arial"/>
          <w:sz w:val="16"/>
          <w:szCs w:val="16"/>
          <w:u w:val="single" w:color="auto"/>
          <w:color w:val="auto"/>
        </w:rPr>
        <w:t xml:space="preserve"> </w:t>
      </w:r>
      <w:r>
        <w:rPr>
          <w:rFonts w:ascii="Arial" w:cs="Arial" w:eastAsia="Arial" w:hAnsi="Arial"/>
          <w:sz w:val="16"/>
          <w:szCs w:val="16"/>
          <w:color w:val="auto"/>
        </w:rPr>
        <w:t>made, used, or sold under this Agreement and any amounts payable to the Licensor in relation to Licensed Products with sufficient information to permit the Licensor to confirm the accuracy of any reports delivered to the Licensor under Clause 5.2.</w:t>
      </w:r>
    </w:p>
    <w:p>
      <w:pPr>
        <w:spacing w:after="0" w:line="208" w:lineRule="exact"/>
        <w:rPr>
          <w:sz w:val="20"/>
          <w:szCs w:val="20"/>
          <w:color w:val="auto"/>
        </w:rPr>
      </w:pPr>
    </w:p>
    <w:p>
      <w:pPr>
        <w:jc w:val="both"/>
        <w:ind w:left="900" w:hanging="452"/>
        <w:spacing w:after="0" w:line="271" w:lineRule="auto"/>
        <w:tabs>
          <w:tab w:leader="none" w:pos="9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The relevant party shall retain records relating to a given Royalty Period for 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years after the conclusion of that Royalty Period, during which time the Licensor may, at its expense, cause its internal accountants or an independent, certified public accountant to inspect records during normal business hours for the sole purpose of verifying any reports and payments delivered under this Agreement.</w:t>
      </w:r>
    </w:p>
    <w:p>
      <w:pPr>
        <w:spacing w:after="0" w:line="208" w:lineRule="exact"/>
        <w:rPr>
          <w:rFonts w:ascii="Arial" w:cs="Arial" w:eastAsia="Arial" w:hAnsi="Arial"/>
          <w:sz w:val="16"/>
          <w:szCs w:val="16"/>
          <w:color w:val="auto"/>
        </w:rPr>
      </w:pPr>
    </w:p>
    <w:p>
      <w:pPr>
        <w:ind w:left="900" w:hanging="452"/>
        <w:spacing w:after="0" w:line="283" w:lineRule="auto"/>
        <w:tabs>
          <w:tab w:leader="none" w:pos="9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The accountant may not disclose to the Licensor any information other than information relating to accuracy of reports and payments delivered under this Agreement.</w:t>
      </w:r>
    </w:p>
    <w:p>
      <w:pPr>
        <w:spacing w:after="0" w:line="195" w:lineRule="exact"/>
        <w:rPr>
          <w:rFonts w:ascii="Arial" w:cs="Arial" w:eastAsia="Arial" w:hAnsi="Arial"/>
          <w:sz w:val="16"/>
          <w:szCs w:val="16"/>
          <w:color w:val="auto"/>
        </w:rPr>
      </w:pPr>
    </w:p>
    <w:p>
      <w:pPr>
        <w:ind w:left="900" w:hanging="452"/>
        <w:spacing w:after="0"/>
        <w:tabs>
          <w:tab w:leader="none" w:pos="9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The Parties shall reconcile any underpayment or overpayment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accountant delivers the results of the audit.</w:t>
      </w:r>
    </w:p>
    <w:p>
      <w:pPr>
        <w:spacing w:after="0" w:line="254" w:lineRule="exact"/>
        <w:rPr>
          <w:rFonts w:ascii="Arial" w:cs="Arial" w:eastAsia="Arial" w:hAnsi="Arial"/>
          <w:sz w:val="16"/>
          <w:szCs w:val="16"/>
          <w:color w:val="auto"/>
        </w:rPr>
      </w:pPr>
    </w:p>
    <w:p>
      <w:pPr>
        <w:ind w:left="900" w:hanging="452"/>
        <w:spacing w:after="0" w:line="288" w:lineRule="auto"/>
        <w:tabs>
          <w:tab w:leader="none" w:pos="9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If any audit performed under this Clause 5.5 reveals an underpayment in excess of </w:t>
      </w:r>
      <w:r>
        <w:rPr>
          <w:rFonts w:ascii="Arial" w:cs="Arial" w:eastAsia="Arial" w:hAnsi="Arial"/>
          <w:sz w:val="16"/>
          <w:szCs w:val="16"/>
          <w:b w:val="1"/>
          <w:bCs w:val="1"/>
          <w:color w:val="auto"/>
        </w:rPr>
        <w:t>[*]</w:t>
      </w:r>
      <w:r>
        <w:rPr>
          <w:rFonts w:ascii="Arial" w:cs="Arial" w:eastAsia="Arial" w:hAnsi="Arial"/>
          <w:sz w:val="16"/>
          <w:szCs w:val="16"/>
          <w:color w:val="auto"/>
        </w:rPr>
        <w:t xml:space="preserve"> percent </w:t>
      </w:r>
      <w:r>
        <w:rPr>
          <w:rFonts w:ascii="Arial" w:cs="Arial" w:eastAsia="Arial" w:hAnsi="Arial"/>
          <w:sz w:val="16"/>
          <w:szCs w:val="16"/>
          <w:b w:val="1"/>
          <w:bCs w:val="1"/>
          <w:color w:val="auto"/>
        </w:rPr>
        <w:t>[*]</w:t>
      </w:r>
      <w:r>
        <w:rPr>
          <w:rFonts w:ascii="Arial" w:cs="Arial" w:eastAsia="Arial" w:hAnsi="Arial"/>
          <w:sz w:val="16"/>
          <w:szCs w:val="16"/>
          <w:color w:val="auto"/>
        </w:rPr>
        <w:t xml:space="preserve"> in any Royalty Period, the Licensee shall bear the full cost of the audit; if less than </w:t>
      </w:r>
      <w:r>
        <w:rPr>
          <w:rFonts w:ascii="Arial" w:cs="Arial" w:eastAsia="Arial" w:hAnsi="Arial"/>
          <w:sz w:val="16"/>
          <w:szCs w:val="16"/>
          <w:b w:val="1"/>
          <w:bCs w:val="1"/>
          <w:color w:val="auto"/>
        </w:rPr>
        <w:t>[*]</w:t>
      </w:r>
      <w:r>
        <w:rPr>
          <w:rFonts w:ascii="Arial" w:cs="Arial" w:eastAsia="Arial" w:hAnsi="Arial"/>
          <w:sz w:val="16"/>
          <w:szCs w:val="16"/>
          <w:color w:val="auto"/>
        </w:rPr>
        <w:t xml:space="preserve"> percent </w:t>
      </w:r>
      <w:r>
        <w:rPr>
          <w:rFonts w:ascii="Arial" w:cs="Arial" w:eastAsia="Arial" w:hAnsi="Arial"/>
          <w:sz w:val="16"/>
          <w:szCs w:val="16"/>
          <w:b w:val="1"/>
          <w:bCs w:val="1"/>
          <w:color w:val="auto"/>
        </w:rPr>
        <w:t>[*]</w:t>
      </w:r>
      <w:r>
        <w:rPr>
          <w:rFonts w:ascii="Arial" w:cs="Arial" w:eastAsia="Arial" w:hAnsi="Arial"/>
          <w:sz w:val="16"/>
          <w:szCs w:val="16"/>
          <w:color w:val="auto"/>
        </w:rPr>
        <w:t xml:space="preserve"> the Licensor shall bear its own costs.</w:t>
      </w:r>
    </w:p>
    <w:p>
      <w:pPr>
        <w:spacing w:after="0" w:line="195" w:lineRule="exact"/>
        <w:rPr>
          <w:rFonts w:ascii="Arial" w:cs="Arial" w:eastAsia="Arial" w:hAnsi="Arial"/>
          <w:sz w:val="16"/>
          <w:szCs w:val="16"/>
          <w:color w:val="auto"/>
        </w:rPr>
      </w:pPr>
    </w:p>
    <w:p>
      <w:pPr>
        <w:ind w:left="900" w:hanging="452"/>
        <w:spacing w:after="0"/>
        <w:tabs>
          <w:tab w:leader="none" w:pos="900" w:val="left"/>
        </w:tabs>
        <w:numPr>
          <w:ilvl w:val="0"/>
          <w:numId w:val="395"/>
        </w:numPr>
        <w:rPr>
          <w:rFonts w:ascii="Arial" w:cs="Arial" w:eastAsia="Arial" w:hAnsi="Arial"/>
          <w:sz w:val="15"/>
          <w:szCs w:val="15"/>
          <w:color w:val="auto"/>
        </w:rPr>
      </w:pPr>
      <w:r>
        <w:rPr>
          <w:rFonts w:ascii="Arial" w:cs="Arial" w:eastAsia="Arial" w:hAnsi="Arial"/>
          <w:sz w:val="15"/>
          <w:szCs w:val="15"/>
          <w:color w:val="auto"/>
        </w:rPr>
        <w:t>The Licensor may exercise its rights under this Clause 5.5 only once every year and only with reasonable prior notice to the Licensee (or other relevant party).</w:t>
      </w:r>
    </w:p>
    <w:p>
      <w:pPr>
        <w:spacing w:after="0" w:line="262" w:lineRule="exact"/>
        <w:rPr>
          <w:sz w:val="20"/>
          <w:szCs w:val="20"/>
          <w:color w:val="auto"/>
        </w:rPr>
      </w:pPr>
    </w:p>
    <w:p>
      <w:pPr>
        <w:jc w:val="both"/>
        <w:ind w:left="440" w:hanging="450"/>
        <w:spacing w:after="0" w:line="288" w:lineRule="auto"/>
        <w:tabs>
          <w:tab w:leader="none" w:pos="42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u w:val="single" w:color="auto"/>
          <w:color w:val="auto"/>
        </w:rPr>
        <w:t>Late Payments</w:t>
      </w:r>
      <w:r>
        <w:rPr>
          <w:rFonts w:ascii="Arial" w:cs="Arial" w:eastAsia="Arial" w:hAnsi="Arial"/>
          <w:sz w:val="16"/>
          <w:szCs w:val="16"/>
          <w:color w:val="auto"/>
        </w:rPr>
        <w:t>. Any payments due to the Licensor by the Licensee that are not paid on or before the date payments are due under this Agreement bear interest at</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w:t>
      </w:r>
      <w:r>
        <w:rPr>
          <w:rFonts w:ascii="Arial" w:cs="Arial" w:eastAsia="Arial" w:hAnsi="Arial"/>
          <w:sz w:val="16"/>
          <w:szCs w:val="16"/>
          <w:u w:val="single" w:color="auto"/>
          <w:color w:val="auto"/>
        </w:rPr>
        <w:t xml:space="preserve"> </w:t>
      </w:r>
      <w:r>
        <w:rPr>
          <w:rFonts w:ascii="Arial" w:cs="Arial" w:eastAsia="Arial" w:hAnsi="Arial"/>
          <w:sz w:val="16"/>
          <w:szCs w:val="16"/>
          <w:color w:val="auto"/>
        </w:rPr>
        <w:t>month, calculated on the number of days that payment is delinquent.</w:t>
      </w:r>
    </w:p>
    <w:p>
      <w:pPr>
        <w:spacing w:after="0" w:line="196" w:lineRule="exact"/>
        <w:rPr>
          <w:sz w:val="20"/>
          <w:szCs w:val="20"/>
          <w:color w:val="auto"/>
        </w:rPr>
      </w:pPr>
    </w:p>
    <w:p>
      <w:pPr>
        <w:jc w:val="both"/>
        <w:ind w:left="440" w:hanging="450"/>
        <w:spacing w:after="0" w:line="283" w:lineRule="auto"/>
        <w:tabs>
          <w:tab w:leader="none" w:pos="420" w:val="left"/>
        </w:tabs>
        <w:rPr>
          <w:sz w:val="20"/>
          <w:szCs w:val="20"/>
          <w:color w:val="auto"/>
        </w:rPr>
      </w:pPr>
      <w:r>
        <w:rPr>
          <w:rFonts w:ascii="Arial" w:cs="Arial" w:eastAsia="Arial" w:hAnsi="Arial"/>
          <w:sz w:val="16"/>
          <w:szCs w:val="16"/>
          <w:color w:val="auto"/>
        </w:rPr>
        <w:t>13.7</w:t>
      </w:r>
      <w:r>
        <w:rPr>
          <w:sz w:val="20"/>
          <w:szCs w:val="20"/>
          <w:color w:val="auto"/>
        </w:rPr>
        <w:tab/>
      </w:r>
      <w:r>
        <w:rPr>
          <w:rFonts w:ascii="Arial" w:cs="Arial" w:eastAsia="Arial" w:hAnsi="Arial"/>
          <w:sz w:val="16"/>
          <w:szCs w:val="16"/>
          <w:u w:val="single" w:color="auto"/>
          <w:color w:val="auto"/>
        </w:rPr>
        <w:t>Method of Payment</w:t>
      </w:r>
      <w:r>
        <w:rPr>
          <w:rFonts w:ascii="Arial" w:cs="Arial" w:eastAsia="Arial" w:hAnsi="Arial"/>
          <w:sz w:val="16"/>
          <w:szCs w:val="16"/>
          <w:color w:val="auto"/>
        </w:rPr>
        <w:t>. All payments under this Agreement should be made to “KODE Biotech Limited” and sent to the address identified below. Each payment should</w:t>
      </w:r>
      <w:r>
        <w:rPr>
          <w:rFonts w:ascii="Arial" w:cs="Arial" w:eastAsia="Arial" w:hAnsi="Arial"/>
          <w:sz w:val="16"/>
          <w:szCs w:val="16"/>
          <w:u w:val="single" w:color="auto"/>
          <w:color w:val="auto"/>
        </w:rPr>
        <w:t xml:space="preserve"> </w:t>
      </w:r>
      <w:r>
        <w:rPr>
          <w:rFonts w:ascii="Arial" w:cs="Arial" w:eastAsia="Arial" w:hAnsi="Arial"/>
          <w:sz w:val="16"/>
          <w:szCs w:val="16"/>
          <w:color w:val="auto"/>
        </w:rPr>
        <w:t>reference this Agreement and identify the obligation under this Agreement that the payment satisfies.</w:t>
      </w:r>
    </w:p>
    <w:p>
      <w:pPr>
        <w:spacing w:after="0" w:line="199" w:lineRule="exact"/>
        <w:rPr>
          <w:sz w:val="20"/>
          <w:szCs w:val="20"/>
          <w:color w:val="auto"/>
        </w:rPr>
      </w:pPr>
    </w:p>
    <w:p>
      <w:pPr>
        <w:jc w:val="both"/>
        <w:ind w:left="440" w:hanging="450"/>
        <w:spacing w:after="0" w:line="261" w:lineRule="auto"/>
        <w:tabs>
          <w:tab w:leader="none" w:pos="420"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6"/>
          <w:szCs w:val="16"/>
          <w:u w:val="single" w:color="auto"/>
          <w:color w:val="auto"/>
        </w:rPr>
        <w:t>Withholding and Similar Taxes</w:t>
      </w:r>
      <w:r>
        <w:rPr>
          <w:rFonts w:ascii="Arial" w:cs="Arial" w:eastAsia="Arial" w:hAnsi="Arial"/>
          <w:sz w:val="16"/>
          <w:szCs w:val="16"/>
          <w:color w:val="auto"/>
        </w:rPr>
        <w:t>. Royalty payments and other payments due to the Licensor under this Agreement may not be reduced by reason of any withholding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similar taxes applicable to payments to the Licensor. Therefore all amounts owed to the Licensor under this Agreement are net amounts and shall be grossed-up to account for any withholding taxes, value-added taxes or other taxes, levies or charges. In the event that the Licensor shall receive any repayment of any such tax or of any credit obtained by reference to any such deduction that is attributable to such tax, the Licensor shall pay, or shall procure that there is paid, to the Licensee an amount equivalent to the amount overpaid.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6" w:name="page407"/>
    <w:bookmarkEnd w:id="406"/>
    <w:p>
      <w:pPr>
        <w:spacing w:after="0"/>
        <w:tabs>
          <w:tab w:leader="none" w:pos="42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auto"/>
        </w:rPr>
        <w:t>Intellectual Property and Exclusionary Rights</w:t>
      </w:r>
    </w:p>
    <w:p>
      <w:pPr>
        <w:spacing w:after="0" w:line="254" w:lineRule="exact"/>
        <w:rPr>
          <w:sz w:val="20"/>
          <w:szCs w:val="20"/>
          <w:color w:val="auto"/>
        </w:rPr>
      </w:pPr>
    </w:p>
    <w:p>
      <w:pPr>
        <w:ind w:left="440" w:right="20" w:hanging="450"/>
        <w:spacing w:after="0" w:line="288" w:lineRule="auto"/>
        <w:tabs>
          <w:tab w:leader="none" w:pos="42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u w:val="single" w:color="auto"/>
          <w:color w:val="auto"/>
        </w:rPr>
        <w:t>Existing Exclusionary Rights</w:t>
      </w:r>
      <w:r>
        <w:rPr>
          <w:rFonts w:ascii="Arial" w:cs="Arial" w:eastAsia="Arial" w:hAnsi="Arial"/>
          <w:sz w:val="16"/>
          <w:szCs w:val="16"/>
          <w:color w:val="auto"/>
        </w:rPr>
        <w:t>. It is expressly agreed that all Exclusionary Rights are and shall</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It is further expressly agreed that the license granted by the Licensor</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hereunder is for the Term and no further rights to use KODE™ Technology and KODE™ Know-How are granted under this Agreement.</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5"/>
          <w:szCs w:val="15"/>
          <w:u w:val="single" w:color="auto"/>
          <w:color w:val="auto"/>
        </w:rPr>
        <w:t>New Exclusionary Rights</w:t>
      </w:r>
      <w:r>
        <w:rPr>
          <w:rFonts w:ascii="Arial" w:cs="Arial" w:eastAsia="Arial" w:hAnsi="Arial"/>
          <w:sz w:val="15"/>
          <w:szCs w:val="15"/>
          <w:color w:val="auto"/>
        </w:rPr>
        <w:t>.</w:t>
      </w:r>
    </w:p>
    <w:p>
      <w:pPr>
        <w:spacing w:after="0" w:line="254" w:lineRule="exact"/>
        <w:rPr>
          <w:sz w:val="20"/>
          <w:szCs w:val="20"/>
          <w:color w:val="auto"/>
        </w:rPr>
      </w:pPr>
    </w:p>
    <w:p>
      <w:pPr>
        <w:ind w:left="900" w:right="20" w:hanging="452"/>
        <w:spacing w:after="0" w:line="318" w:lineRule="auto"/>
        <w:tabs>
          <w:tab w:leader="none" w:pos="900" w:val="left"/>
        </w:tabs>
        <w:numPr>
          <w:ilvl w:val="0"/>
          <w:numId w:val="396"/>
        </w:numPr>
        <w:rPr>
          <w:rFonts w:ascii="Arial" w:cs="Arial" w:eastAsia="Arial" w:hAnsi="Arial"/>
          <w:sz w:val="15"/>
          <w:szCs w:val="15"/>
          <w:color w:val="auto"/>
        </w:rPr>
      </w:pPr>
      <w:r>
        <w:rPr>
          <w:rFonts w:ascii="Arial" w:cs="Arial" w:eastAsia="Arial" w:hAnsi="Arial"/>
          <w:sz w:val="15"/>
          <w:szCs w:val="15"/>
          <w:color w:val="auto"/>
        </w:rPr>
        <w:t>The ownership of any Exclusionary Rights in respect of any discoveries, innovations or inventions made jointly by the Parties during the Term, and capable of being protected under patent law, shall be allocated according to the flowchart appended to this Agreement as Schedule 2 (“</w:t>
      </w:r>
      <w:r>
        <w:rPr>
          <w:rFonts w:ascii="Arial" w:cs="Arial" w:eastAsia="Arial" w:hAnsi="Arial"/>
          <w:sz w:val="15"/>
          <w:szCs w:val="15"/>
          <w:b w:val="1"/>
          <w:bCs w:val="1"/>
          <w:color w:val="auto"/>
        </w:rPr>
        <w:t>New Rights</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ind w:left="900" w:right="20" w:hanging="452"/>
        <w:spacing w:after="0" w:line="283" w:lineRule="auto"/>
        <w:tabs>
          <w:tab w:leader="none" w:pos="90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Licensor acknowledges that the Licensee will be solely responsible for prosecuting, maintaining and defending any New Rights assigned to the Licensee, in addition to any other patent rights owned solely by the Licensee.</w:t>
      </w:r>
    </w:p>
    <w:p>
      <w:pPr>
        <w:spacing w:after="0" w:line="199" w:lineRule="exact"/>
        <w:rPr>
          <w:rFonts w:ascii="Arial" w:cs="Arial" w:eastAsia="Arial" w:hAnsi="Arial"/>
          <w:sz w:val="16"/>
          <w:szCs w:val="16"/>
          <w:color w:val="auto"/>
        </w:rPr>
      </w:pPr>
    </w:p>
    <w:p>
      <w:pPr>
        <w:jc w:val="both"/>
        <w:ind w:left="1460" w:hanging="549"/>
        <w:spacing w:after="0" w:line="277" w:lineRule="auto"/>
        <w:tabs>
          <w:tab w:leader="none" w:pos="1460" w:val="left"/>
        </w:tabs>
        <w:numPr>
          <w:ilvl w:val="1"/>
          <w:numId w:val="396"/>
        </w:numPr>
        <w:rPr>
          <w:rFonts w:ascii="Arial" w:cs="Arial" w:eastAsia="Arial" w:hAnsi="Arial"/>
          <w:sz w:val="15"/>
          <w:szCs w:val="15"/>
          <w:color w:val="auto"/>
        </w:rPr>
      </w:pPr>
      <w:r>
        <w:rPr>
          <w:rFonts w:ascii="Arial" w:cs="Arial" w:eastAsia="Arial" w:hAnsi="Arial"/>
          <w:sz w:val="15"/>
          <w:szCs w:val="15"/>
          <w:color w:val="auto"/>
        </w:rPr>
        <w:t>Where in accordance with the flowchart at Schedule 2 the subject matter defined in a claim provided in the specification of a New Right does not consist of KODE™ Technology, and the New Rights claim is not in respect of KODE™ Technology, and the Licensee is allocated the rights in respect of the claimed subject matter, the Licensor shall at the Licensee’s reasonable request do all such acts and execute all such documents reasonably required by the Licensee to confirm that title in all such New Rights are assigned, or will be assigned to the Licensee, or at the Licensee’s option that the Licensor grants or will grant to the Licensee a worldwide, exclusive, royalty-free, transferable license in such New Rights, or one or more specific use, with the right to sublicense. The Licensee shall promptly reimburse all reasonable costs and expenses incurred by the Licensor in connection with providing such assistance. The Licensor acknowledges that no further remuneration or compensation other than that provided for in this Clause is or may become due to the Licensor in respect of the performance of its obligations under this Clause 6.2(b)(i).</w:t>
      </w:r>
    </w:p>
    <w:p>
      <w:pPr>
        <w:spacing w:after="0" w:line="209" w:lineRule="exact"/>
        <w:rPr>
          <w:rFonts w:ascii="Arial" w:cs="Arial" w:eastAsia="Arial" w:hAnsi="Arial"/>
          <w:sz w:val="15"/>
          <w:szCs w:val="15"/>
          <w:color w:val="auto"/>
        </w:rPr>
      </w:pPr>
    </w:p>
    <w:p>
      <w:pPr>
        <w:jc w:val="both"/>
        <w:ind w:left="900" w:right="20" w:hanging="452"/>
        <w:spacing w:after="0" w:line="268" w:lineRule="auto"/>
        <w:tabs>
          <w:tab w:leader="none" w:pos="90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Licensor shall promptly notify the Licensee on becoming aware of any improvement of the KODE™ Technology, or any new KODE™ Technology, that the Licensor believes may have relevance to the Field. The Licensor shall use reasonable endeavours to monitor developments by other KODE™ Technology licensees.</w:t>
      </w:r>
    </w:p>
    <w:p>
      <w:pPr>
        <w:spacing w:after="0" w:line="212"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4"/>
          <w:szCs w:val="14"/>
          <w:u w:val="single" w:color="auto"/>
          <w:color w:val="auto"/>
        </w:rPr>
        <w:t>Responsibility for Licensed Patents</w:t>
      </w:r>
      <w:r>
        <w:rPr>
          <w:rFonts w:ascii="Arial" w:cs="Arial" w:eastAsia="Arial" w:hAnsi="Arial"/>
          <w:sz w:val="14"/>
          <w:szCs w:val="14"/>
          <w:color w:val="auto"/>
        </w:rPr>
        <w:t>.</w:t>
      </w:r>
    </w:p>
    <w:p>
      <w:pPr>
        <w:spacing w:after="0" w:line="254" w:lineRule="exact"/>
        <w:rPr>
          <w:sz w:val="20"/>
          <w:szCs w:val="20"/>
          <w:color w:val="auto"/>
        </w:rPr>
      </w:pPr>
    </w:p>
    <w:p>
      <w:pPr>
        <w:jc w:val="both"/>
        <w:ind w:left="900" w:right="20" w:hanging="452"/>
        <w:spacing w:after="0" w:line="313" w:lineRule="auto"/>
        <w:tabs>
          <w:tab w:leader="none" w:pos="900" w:val="left"/>
        </w:tabs>
        <w:numPr>
          <w:ilvl w:val="0"/>
          <w:numId w:val="397"/>
        </w:numPr>
        <w:rPr>
          <w:rFonts w:ascii="Arial" w:cs="Arial" w:eastAsia="Arial" w:hAnsi="Arial"/>
          <w:sz w:val="14"/>
          <w:szCs w:val="14"/>
          <w:color w:val="auto"/>
        </w:rPr>
      </w:pPr>
      <w:r>
        <w:rPr>
          <w:rFonts w:ascii="Arial" w:cs="Arial" w:eastAsia="Arial" w:hAnsi="Arial"/>
          <w:sz w:val="14"/>
          <w:szCs w:val="14"/>
          <w:color w:val="auto"/>
        </w:rPr>
        <w:t>The Licensor has primary responsibility at its expense and under its own control for the preparation, filing, prosecution, and maintenance of all Licensed Patents. The Licensor shall advise the Licensee as to the preparation, filing, prosecution, and maintenance of all Licensed Patents reasonably prior to any deadline or action with the United States Patent &amp; Trademark Office or any foreign patent office and shall furnish the Licensee with copies of relevant documents reasonably in advance of consultation. The Licensor shall consider in good faith any comments of the Licensee on any patent filings for the Licensed Patents.</w:t>
      </w:r>
    </w:p>
    <w:p>
      <w:pPr>
        <w:spacing w:after="0" w:line="182" w:lineRule="exact"/>
        <w:rPr>
          <w:rFonts w:ascii="Arial" w:cs="Arial" w:eastAsia="Arial" w:hAnsi="Arial"/>
          <w:sz w:val="14"/>
          <w:szCs w:val="14"/>
          <w:color w:val="auto"/>
        </w:rPr>
      </w:pPr>
    </w:p>
    <w:p>
      <w:pPr>
        <w:jc w:val="both"/>
        <w:ind w:left="900" w:hanging="452"/>
        <w:spacing w:after="0" w:line="263" w:lineRule="auto"/>
        <w:tabs>
          <w:tab w:leader="none" w:pos="90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If the Licensor desires to abandon any patent or patent application within the Licensed Patents, the Licensor shall provide the Licensee with reasonable prior notice of the intended abandonment, and the Licensee may, at its expense, prepare, file, prosecute, and maintain the relevant Licensed Patents. If the Licensor elects to abandon any patent or patent application or cease payment of any patent expenses, the Licensor loses all rights under this Agreement with respect to the particular Licensed Patents in those one or more countries.</w:t>
      </w:r>
    </w:p>
    <w:p>
      <w:pPr>
        <w:spacing w:after="0" w:line="216" w:lineRule="exact"/>
        <w:rPr>
          <w:sz w:val="20"/>
          <w:szCs w:val="20"/>
          <w:color w:val="auto"/>
        </w:rPr>
      </w:pPr>
    </w:p>
    <w:p>
      <w:pPr>
        <w:jc w:val="both"/>
        <w:ind w:left="440" w:hanging="450"/>
        <w:spacing w:after="0" w:line="268" w:lineRule="auto"/>
        <w:tabs>
          <w:tab w:leader="none" w:pos="42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 Each Party shall provide reasonable cooperation in the preparation, filing, prosecution, and maintenance of all Licensed Patents. Cooperation includes,</w:t>
      </w:r>
      <w:r>
        <w:rPr>
          <w:rFonts w:ascii="Arial" w:cs="Arial" w:eastAsia="Arial" w:hAnsi="Arial"/>
          <w:sz w:val="16"/>
          <w:szCs w:val="16"/>
          <w:u w:val="single" w:color="auto"/>
          <w:color w:val="auto"/>
        </w:rPr>
        <w:t xml:space="preserve"> </w:t>
      </w:r>
      <w:r>
        <w:rPr>
          <w:rFonts w:ascii="Arial" w:cs="Arial" w:eastAsia="Arial" w:hAnsi="Arial"/>
          <w:sz w:val="16"/>
          <w:szCs w:val="16"/>
          <w:color w:val="auto"/>
        </w:rPr>
        <w:t>without limitation, promptly informing the other Party of matters that may affect the preparation, filing, prosecution, or maintenance of Licensed Patents (such as, becoming aware of an additional inventor who is not listed as an inventor in a patent application).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07" w:name="page408"/>
    <w:bookmarkEnd w:id="407"/>
    <w:p>
      <w:pPr>
        <w:spacing w:after="0"/>
        <w:tabs>
          <w:tab w:leader="none" w:pos="42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4"/>
          <w:szCs w:val="14"/>
          <w:u w:val="single" w:color="auto"/>
          <w:color w:val="auto"/>
        </w:rPr>
        <w:t>Licensed Patents Infringement</w:t>
      </w:r>
      <w:r>
        <w:rPr>
          <w:rFonts w:ascii="Arial" w:cs="Arial" w:eastAsia="Arial" w:hAnsi="Arial"/>
          <w:sz w:val="14"/>
          <w:szCs w:val="14"/>
          <w:color w:val="auto"/>
        </w:rPr>
        <w:t>.</w:t>
      </w:r>
    </w:p>
    <w:p>
      <w:pPr>
        <w:spacing w:after="0" w:line="254" w:lineRule="exact"/>
        <w:rPr>
          <w:sz w:val="20"/>
          <w:szCs w:val="20"/>
          <w:color w:val="auto"/>
        </w:rPr>
      </w:pPr>
    </w:p>
    <w:p>
      <w:pPr>
        <w:ind w:left="900" w:right="20" w:hanging="452"/>
        <w:spacing w:after="0" w:line="283"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Notification of Infringement</w:t>
      </w:r>
      <w:r>
        <w:rPr>
          <w:rFonts w:ascii="Arial" w:cs="Arial" w:eastAsia="Arial" w:hAnsi="Arial"/>
          <w:sz w:val="16"/>
          <w:szCs w:val="16"/>
          <w:color w:val="auto"/>
        </w:rPr>
        <w:t>. Each Party agrees to provide written notice to the other Party promptly after becoming aware of any infringement of the Licensed Patents.</w:t>
      </w:r>
    </w:p>
    <w:p>
      <w:pPr>
        <w:spacing w:after="0" w:line="199" w:lineRule="exact"/>
        <w:rPr>
          <w:rFonts w:ascii="Arial" w:cs="Arial" w:eastAsia="Arial" w:hAnsi="Arial"/>
          <w:sz w:val="16"/>
          <w:szCs w:val="16"/>
          <w:color w:val="auto"/>
        </w:rPr>
      </w:pPr>
    </w:p>
    <w:p>
      <w:pPr>
        <w:jc w:val="both"/>
        <w:ind w:left="900" w:right="20" w:hanging="452"/>
        <w:spacing w:after="0" w:line="268"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Licensor Responsibility for Prosecution in the Field</w:t>
      </w:r>
      <w:r>
        <w:rPr>
          <w:rFonts w:ascii="Arial" w:cs="Arial" w:eastAsia="Arial" w:hAnsi="Arial"/>
          <w:sz w:val="16"/>
          <w:szCs w:val="16"/>
          <w:color w:val="auto"/>
        </w:rPr>
        <w:t>. The Licensor has primary responsibility at its expense for initiating the prosecuting of any Third Party infringement of the Licensed Patents in the Field and defending the Licensed Patents in any declaratory judgment action brought by a Third Party which alleges invalidity, unenforceability, or infringement of the Licensed Patents in the Field.</w:t>
      </w:r>
    </w:p>
    <w:p>
      <w:pPr>
        <w:spacing w:after="0" w:line="211" w:lineRule="exact"/>
        <w:rPr>
          <w:rFonts w:ascii="Arial" w:cs="Arial" w:eastAsia="Arial" w:hAnsi="Arial"/>
          <w:sz w:val="16"/>
          <w:szCs w:val="16"/>
          <w:color w:val="auto"/>
        </w:rPr>
      </w:pPr>
    </w:p>
    <w:p>
      <w:pPr>
        <w:ind w:left="1460" w:right="20" w:hanging="549"/>
        <w:spacing w:after="0" w:line="283" w:lineRule="auto"/>
        <w:tabs>
          <w:tab w:leader="none" w:pos="146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Prior to commencing any action, the Licensor shall consult with the Licensee and shall in good faith consider the views of the Licensee regarding the advisability and conduct of the proposed action and its effect on this Agreement.</w:t>
      </w:r>
    </w:p>
    <w:p>
      <w:pPr>
        <w:spacing w:after="0" w:line="199" w:lineRule="exact"/>
        <w:rPr>
          <w:rFonts w:ascii="Arial" w:cs="Arial" w:eastAsia="Arial" w:hAnsi="Arial"/>
          <w:sz w:val="16"/>
          <w:szCs w:val="16"/>
          <w:color w:val="auto"/>
        </w:rPr>
      </w:pPr>
    </w:p>
    <w:p>
      <w:pPr>
        <w:ind w:left="1460" w:hanging="549"/>
        <w:spacing w:after="0"/>
        <w:tabs>
          <w:tab w:leader="none" w:pos="1460" w:val="left"/>
        </w:tabs>
        <w:numPr>
          <w:ilvl w:val="1"/>
          <w:numId w:val="398"/>
        </w:numPr>
        <w:rPr>
          <w:rFonts w:ascii="Arial" w:cs="Arial" w:eastAsia="Arial" w:hAnsi="Arial"/>
          <w:sz w:val="15"/>
          <w:szCs w:val="15"/>
          <w:color w:val="auto"/>
        </w:rPr>
      </w:pPr>
      <w:r>
        <w:rPr>
          <w:rFonts w:ascii="Arial" w:cs="Arial" w:eastAsia="Arial" w:hAnsi="Arial"/>
          <w:sz w:val="15"/>
          <w:szCs w:val="15"/>
          <w:color w:val="auto"/>
        </w:rPr>
        <w:t>The Licensor shall keep the Licensee reasonably informed of material actions taken by the Licensor pursuant to the infringement or declaratory action.</w:t>
      </w:r>
    </w:p>
    <w:p>
      <w:pPr>
        <w:spacing w:after="0" w:line="265" w:lineRule="exact"/>
        <w:rPr>
          <w:rFonts w:ascii="Arial" w:cs="Arial" w:eastAsia="Arial" w:hAnsi="Arial"/>
          <w:sz w:val="15"/>
          <w:szCs w:val="15"/>
          <w:color w:val="auto"/>
        </w:rPr>
      </w:pPr>
    </w:p>
    <w:p>
      <w:pPr>
        <w:ind w:left="1460" w:right="20" w:hanging="549"/>
        <w:spacing w:after="0" w:line="283" w:lineRule="auto"/>
        <w:tabs>
          <w:tab w:leader="none" w:pos="146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The Licensor may not enter into any settlement, consent judgment, or other voluntary final disposition of any infringement action under this Clause without the prior written consent of the Licensee, which consent may not be unreasonably withheld or delayed.</w:t>
      </w:r>
    </w:p>
    <w:p>
      <w:pPr>
        <w:spacing w:after="0" w:line="195" w:lineRule="exact"/>
        <w:rPr>
          <w:rFonts w:ascii="Arial" w:cs="Arial" w:eastAsia="Arial" w:hAnsi="Arial"/>
          <w:sz w:val="16"/>
          <w:szCs w:val="16"/>
          <w:color w:val="auto"/>
        </w:rPr>
      </w:pPr>
    </w:p>
    <w:p>
      <w:pPr>
        <w:ind w:left="1460" w:hanging="549"/>
        <w:spacing w:after="0"/>
        <w:tabs>
          <w:tab w:leader="none" w:pos="146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 xml:space="preserve">Any recovery obtained in an action under this Clause shall be distributed as follows: </w:t>
      </w:r>
      <w:r>
        <w:rPr>
          <w:rFonts w:ascii="Arial" w:cs="Arial" w:eastAsia="Arial" w:hAnsi="Arial"/>
          <w:sz w:val="16"/>
          <w:szCs w:val="16"/>
          <w:b w:val="1"/>
          <w:bCs w:val="1"/>
          <w:color w:val="auto"/>
        </w:rPr>
        <w:t>[*]</w:t>
      </w:r>
    </w:p>
    <w:p>
      <w:pPr>
        <w:spacing w:after="0" w:line="258" w:lineRule="exact"/>
        <w:rPr>
          <w:rFonts w:ascii="Arial" w:cs="Arial" w:eastAsia="Arial" w:hAnsi="Arial"/>
          <w:sz w:val="16"/>
          <w:szCs w:val="16"/>
          <w:color w:val="auto"/>
        </w:rPr>
      </w:pPr>
    </w:p>
    <w:p>
      <w:pPr>
        <w:ind w:left="900" w:right="20" w:hanging="452"/>
        <w:spacing w:after="0" w:line="283"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Licensee as Indispensable Party</w:t>
      </w:r>
      <w:r>
        <w:rPr>
          <w:rFonts w:ascii="Arial" w:cs="Arial" w:eastAsia="Arial" w:hAnsi="Arial"/>
          <w:sz w:val="16"/>
          <w:szCs w:val="16"/>
          <w:color w:val="auto"/>
        </w:rPr>
        <w:t xml:space="preserve">. If and to the extent required by law, the Licensee shall permit any action under Clause 6.5(b) to be brought in its name, provided that the </w:t>
      </w:r>
      <w:r>
        <w:rPr>
          <w:rFonts w:ascii="Arial" w:cs="Arial" w:eastAsia="Arial" w:hAnsi="Arial"/>
          <w:sz w:val="16"/>
          <w:szCs w:val="16"/>
          <w:b w:val="1"/>
          <w:bCs w:val="1"/>
          <w:color w:val="auto"/>
        </w:rPr>
        <w:t>[*]</w:t>
      </w:r>
    </w:p>
    <w:p>
      <w:pPr>
        <w:spacing w:after="0" w:line="199" w:lineRule="exact"/>
        <w:rPr>
          <w:rFonts w:ascii="Arial" w:cs="Arial" w:eastAsia="Arial" w:hAnsi="Arial"/>
          <w:sz w:val="16"/>
          <w:szCs w:val="16"/>
          <w:color w:val="auto"/>
        </w:rPr>
      </w:pPr>
    </w:p>
    <w:p>
      <w:pPr>
        <w:jc w:val="both"/>
        <w:ind w:left="900" w:hanging="452"/>
        <w:spacing w:after="0" w:line="261"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Licensee Right to Prosecute</w:t>
      </w:r>
      <w:r>
        <w:rPr>
          <w:rFonts w:ascii="Arial" w:cs="Arial" w:eastAsia="Arial" w:hAnsi="Arial"/>
          <w:sz w:val="16"/>
          <w:szCs w:val="16"/>
          <w:color w:val="auto"/>
        </w:rPr>
        <w:t xml:space="preserve">. If the Licensor declines or fails to initiate an infringement action within a reasonable time after it first becomes aware of the basis for the action, or to answer a declaratory judgment action within a reasonable time after the action is filed, the Licensee may prosecute the infringement or answer the declaratory judgment action under its </w:t>
      </w:r>
      <w:r>
        <w:rPr>
          <w:rFonts w:ascii="Arial" w:cs="Arial" w:eastAsia="Arial" w:hAnsi="Arial"/>
          <w:sz w:val="16"/>
          <w:szCs w:val="16"/>
          <w:b w:val="1"/>
          <w:bCs w:val="1"/>
          <w:color w:val="auto"/>
        </w:rPr>
        <w:t>[*].</w:t>
      </w:r>
      <w:r>
        <w:rPr>
          <w:rFonts w:ascii="Arial" w:cs="Arial" w:eastAsia="Arial" w:hAnsi="Arial"/>
          <w:sz w:val="16"/>
          <w:szCs w:val="16"/>
          <w:color w:val="auto"/>
        </w:rPr>
        <w:t xml:space="preserve"> If and to the extent required by law, the Licensor shall permit any such action to be brought in its name, </w:t>
      </w:r>
      <w:r>
        <w:rPr>
          <w:rFonts w:ascii="Arial" w:cs="Arial" w:eastAsia="Arial" w:hAnsi="Arial"/>
          <w:sz w:val="16"/>
          <w:szCs w:val="16"/>
          <w:b w:val="1"/>
          <w:bCs w:val="1"/>
          <w:color w:val="auto"/>
        </w:rPr>
        <w:t>[*].</w:t>
      </w:r>
      <w:r>
        <w:rPr>
          <w:rFonts w:ascii="Arial" w:cs="Arial" w:eastAsia="Arial" w:hAnsi="Arial"/>
          <w:sz w:val="16"/>
          <w:szCs w:val="16"/>
          <w:color w:val="auto"/>
        </w:rPr>
        <w:t xml:space="preserve"> If the Licensee takes action under this Clause, the Licensee shall keep the Licensor reasonably informed of material actions taken by the Licensee pursuant to the infringement or declaratory action.</w:t>
      </w:r>
    </w:p>
    <w:p>
      <w:pPr>
        <w:spacing w:after="0" w:line="217" w:lineRule="exact"/>
        <w:rPr>
          <w:rFonts w:ascii="Arial" w:cs="Arial" w:eastAsia="Arial" w:hAnsi="Arial"/>
          <w:sz w:val="16"/>
          <w:szCs w:val="16"/>
          <w:color w:val="auto"/>
        </w:rPr>
      </w:pPr>
    </w:p>
    <w:p>
      <w:pPr>
        <w:jc w:val="both"/>
        <w:ind w:left="900" w:right="20" w:hanging="452"/>
        <w:spacing w:after="0" w:line="268"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Prosecution in Other Fields</w:t>
      </w:r>
      <w:r>
        <w:rPr>
          <w:rFonts w:ascii="Arial" w:cs="Arial" w:eastAsia="Arial" w:hAnsi="Arial"/>
          <w:sz w:val="16"/>
          <w:szCs w:val="16"/>
          <w:color w:val="auto"/>
        </w:rPr>
        <w:t>. If the Licensor or any licensee of the Licensed Patents in a field other than the Field initiates an infringement action the Licensor shall keep the Licensee reasonably informed of material actions taken pursuant to the infringement or declaratory action and shall consider the views of the Licensee regarding the advisability and conduct of the proposed action and its effect on this Agreement.</w:t>
      </w:r>
    </w:p>
    <w:p>
      <w:pPr>
        <w:spacing w:after="0" w:line="211" w:lineRule="exact"/>
        <w:rPr>
          <w:rFonts w:ascii="Arial" w:cs="Arial" w:eastAsia="Arial" w:hAnsi="Arial"/>
          <w:sz w:val="16"/>
          <w:szCs w:val="16"/>
          <w:color w:val="auto"/>
        </w:rPr>
      </w:pPr>
    </w:p>
    <w:p>
      <w:pPr>
        <w:jc w:val="both"/>
        <w:ind w:left="900" w:hanging="452"/>
        <w:spacing w:after="0" w:line="258"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Both Parties shall cooperate fully in any action under this Clause which is controlled by the other Party, provided that the controlling Party reimburses the cooperating Party promptly for any reasonable costs and expenses incurred by the cooperating Party in connection with providing assistance. Unless it would be unlawful to do so in a particular jurisdiction, the controlling Party may from time to time request the cooperating Party to provide reasonable financial support towards the conduct of an action under this Clause 14.5, and the cooperating Party will give reasonable consideration to such request, having regard (amongst other things) to the advisability and conduct of such action and its effect on this Agreement, the likelihood of the action’s prospects of success, and the impact on the cooperating Party if action is not taken or (as the case may be) is discontinued. For clarity any such financial support shall be in the discretion of the cooperating Party and may be subject to such terms and for such duration, or impose such limits or conditions as the cooperating Party may determine.</w:t>
      </w:r>
    </w:p>
    <w:p>
      <w:pPr>
        <w:spacing w:after="0" w:line="21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6"/>
          <w:szCs w:val="16"/>
          <w:b w:val="1"/>
          <w:bCs w:val="1"/>
          <w:color w:val="auto"/>
        </w:rPr>
        <w:t>Confidentiality &amp; Publicity</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5"/>
          <w:szCs w:val="15"/>
          <w:u w:val="single" w:color="auto"/>
          <w:color w:val="auto"/>
        </w:rPr>
        <w:t>Confidentiality</w:t>
      </w:r>
    </w:p>
    <w:p>
      <w:pPr>
        <w:spacing w:after="0" w:line="250" w:lineRule="exact"/>
        <w:rPr>
          <w:sz w:val="20"/>
          <w:szCs w:val="20"/>
          <w:color w:val="auto"/>
        </w:rPr>
      </w:pPr>
    </w:p>
    <w:p>
      <w:pPr>
        <w:ind w:left="900" w:hanging="452"/>
        <w:spacing w:after="0"/>
        <w:tabs>
          <w:tab w:leader="none" w:pos="900"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For </w:t>
      </w:r>
      <w:r>
        <w:rPr>
          <w:rFonts w:ascii="Arial" w:cs="Arial" w:eastAsia="Arial" w:hAnsi="Arial"/>
          <w:sz w:val="16"/>
          <w:szCs w:val="16"/>
          <w:b w:val="1"/>
          <w:bCs w:val="1"/>
          <w:color w:val="auto"/>
        </w:rPr>
        <w:t>[*]</w:t>
      </w:r>
      <w:r>
        <w:rPr>
          <w:rFonts w:ascii="Arial" w:cs="Arial" w:eastAsia="Arial" w:hAnsi="Arial"/>
          <w:sz w:val="16"/>
          <w:szCs w:val="16"/>
          <w:color w:val="auto"/>
        </w:rPr>
        <w:t xml:space="preserve"> years after disclosure of any Confidential Information, the Receiving Party shall:</w:t>
      </w:r>
    </w:p>
    <w:p>
      <w:pPr>
        <w:spacing w:after="0" w:line="258" w:lineRule="exact"/>
        <w:rPr>
          <w:rFonts w:ascii="Arial" w:cs="Arial" w:eastAsia="Arial" w:hAnsi="Arial"/>
          <w:sz w:val="16"/>
          <w:szCs w:val="16"/>
          <w:color w:val="auto"/>
        </w:rPr>
      </w:pPr>
    </w:p>
    <w:p>
      <w:pPr>
        <w:jc w:val="both"/>
        <w:ind w:left="1460" w:right="20" w:hanging="549"/>
        <w:spacing w:after="0" w:line="294" w:lineRule="auto"/>
        <w:tabs>
          <w:tab w:leader="none" w:pos="1460" w:val="left"/>
        </w:tabs>
        <w:numPr>
          <w:ilvl w:val="1"/>
          <w:numId w:val="399"/>
        </w:numPr>
        <w:rPr>
          <w:rFonts w:ascii="Arial" w:cs="Arial" w:eastAsia="Arial" w:hAnsi="Arial"/>
          <w:sz w:val="15"/>
          <w:szCs w:val="15"/>
          <w:color w:val="auto"/>
        </w:rPr>
      </w:pPr>
      <w:r>
        <w:rPr>
          <w:rFonts w:ascii="Arial" w:cs="Arial" w:eastAsia="Arial" w:hAnsi="Arial"/>
          <w:sz w:val="15"/>
          <w:szCs w:val="15"/>
          <w:color w:val="auto"/>
        </w:rPr>
        <w:t>maintain Confidential Information in confidence, except that the Receiving Party may disclose or permit the disclosure of any Confidential Information to its officers or directors, officers, employees, consultants, and advisors, and those of its Affiliates and Sublicensees who are obligated to maintain the confidential nature of Confidential Information and who need to know Confidential Information for the purposes of this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08" w:name="page409"/>
    <w:bookmarkEnd w:id="408"/>
    <w:p>
      <w:pPr>
        <w:ind w:left="1460" w:hanging="549"/>
        <w:spacing w:after="0"/>
        <w:tabs>
          <w:tab w:leader="none" w:pos="14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use Confidential Information solely for the purposes of this Agreement; and</w:t>
      </w:r>
    </w:p>
    <w:p>
      <w:pPr>
        <w:spacing w:after="0" w:line="254" w:lineRule="exact"/>
        <w:rPr>
          <w:rFonts w:ascii="Arial" w:cs="Arial" w:eastAsia="Arial" w:hAnsi="Arial"/>
          <w:sz w:val="16"/>
          <w:szCs w:val="16"/>
          <w:color w:val="auto"/>
        </w:rPr>
      </w:pPr>
    </w:p>
    <w:p>
      <w:pPr>
        <w:ind w:left="1460" w:hanging="549"/>
        <w:spacing w:after="0" w:line="283" w:lineRule="auto"/>
        <w:tabs>
          <w:tab w:leader="none" w:pos="14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allow its officers or directors, officers, employees, consultants, and advisors to reproduce the Confidential Information only to the extent necessary for the purposes of this Agreement, with all reproductions being Confidential Information.</w:t>
      </w:r>
    </w:p>
    <w:p>
      <w:pPr>
        <w:spacing w:after="0" w:line="199" w:lineRule="exact"/>
        <w:rPr>
          <w:sz w:val="20"/>
          <w:szCs w:val="20"/>
          <w:color w:val="auto"/>
        </w:rPr>
      </w:pPr>
    </w:p>
    <w:p>
      <w:pPr>
        <w:ind w:left="920" w:right="420"/>
        <w:spacing w:after="0" w:line="283" w:lineRule="auto"/>
        <w:rPr>
          <w:sz w:val="20"/>
          <w:szCs w:val="20"/>
          <w:color w:val="auto"/>
        </w:rPr>
      </w:pPr>
      <w:r>
        <w:rPr>
          <w:rFonts w:ascii="Arial" w:cs="Arial" w:eastAsia="Arial" w:hAnsi="Arial"/>
          <w:sz w:val="16"/>
          <w:szCs w:val="16"/>
          <w:color w:val="auto"/>
        </w:rPr>
        <w:t>The rights of use and reproduction under (ii) and (iii) above shall extend to the Licensee’s Affiliates with a need for such use and reproduction as well as to Sublicensees.</w:t>
      </w:r>
    </w:p>
    <w:p>
      <w:pPr>
        <w:spacing w:after="0" w:line="199" w:lineRule="exact"/>
        <w:rPr>
          <w:sz w:val="20"/>
          <w:szCs w:val="20"/>
          <w:color w:val="auto"/>
        </w:rPr>
      </w:pPr>
    </w:p>
    <w:p>
      <w:pPr>
        <w:ind w:left="900" w:hanging="452"/>
        <w:spacing w:after="0" w:line="283" w:lineRule="auto"/>
        <w:tabs>
          <w:tab w:leader="none" w:pos="900"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The confidentiality obligations of the Receiving Party above do not apply to the extent that the Receiving Party can demonstrate that Confidential Information:</w:t>
      </w:r>
    </w:p>
    <w:p>
      <w:pPr>
        <w:spacing w:after="0" w:line="199" w:lineRule="exact"/>
        <w:rPr>
          <w:rFonts w:ascii="Arial" w:cs="Arial" w:eastAsia="Arial" w:hAnsi="Arial"/>
          <w:sz w:val="16"/>
          <w:szCs w:val="16"/>
          <w:color w:val="auto"/>
        </w:rPr>
      </w:pPr>
    </w:p>
    <w:p>
      <w:pPr>
        <w:ind w:left="1460" w:hanging="549"/>
        <w:spacing w:after="0"/>
        <w:tabs>
          <w:tab w:leader="none" w:pos="1460" w:val="left"/>
        </w:tabs>
        <w:numPr>
          <w:ilvl w:val="1"/>
          <w:numId w:val="401"/>
        </w:numPr>
        <w:rPr>
          <w:rFonts w:ascii="Arial" w:cs="Arial" w:eastAsia="Arial" w:hAnsi="Arial"/>
          <w:sz w:val="16"/>
          <w:szCs w:val="16"/>
          <w:color w:val="auto"/>
        </w:rPr>
      </w:pPr>
      <w:r>
        <w:rPr>
          <w:rFonts w:ascii="Arial" w:cs="Arial" w:eastAsia="Arial" w:hAnsi="Arial"/>
          <w:sz w:val="16"/>
          <w:szCs w:val="16"/>
          <w:color w:val="auto"/>
        </w:rPr>
        <w:t>was in the public domain prior to the time of its disclosure under this Agreement;</w:t>
      </w:r>
    </w:p>
    <w:p>
      <w:pPr>
        <w:spacing w:after="0" w:line="254" w:lineRule="exact"/>
        <w:rPr>
          <w:rFonts w:ascii="Arial" w:cs="Arial" w:eastAsia="Arial" w:hAnsi="Arial"/>
          <w:sz w:val="16"/>
          <w:szCs w:val="16"/>
          <w:color w:val="auto"/>
        </w:rPr>
      </w:pPr>
    </w:p>
    <w:p>
      <w:pPr>
        <w:ind w:left="1460" w:hanging="549"/>
        <w:spacing w:after="0" w:line="283" w:lineRule="auto"/>
        <w:tabs>
          <w:tab w:leader="none" w:pos="1460" w:val="left"/>
        </w:tabs>
        <w:numPr>
          <w:ilvl w:val="1"/>
          <w:numId w:val="401"/>
        </w:numPr>
        <w:rPr>
          <w:rFonts w:ascii="Arial" w:cs="Arial" w:eastAsia="Arial" w:hAnsi="Arial"/>
          <w:sz w:val="16"/>
          <w:szCs w:val="16"/>
          <w:color w:val="auto"/>
        </w:rPr>
      </w:pPr>
      <w:r>
        <w:rPr>
          <w:rFonts w:ascii="Arial" w:cs="Arial" w:eastAsia="Arial" w:hAnsi="Arial"/>
          <w:sz w:val="16"/>
          <w:szCs w:val="16"/>
          <w:color w:val="auto"/>
        </w:rPr>
        <w:t>entered the public domain after the time of its disclosure under this Agreement through means other than an unauthorized disclosure resulting from an act or omission by the Receiving Party;</w:t>
      </w:r>
    </w:p>
    <w:p>
      <w:pPr>
        <w:spacing w:after="0" w:line="199" w:lineRule="exact"/>
        <w:rPr>
          <w:rFonts w:ascii="Arial" w:cs="Arial" w:eastAsia="Arial" w:hAnsi="Arial"/>
          <w:sz w:val="16"/>
          <w:szCs w:val="16"/>
          <w:color w:val="auto"/>
        </w:rPr>
      </w:pPr>
    </w:p>
    <w:p>
      <w:pPr>
        <w:ind w:left="1460" w:hanging="549"/>
        <w:spacing w:after="0"/>
        <w:tabs>
          <w:tab w:leader="none" w:pos="1460" w:val="left"/>
        </w:tabs>
        <w:numPr>
          <w:ilvl w:val="1"/>
          <w:numId w:val="401"/>
        </w:numPr>
        <w:rPr>
          <w:rFonts w:ascii="Arial" w:cs="Arial" w:eastAsia="Arial" w:hAnsi="Arial"/>
          <w:sz w:val="16"/>
          <w:szCs w:val="16"/>
          <w:color w:val="auto"/>
        </w:rPr>
      </w:pPr>
      <w:r>
        <w:rPr>
          <w:rFonts w:ascii="Arial" w:cs="Arial" w:eastAsia="Arial" w:hAnsi="Arial"/>
          <w:sz w:val="16"/>
          <w:szCs w:val="16"/>
          <w:color w:val="auto"/>
        </w:rPr>
        <w:t>was already known or independently developed or discovered by the Receiving Party without use of the Confidential Information;</w:t>
      </w:r>
    </w:p>
    <w:p>
      <w:pPr>
        <w:spacing w:after="0" w:line="254" w:lineRule="exact"/>
        <w:rPr>
          <w:rFonts w:ascii="Arial" w:cs="Arial" w:eastAsia="Arial" w:hAnsi="Arial"/>
          <w:sz w:val="16"/>
          <w:szCs w:val="16"/>
          <w:color w:val="auto"/>
        </w:rPr>
      </w:pPr>
    </w:p>
    <w:p>
      <w:pPr>
        <w:ind w:left="1460" w:hanging="549"/>
        <w:spacing w:after="0" w:line="318" w:lineRule="auto"/>
        <w:tabs>
          <w:tab w:leader="none" w:pos="1460" w:val="left"/>
        </w:tabs>
        <w:numPr>
          <w:ilvl w:val="1"/>
          <w:numId w:val="401"/>
        </w:numPr>
        <w:rPr>
          <w:rFonts w:ascii="Arial" w:cs="Arial" w:eastAsia="Arial" w:hAnsi="Arial"/>
          <w:sz w:val="15"/>
          <w:szCs w:val="15"/>
          <w:color w:val="auto"/>
        </w:rPr>
      </w:pPr>
      <w:r>
        <w:rPr>
          <w:rFonts w:ascii="Arial" w:cs="Arial" w:eastAsia="Arial" w:hAnsi="Arial"/>
          <w:sz w:val="15"/>
          <w:szCs w:val="15"/>
          <w:color w:val="auto"/>
        </w:rPr>
        <w:t>is or was disclosed to the Receiving Party at any time, whether prior to or after the time of its disclosure under this Agreement, by a Third Party having no fiduciary relationship with the Disclosing Party and having no obligation of confidentiality with respect to the Confidential Information; or</w:t>
      </w:r>
    </w:p>
    <w:p>
      <w:pPr>
        <w:spacing w:after="0" w:line="176" w:lineRule="exact"/>
        <w:rPr>
          <w:rFonts w:ascii="Arial" w:cs="Arial" w:eastAsia="Arial" w:hAnsi="Arial"/>
          <w:sz w:val="15"/>
          <w:szCs w:val="15"/>
          <w:color w:val="auto"/>
        </w:rPr>
      </w:pPr>
    </w:p>
    <w:p>
      <w:pPr>
        <w:ind w:left="1460" w:hanging="549"/>
        <w:spacing w:after="0" w:line="283" w:lineRule="auto"/>
        <w:tabs>
          <w:tab w:leader="none" w:pos="1460" w:val="left"/>
        </w:tabs>
        <w:numPr>
          <w:ilvl w:val="1"/>
          <w:numId w:val="401"/>
        </w:numPr>
        <w:rPr>
          <w:rFonts w:ascii="Arial" w:cs="Arial" w:eastAsia="Arial" w:hAnsi="Arial"/>
          <w:sz w:val="16"/>
          <w:szCs w:val="16"/>
          <w:color w:val="auto"/>
        </w:rPr>
      </w:pPr>
      <w:r>
        <w:rPr>
          <w:rFonts w:ascii="Arial" w:cs="Arial" w:eastAsia="Arial" w:hAnsi="Arial"/>
          <w:sz w:val="16"/>
          <w:szCs w:val="16"/>
          <w:color w:val="auto"/>
        </w:rPr>
        <w:t>is required to be disclosed to comply with applicable laws or regulations or with a court or administrative order, provided that (to the extent permitted by law) the Disclosing Party receives reasonable prior written notice of the disclosure.</w:t>
      </w:r>
    </w:p>
    <w:p>
      <w:pPr>
        <w:spacing w:after="0" w:line="199" w:lineRule="exact"/>
        <w:rPr>
          <w:rFonts w:ascii="Arial" w:cs="Arial" w:eastAsia="Arial" w:hAnsi="Arial"/>
          <w:sz w:val="16"/>
          <w:szCs w:val="16"/>
          <w:color w:val="auto"/>
        </w:rPr>
      </w:pPr>
    </w:p>
    <w:p>
      <w:pPr>
        <w:jc w:val="both"/>
        <w:ind w:left="900" w:hanging="452"/>
        <w:spacing w:after="0" w:line="282" w:lineRule="auto"/>
        <w:tabs>
          <w:tab w:leader="none" w:pos="900" w:val="left"/>
        </w:tabs>
        <w:numPr>
          <w:ilvl w:val="0"/>
          <w:numId w:val="401"/>
        </w:numPr>
        <w:rPr>
          <w:rFonts w:ascii="Arial" w:cs="Arial" w:eastAsia="Arial" w:hAnsi="Arial"/>
          <w:sz w:val="15"/>
          <w:szCs w:val="15"/>
          <w:color w:val="auto"/>
        </w:rPr>
      </w:pPr>
      <w:r>
        <w:rPr>
          <w:rFonts w:ascii="Arial" w:cs="Arial" w:eastAsia="Arial" w:hAnsi="Arial"/>
          <w:sz w:val="15"/>
          <w:szCs w:val="15"/>
          <w:u w:val="single" w:color="auto"/>
          <w:color w:val="auto"/>
        </w:rPr>
        <w:t>Ownership and Return</w:t>
      </w:r>
      <w:r>
        <w:rPr>
          <w:rFonts w:ascii="Arial" w:cs="Arial" w:eastAsia="Arial" w:hAnsi="Arial"/>
          <w:sz w:val="15"/>
          <w:szCs w:val="15"/>
          <w:color w:val="auto"/>
        </w:rPr>
        <w:t>. The Receiving Party acknowledges that the Disclosing Party (or a Third Party entrusting its own information to the Disclosing Party) owns the Confidential Information in the possession of the Receiving Party. Upon expiration or termination of this Agreement, or at the request of the Disclosing Party, the Receiving Party shall return to the Disclosing Party all originals, copies, and summaries of documents, materials, and other tangible manifestations of Confidential Information in the possession or control of the Receiving Party, except that the Receiving Party may retain one copy of the Confidential Information in the possession of its legal counsel solely for the purpose of monitoring its obligations under this Agreement.</w:t>
      </w:r>
    </w:p>
    <w:p>
      <w:pPr>
        <w:spacing w:after="0" w:line="204" w:lineRule="exact"/>
        <w:rPr>
          <w:sz w:val="20"/>
          <w:szCs w:val="20"/>
          <w:color w:val="auto"/>
        </w:rPr>
      </w:pPr>
    </w:p>
    <w:p>
      <w:pPr>
        <w:jc w:val="both"/>
        <w:ind w:left="440" w:hanging="450"/>
        <w:spacing w:after="0" w:line="259" w:lineRule="auto"/>
        <w:tabs>
          <w:tab w:leader="none" w:pos="42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u w:val="single" w:color="auto"/>
          <w:color w:val="auto"/>
        </w:rPr>
        <w:t>Publicity Restrictions</w:t>
      </w:r>
      <w:r>
        <w:rPr>
          <w:rFonts w:ascii="Arial" w:cs="Arial" w:eastAsia="Arial" w:hAnsi="Arial"/>
          <w:sz w:val="16"/>
          <w:szCs w:val="16"/>
          <w:color w:val="auto"/>
        </w:rPr>
        <w:t>. The Licensee may not use the name of the Licensor or any of its officers, employees, or agents, or any adaptation of their names, or any terms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this Agreement in any promotional material or other public announcement or disclosure without the prior written consent of the Licensor. The foregoing notwithstanding, the Licensee may disclose that information without the consent of the Licensor in any prospectus, offering memorandum, or other document or filing required by applicable securities laws or other applicable law or regulation, provided that the Licensee provides the Licensor at least </w:t>
      </w:r>
      <w:r>
        <w:rPr>
          <w:rFonts w:ascii="Arial" w:cs="Arial" w:eastAsia="Arial" w:hAnsi="Arial"/>
          <w:sz w:val="16"/>
          <w:szCs w:val="16"/>
          <w:b w:val="1"/>
          <w:bCs w:val="1"/>
          <w:color w:val="auto"/>
        </w:rPr>
        <w:t>[*]</w:t>
      </w:r>
      <w:r>
        <w:rPr>
          <w:rFonts w:ascii="Arial" w:cs="Arial" w:eastAsia="Arial" w:hAnsi="Arial"/>
          <w:sz w:val="16"/>
          <w:szCs w:val="16"/>
          <w:color w:val="auto"/>
        </w:rPr>
        <w:t xml:space="preserve"> days (or a shorter period in order to enable the Licensee to make a timely announcement to fulfil applicable securities laws or other applicable law or regulation, while affording the Licensor the maximum feasible time to review the announcement) prior written notice of the proposed text for the purpose of giving the Licensor the opportunity to comment on the text.</w:t>
      </w:r>
    </w:p>
    <w:p>
      <w:pPr>
        <w:spacing w:after="0" w:line="217" w:lineRule="exact"/>
        <w:rPr>
          <w:sz w:val="20"/>
          <w:szCs w:val="20"/>
          <w:color w:val="auto"/>
        </w:rPr>
      </w:pPr>
    </w:p>
    <w:p>
      <w:pPr>
        <w:jc w:val="both"/>
        <w:ind w:left="440" w:hanging="450"/>
        <w:spacing w:after="0" w:line="283" w:lineRule="auto"/>
        <w:tabs>
          <w:tab w:leader="none" w:pos="420"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6"/>
          <w:szCs w:val="16"/>
          <w:u w:val="single" w:color="auto"/>
          <w:color w:val="auto"/>
        </w:rPr>
        <w:t>No information warranty</w:t>
      </w:r>
      <w:r>
        <w:rPr>
          <w:rFonts w:ascii="Arial" w:cs="Arial" w:eastAsia="Arial" w:hAnsi="Arial"/>
          <w:sz w:val="16"/>
          <w:szCs w:val="16"/>
          <w:color w:val="auto"/>
        </w:rPr>
        <w:t>. No warranty or representation is given by either Party as to the accuracy or completeness of information provided under this Agreement. Each</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Party must make its own independent assessment of the information provided and rely on its own judgment in reaching any conclusion.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9" w:name="page410"/>
    <w:bookmarkEnd w:id="409"/>
    <w:p>
      <w:pPr>
        <w:spacing w:after="0"/>
        <w:tabs>
          <w:tab w:leader="none" w:pos="42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auto"/>
        </w:rPr>
        <w:t>Term and Termination</w:t>
      </w:r>
    </w:p>
    <w:p>
      <w:pPr>
        <w:spacing w:after="0" w:line="258" w:lineRule="exact"/>
        <w:rPr>
          <w:sz w:val="20"/>
          <w:szCs w:val="20"/>
          <w:color w:val="auto"/>
        </w:rPr>
      </w:pPr>
    </w:p>
    <w:p>
      <w:pPr>
        <w:ind w:left="440" w:right="20" w:hanging="450"/>
        <w:spacing w:after="0" w:line="318" w:lineRule="auto"/>
        <w:tabs>
          <w:tab w:leader="none" w:pos="420"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5"/>
          <w:szCs w:val="15"/>
          <w:u w:val="single" w:color="auto"/>
          <w:color w:val="auto"/>
        </w:rPr>
        <w:t>Commencement and termination by expiry</w:t>
      </w:r>
      <w:r>
        <w:rPr>
          <w:rFonts w:ascii="Arial" w:cs="Arial" w:eastAsia="Arial" w:hAnsi="Arial"/>
          <w:sz w:val="15"/>
          <w:szCs w:val="15"/>
          <w:color w:val="auto"/>
        </w:rPr>
        <w:t>. This Agreement, and the licence granted under Clause 2.1 shall come into effect on the Effective Date and, unless</w:t>
      </w:r>
      <w:r>
        <w:rPr>
          <w:rFonts w:ascii="Arial" w:cs="Arial" w:eastAsia="Arial" w:hAnsi="Arial"/>
          <w:sz w:val="15"/>
          <w:szCs w:val="15"/>
          <w:u w:val="single" w:color="auto"/>
          <w:color w:val="auto"/>
        </w:rPr>
        <w:t xml:space="preserve"> </w:t>
      </w:r>
      <w:r>
        <w:rPr>
          <w:rFonts w:ascii="Arial" w:cs="Arial" w:eastAsia="Arial" w:hAnsi="Arial"/>
          <w:sz w:val="15"/>
          <w:szCs w:val="15"/>
          <w:color w:val="auto"/>
        </w:rPr>
        <w:t>terminated earlier in accordance with this Clause 8, shall continue in force and remains in effect until the later of expiration or abandonment of all Valid Claims.</w:t>
      </w:r>
    </w:p>
    <w:p>
      <w:pPr>
        <w:spacing w:after="0" w:line="17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4"/>
          <w:szCs w:val="14"/>
          <w:u w:val="single" w:color="auto"/>
          <w:color w:val="auto"/>
        </w:rPr>
        <w:t>Voluntary termination</w:t>
      </w:r>
      <w:r>
        <w:rPr>
          <w:rFonts w:ascii="Arial" w:cs="Arial" w:eastAsia="Arial" w:hAnsi="Arial"/>
          <w:sz w:val="14"/>
          <w:szCs w:val="14"/>
          <w:color w:val="auto"/>
        </w:rPr>
        <w:t>. The Licensee may terminate this Agreement:</w:t>
      </w:r>
    </w:p>
    <w:p>
      <w:pPr>
        <w:spacing w:after="0" w:line="250" w:lineRule="exact"/>
        <w:rPr>
          <w:sz w:val="20"/>
          <w:szCs w:val="20"/>
          <w:color w:val="auto"/>
        </w:rPr>
      </w:pPr>
    </w:p>
    <w:p>
      <w:pPr>
        <w:ind w:left="900" w:hanging="452"/>
        <w:spacing w:after="0"/>
        <w:tabs>
          <w:tab w:leader="none" w:pos="90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at any time on </w:t>
      </w:r>
      <w:r>
        <w:rPr>
          <w:rFonts w:ascii="Arial" w:cs="Arial" w:eastAsia="Arial" w:hAnsi="Arial"/>
          <w:sz w:val="16"/>
          <w:szCs w:val="16"/>
          <w:b w:val="1"/>
          <w:bCs w:val="1"/>
          <w:color w:val="auto"/>
        </w:rPr>
        <w:t>[*]</w:t>
      </w:r>
      <w:r>
        <w:rPr>
          <w:rFonts w:ascii="Arial" w:cs="Arial" w:eastAsia="Arial" w:hAnsi="Arial"/>
          <w:sz w:val="16"/>
          <w:szCs w:val="16"/>
          <w:color w:val="auto"/>
        </w:rPr>
        <w:t xml:space="preserve"> days’ notice in writing to the Licensor; or</w:t>
      </w:r>
    </w:p>
    <w:p>
      <w:pPr>
        <w:spacing w:after="0" w:line="254" w:lineRule="exact"/>
        <w:rPr>
          <w:rFonts w:ascii="Arial" w:cs="Arial" w:eastAsia="Arial" w:hAnsi="Arial"/>
          <w:sz w:val="16"/>
          <w:szCs w:val="16"/>
          <w:color w:val="auto"/>
        </w:rPr>
      </w:pPr>
    </w:p>
    <w:p>
      <w:pPr>
        <w:jc w:val="both"/>
        <w:ind w:left="900" w:right="20" w:hanging="452"/>
        <w:spacing w:after="0" w:line="271" w:lineRule="auto"/>
        <w:tabs>
          <w:tab w:leader="none" w:pos="90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on fourteen </w:t>
      </w:r>
      <w:r>
        <w:rPr>
          <w:rFonts w:ascii="Arial" w:cs="Arial" w:eastAsia="Arial" w:hAnsi="Arial"/>
          <w:sz w:val="16"/>
          <w:szCs w:val="16"/>
          <w:b w:val="1"/>
          <w:bCs w:val="1"/>
          <w:color w:val="auto"/>
        </w:rPr>
        <w:t>[*]</w:t>
      </w:r>
      <w:r>
        <w:rPr>
          <w:rFonts w:ascii="Arial" w:cs="Arial" w:eastAsia="Arial" w:hAnsi="Arial"/>
          <w:sz w:val="16"/>
          <w:szCs w:val="16"/>
          <w:color w:val="auto"/>
        </w:rPr>
        <w:t xml:space="preserve"> days’ notice if there is a Change of Control of the Licensor, or the Licensor sells all or substantially all of the KODE™ Technology assets to an entity that is a competitor of the Licensee being an entity engaged, directly or indirectly, in any one or more of the development, production, marketing, distribution and/or exploitation of a competing product in the Field.</w:t>
      </w:r>
    </w:p>
    <w:p>
      <w:pPr>
        <w:spacing w:after="0" w:line="205" w:lineRule="exact"/>
        <w:rPr>
          <w:sz w:val="20"/>
          <w:szCs w:val="20"/>
          <w:color w:val="auto"/>
        </w:rPr>
      </w:pPr>
    </w:p>
    <w:p>
      <w:pPr>
        <w:ind w:left="440" w:right="20" w:hanging="450"/>
        <w:spacing w:after="0" w:line="288" w:lineRule="auto"/>
        <w:tabs>
          <w:tab w:leader="none" w:pos="42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6"/>
          <w:szCs w:val="16"/>
          <w:u w:val="single" w:color="auto"/>
          <w:color w:val="auto"/>
        </w:rPr>
        <w:t>Termination by Default</w:t>
      </w:r>
      <w:r>
        <w:rPr>
          <w:rFonts w:ascii="Arial" w:cs="Arial" w:eastAsia="Arial" w:hAnsi="Arial"/>
          <w:sz w:val="16"/>
          <w:szCs w:val="16"/>
          <w:color w:val="auto"/>
        </w:rPr>
        <w:t>. Either Party may terminate this Agreement at any time by notice in writing to the other Party (the ‘</w:t>
      </w:r>
      <w:r>
        <w:rPr>
          <w:rFonts w:ascii="Arial" w:cs="Arial" w:eastAsia="Arial" w:hAnsi="Arial"/>
          <w:sz w:val="16"/>
          <w:szCs w:val="16"/>
          <w:b w:val="1"/>
          <w:bCs w:val="1"/>
          <w:color w:val="auto"/>
        </w:rPr>
        <w:t>Other Party’</w:t>
      </w:r>
      <w:r>
        <w:rPr>
          <w:rFonts w:ascii="Arial" w:cs="Arial" w:eastAsia="Arial" w:hAnsi="Arial"/>
          <w:sz w:val="16"/>
          <w:szCs w:val="16"/>
          <w:color w:val="auto"/>
        </w:rPr>
        <w:t>), such notice to take effect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specified in the notice:</w:t>
      </w:r>
    </w:p>
    <w:p>
      <w:pPr>
        <w:spacing w:after="0" w:line="196" w:lineRule="exact"/>
        <w:rPr>
          <w:sz w:val="20"/>
          <w:szCs w:val="20"/>
          <w:color w:val="auto"/>
        </w:rPr>
      </w:pPr>
    </w:p>
    <w:p>
      <w:pPr>
        <w:jc w:val="both"/>
        <w:ind w:left="900" w:right="20" w:hanging="452"/>
        <w:spacing w:after="0" w:line="268" w:lineRule="auto"/>
        <w:tabs>
          <w:tab w:leader="none" w:pos="90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if the Other Party is in persistent breach of this Agreement other than a failure by the Licensee to pay any amount due to the Licensor under this Agreement, and, in the case of a breach capable of remedy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the breach is not remedied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of the Other Party’s receiving notice specifying the breach and requiring its remedy; or</w:t>
      </w:r>
    </w:p>
    <w:p>
      <w:pPr>
        <w:spacing w:after="0" w:line="211" w:lineRule="exact"/>
        <w:rPr>
          <w:rFonts w:ascii="Arial" w:cs="Arial" w:eastAsia="Arial" w:hAnsi="Arial"/>
          <w:sz w:val="16"/>
          <w:szCs w:val="16"/>
          <w:color w:val="auto"/>
        </w:rPr>
      </w:pPr>
    </w:p>
    <w:p>
      <w:pPr>
        <w:ind w:left="900" w:right="20" w:hanging="452"/>
        <w:spacing w:after="0" w:line="318" w:lineRule="auto"/>
        <w:tabs>
          <w:tab w:leader="none" w:pos="900" w:val="left"/>
        </w:tabs>
        <w:numPr>
          <w:ilvl w:val="0"/>
          <w:numId w:val="403"/>
        </w:numPr>
        <w:rPr>
          <w:rFonts w:ascii="Arial" w:cs="Arial" w:eastAsia="Arial" w:hAnsi="Arial"/>
          <w:sz w:val="15"/>
          <w:szCs w:val="15"/>
          <w:color w:val="auto"/>
        </w:rPr>
      </w:pPr>
      <w:r>
        <w:rPr>
          <w:rFonts w:ascii="Arial" w:cs="Arial" w:eastAsia="Arial" w:hAnsi="Arial"/>
          <w:sz w:val="15"/>
          <w:szCs w:val="15"/>
          <w:color w:val="auto"/>
        </w:rPr>
        <w:t xml:space="preserve">If the alleged breach consists of non-payment of any uncontested amounts due to the Licensor under this Agreement, and the Licensee fails to cure that breach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days after receiving notice of the breach, the Licensor may terminate this Agreement immediately upon written notice to the Licensee;</w:t>
      </w:r>
    </w:p>
    <w:p>
      <w:pPr>
        <w:spacing w:after="0" w:line="176" w:lineRule="exact"/>
        <w:rPr>
          <w:rFonts w:ascii="Arial" w:cs="Arial" w:eastAsia="Arial" w:hAnsi="Arial"/>
          <w:sz w:val="15"/>
          <w:szCs w:val="15"/>
          <w:color w:val="auto"/>
        </w:rPr>
      </w:pPr>
    </w:p>
    <w:p>
      <w:pPr>
        <w:jc w:val="both"/>
        <w:ind w:left="900" w:right="20" w:hanging="452"/>
        <w:spacing w:after="0" w:line="261" w:lineRule="auto"/>
        <w:tabs>
          <w:tab w:leader="none" w:pos="90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if (A) the Other Party becomes insolvent or unable to pay its debts as and when they become due, or (B) an order is made or a resolution is passed for the winding up of the Other Party (other than voluntarily for the purpose of solvent amalgamation or reconstruction), or (C) a liquidator, administrator, administrative receiver, receiver, or trustee is appointed in respect of the whole or any part of the Other Party’s assets or business, or (D) the Other Party makes any composition with its creditors, or (E) the other Party ceases to continue its business, or (F) as a result of debt and/or maladministration the other Party takes or suffers any similar or analogous action in any jurisdiction.</w:t>
      </w:r>
    </w:p>
    <w:p>
      <w:pPr>
        <w:spacing w:after="0" w:line="217" w:lineRule="exact"/>
        <w:rPr>
          <w:sz w:val="20"/>
          <w:szCs w:val="20"/>
          <w:color w:val="auto"/>
        </w:rPr>
      </w:pPr>
    </w:p>
    <w:p>
      <w:pPr>
        <w:jc w:val="both"/>
        <w:ind w:left="440" w:right="20" w:hanging="450"/>
        <w:spacing w:after="0" w:line="268" w:lineRule="auto"/>
        <w:tabs>
          <w:tab w:leader="none" w:pos="420" w:val="left"/>
        </w:tabs>
        <w:rPr>
          <w:sz w:val="20"/>
          <w:szCs w:val="20"/>
          <w:color w:val="auto"/>
        </w:rPr>
      </w:pPr>
      <w:r>
        <w:rPr>
          <w:rFonts w:ascii="Arial" w:cs="Arial" w:eastAsia="Arial" w:hAnsi="Arial"/>
          <w:sz w:val="16"/>
          <w:szCs w:val="16"/>
          <w:color w:val="auto"/>
        </w:rPr>
        <w:t>16.4</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is responsible for delays resulting from causes beyond its reasonable control, including without limitation fire, explosion, flood, war,</w:t>
      </w:r>
      <w:r>
        <w:rPr>
          <w:rFonts w:ascii="Arial" w:cs="Arial" w:eastAsia="Arial" w:hAnsi="Arial"/>
          <w:sz w:val="16"/>
          <w:szCs w:val="16"/>
          <w:u w:val="single" w:color="auto"/>
          <w:color w:val="auto"/>
        </w:rPr>
        <w:t xml:space="preserve"> </w:t>
      </w:r>
      <w:r>
        <w:rPr>
          <w:rFonts w:ascii="Arial" w:cs="Arial" w:eastAsia="Arial" w:hAnsi="Arial"/>
          <w:sz w:val="16"/>
          <w:szCs w:val="16"/>
          <w:color w:val="auto"/>
        </w:rPr>
        <w:t>strike, act of terrorism or riot, provided that the nonperforming Party uses commercially reasonable efforts to avoid or remove those causes of non-performance and continues performance under this Agreement with reasonable dispatch whenever the causes are removed.</w:t>
      </w:r>
    </w:p>
    <w:p>
      <w:pPr>
        <w:spacing w:after="0" w:line="212"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16.5</w:t>
      </w:r>
      <w:r>
        <w:rPr>
          <w:sz w:val="20"/>
          <w:szCs w:val="20"/>
          <w:color w:val="auto"/>
        </w:rPr>
        <w:tab/>
      </w:r>
      <w:r>
        <w:rPr>
          <w:rFonts w:ascii="Arial" w:cs="Arial" w:eastAsia="Arial" w:hAnsi="Arial"/>
          <w:sz w:val="14"/>
          <w:szCs w:val="14"/>
          <w:u w:val="single" w:color="auto"/>
          <w:color w:val="auto"/>
        </w:rPr>
        <w:t>Consequences of Termination</w:t>
      </w:r>
      <w:r>
        <w:rPr>
          <w:rFonts w:ascii="Arial" w:cs="Arial" w:eastAsia="Arial" w:hAnsi="Arial"/>
          <w:sz w:val="14"/>
          <w:szCs w:val="14"/>
          <w:color w:val="auto"/>
        </w:rPr>
        <w:t>.</w:t>
      </w:r>
    </w:p>
    <w:p>
      <w:pPr>
        <w:spacing w:after="0" w:line="254" w:lineRule="exact"/>
        <w:rPr>
          <w:sz w:val="20"/>
          <w:szCs w:val="20"/>
          <w:color w:val="auto"/>
        </w:rPr>
      </w:pPr>
    </w:p>
    <w:p>
      <w:pPr>
        <w:ind w:left="900" w:right="20" w:hanging="452"/>
        <w:spacing w:after="0" w:line="283" w:lineRule="auto"/>
        <w:tabs>
          <w:tab w:leader="none" w:pos="90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Upon the early termination of this Agreement, the Licensee and its Affiliates and Sublicensees may complete and sell any work-in-progress and inventory of Licensed Products that exist as of the effective date of termination, provided that:</w:t>
      </w:r>
    </w:p>
    <w:p>
      <w:pPr>
        <w:spacing w:after="0" w:line="199" w:lineRule="exact"/>
        <w:rPr>
          <w:rFonts w:ascii="Arial" w:cs="Arial" w:eastAsia="Arial" w:hAnsi="Arial"/>
          <w:sz w:val="16"/>
          <w:szCs w:val="16"/>
          <w:color w:val="auto"/>
        </w:rPr>
      </w:pPr>
    </w:p>
    <w:p>
      <w:pPr>
        <w:ind w:left="1460" w:hanging="549"/>
        <w:spacing w:after="0"/>
        <w:tabs>
          <w:tab w:leader="none" w:pos="146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Licensee is current in payment of all amounts due the Licensor under this Agreement,</w:t>
      </w:r>
    </w:p>
    <w:p>
      <w:pPr>
        <w:spacing w:after="0" w:line="254" w:lineRule="exact"/>
        <w:rPr>
          <w:rFonts w:ascii="Arial" w:cs="Arial" w:eastAsia="Arial" w:hAnsi="Arial"/>
          <w:sz w:val="16"/>
          <w:szCs w:val="16"/>
          <w:color w:val="auto"/>
        </w:rPr>
      </w:pPr>
    </w:p>
    <w:p>
      <w:pPr>
        <w:ind w:left="1460" w:hanging="549"/>
        <w:spacing w:after="0"/>
        <w:tabs>
          <w:tab w:leader="none" w:pos="146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Licensee pays the Licensor the applicable royalty on sales of Licensed Products in accordance with the terms of this Agreement; and</w:t>
      </w:r>
    </w:p>
    <w:p>
      <w:pPr>
        <w:spacing w:after="0" w:line="254" w:lineRule="exact"/>
        <w:rPr>
          <w:rFonts w:ascii="Arial" w:cs="Arial" w:eastAsia="Arial" w:hAnsi="Arial"/>
          <w:sz w:val="16"/>
          <w:szCs w:val="16"/>
          <w:color w:val="auto"/>
        </w:rPr>
      </w:pPr>
    </w:p>
    <w:p>
      <w:pPr>
        <w:ind w:left="1460" w:right="20" w:hanging="549"/>
        <w:spacing w:after="0" w:line="283" w:lineRule="auto"/>
        <w:tabs>
          <w:tab w:leader="none" w:pos="146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Licensee and its Affiliates and Sublicensees complete and sell all work-in-progress and inventory of Licensed Products within nine (9) months after the effective date of termination.</w:t>
      </w:r>
    </w:p>
    <w:p>
      <w:pPr>
        <w:spacing w:after="0" w:line="199" w:lineRule="exact"/>
        <w:rPr>
          <w:rFonts w:ascii="Arial" w:cs="Arial" w:eastAsia="Arial" w:hAnsi="Arial"/>
          <w:sz w:val="16"/>
          <w:szCs w:val="16"/>
          <w:color w:val="auto"/>
        </w:rPr>
      </w:pPr>
    </w:p>
    <w:p>
      <w:pPr>
        <w:jc w:val="both"/>
        <w:ind w:left="900" w:hanging="452"/>
        <w:spacing w:after="0" w:line="261" w:lineRule="auto"/>
        <w:tabs>
          <w:tab w:leader="none" w:pos="900" w:val="left"/>
        </w:tabs>
        <w:numPr>
          <w:ilvl w:val="0"/>
          <w:numId w:val="404"/>
        </w:numPr>
        <w:rPr>
          <w:rFonts w:ascii="Arial" w:cs="Arial" w:eastAsia="Arial" w:hAnsi="Arial"/>
          <w:sz w:val="16"/>
          <w:szCs w:val="16"/>
          <w:color w:val="auto"/>
        </w:rPr>
      </w:pPr>
      <w:r>
        <w:rPr>
          <w:rFonts w:ascii="Arial" w:cs="Arial" w:eastAsia="Arial" w:hAnsi="Arial"/>
          <w:sz w:val="16"/>
          <w:szCs w:val="16"/>
          <w:color w:val="auto"/>
        </w:rPr>
        <w:t>Upon the expiration or termination of this Agreement, the Licensor may enter into a license agreement directly with each Sublicensee on terms that are reasonably negotiated directly with each Sublicensee. Save as expressly provided, upon termination of this Agreement for any reason the Licensee shall no longer be licensed to use or otherwise exploit in any way, either directly or indirectly, KODE™ Technology or KODE™ Know-How, in so far and for as long as any of the Licensed Patents remain in force, and except in respect of any accrued rights and those provisions expressed to survive termination, neither Party shall be under any further obligation to the other.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10" w:name="page411"/>
    <w:bookmarkEnd w:id="410"/>
    <w:p>
      <w:pPr>
        <w:jc w:val="both"/>
        <w:ind w:left="900" w:hanging="452"/>
        <w:spacing w:after="0" w:line="261" w:lineRule="auto"/>
        <w:tabs>
          <w:tab w:leader="none" w:pos="9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All rights and obligations of the Parties shall cease to have effect immediately upon termination of this Agreement provided that termination shall not affect the continued existence and validity of the rights and obligations of the parties under those Clauses of this Agreement which are expressed to survive termination and any provision of this Agreement necessary for the interpretation or enforcement of this Agreement. A Party’s right of termination under this Agreement, and the exercise of any such right, shall be without prejudice to any other right or remedy (including any right to claim damages) that such Party may have in the event of a breach of contract or other default by the other Party.</w:t>
      </w:r>
    </w:p>
    <w:p>
      <w:pPr>
        <w:spacing w:after="0" w:line="213"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6"/>
          <w:szCs w:val="16"/>
          <w:b w:val="1"/>
          <w:bCs w:val="1"/>
          <w:color w:val="auto"/>
        </w:rPr>
        <w:t>Dispute Resolution.</w:t>
      </w:r>
    </w:p>
    <w:p>
      <w:pPr>
        <w:spacing w:after="0" w:line="258" w:lineRule="exact"/>
        <w:rPr>
          <w:sz w:val="20"/>
          <w:szCs w:val="20"/>
          <w:color w:val="auto"/>
        </w:rPr>
      </w:pPr>
    </w:p>
    <w:p>
      <w:pPr>
        <w:jc w:val="both"/>
        <w:ind w:left="440" w:hanging="450"/>
        <w:spacing w:after="0" w:line="294" w:lineRule="auto"/>
        <w:tabs>
          <w:tab w:leader="none" w:pos="42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5"/>
          <w:szCs w:val="15"/>
          <w:u w:val="single" w:color="auto"/>
          <w:color w:val="auto"/>
        </w:rPr>
        <w:t>Procedures Mandatory</w:t>
      </w:r>
      <w:r>
        <w:rPr>
          <w:rFonts w:ascii="Arial" w:cs="Arial" w:eastAsia="Arial" w:hAnsi="Arial"/>
          <w:sz w:val="15"/>
          <w:szCs w:val="15"/>
          <w:color w:val="auto"/>
        </w:rPr>
        <w:t>. The parties shall resolve any dispute arising out of or relating to this Agreement solely by means of the procedures set forth in this Clause.</w:t>
      </w:r>
      <w:r>
        <w:rPr>
          <w:rFonts w:ascii="Arial" w:cs="Arial" w:eastAsia="Arial" w:hAnsi="Arial"/>
          <w:sz w:val="15"/>
          <w:szCs w:val="15"/>
          <w:u w:val="single" w:color="auto"/>
          <w:color w:val="auto"/>
        </w:rPr>
        <w:t xml:space="preserve"> </w:t>
      </w:r>
      <w:r>
        <w:rPr>
          <w:rFonts w:ascii="Arial" w:cs="Arial" w:eastAsia="Arial" w:hAnsi="Arial"/>
          <w:sz w:val="15"/>
          <w:szCs w:val="15"/>
          <w:color w:val="auto"/>
        </w:rPr>
        <w:t>These procedures constitute legally binding obligations that are an essential provision of this Agreement. If either Party fails to observe the procedures of this Clause, as modified by their written agreement, the other Party may bring an action for specific performance in any court of competent jurisdiction.</w:t>
      </w:r>
    </w:p>
    <w:p>
      <w:pPr>
        <w:spacing w:after="0" w:line="1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4"/>
          <w:szCs w:val="14"/>
          <w:u w:val="single" w:color="auto"/>
          <w:color w:val="auto"/>
        </w:rPr>
        <w:t>Dispute Resolution Procedures</w:t>
      </w:r>
      <w:r>
        <w:rPr>
          <w:rFonts w:ascii="Arial" w:cs="Arial" w:eastAsia="Arial" w:hAnsi="Arial"/>
          <w:sz w:val="14"/>
          <w:szCs w:val="14"/>
          <w:color w:val="auto"/>
        </w:rPr>
        <w:t>.</w:t>
      </w:r>
    </w:p>
    <w:p>
      <w:pPr>
        <w:spacing w:after="0" w:line="254" w:lineRule="exact"/>
        <w:rPr>
          <w:sz w:val="20"/>
          <w:szCs w:val="20"/>
          <w:color w:val="auto"/>
        </w:rPr>
      </w:pPr>
    </w:p>
    <w:p>
      <w:pPr>
        <w:jc w:val="both"/>
        <w:ind w:left="900" w:hanging="452"/>
        <w:spacing w:after="0" w:line="282" w:lineRule="auto"/>
        <w:tabs>
          <w:tab w:leader="none" w:pos="900" w:val="left"/>
        </w:tabs>
        <w:numPr>
          <w:ilvl w:val="0"/>
          <w:numId w:val="406"/>
        </w:numPr>
        <w:rPr>
          <w:rFonts w:ascii="Arial" w:cs="Arial" w:eastAsia="Arial" w:hAnsi="Arial"/>
          <w:sz w:val="15"/>
          <w:szCs w:val="15"/>
          <w:color w:val="auto"/>
        </w:rPr>
      </w:pPr>
      <w:r>
        <w:rPr>
          <w:rFonts w:ascii="Arial" w:cs="Arial" w:eastAsia="Arial" w:hAnsi="Arial"/>
          <w:sz w:val="15"/>
          <w:szCs w:val="15"/>
          <w:u w:val="single" w:color="auto"/>
          <w:color w:val="auto"/>
        </w:rPr>
        <w:t>Negotiation</w:t>
      </w:r>
      <w:r>
        <w:rPr>
          <w:rFonts w:ascii="Arial" w:cs="Arial" w:eastAsia="Arial" w:hAnsi="Arial"/>
          <w:sz w:val="15"/>
          <w:szCs w:val="15"/>
          <w:color w:val="auto"/>
        </w:rPr>
        <w:t xml:space="preserve">. In the event of any dispute arising out of or relating to this Agreement, the affected Party shall notify the other Party, and the parties shall attempt in good faith to resolve the matter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days after the date of notice (the “</w:t>
      </w:r>
      <w:r>
        <w:rPr>
          <w:rFonts w:ascii="Arial" w:cs="Arial" w:eastAsia="Arial" w:hAnsi="Arial"/>
          <w:sz w:val="15"/>
          <w:szCs w:val="15"/>
          <w:b w:val="1"/>
          <w:bCs w:val="1"/>
          <w:color w:val="auto"/>
        </w:rPr>
        <w:t>Notice Date</w:t>
      </w:r>
      <w:r>
        <w:rPr>
          <w:rFonts w:ascii="Arial" w:cs="Arial" w:eastAsia="Arial" w:hAnsi="Arial"/>
          <w:sz w:val="15"/>
          <w:szCs w:val="15"/>
          <w:color w:val="auto"/>
        </w:rPr>
        <w:t xml:space="preserve">”). Any disputes not resolved by good faith discussions shall be referred to senior executives of each Party, who shall meet and attempt to negotiate a settlement within </w:t>
      </w:r>
      <w:r>
        <w:rPr>
          <w:rFonts w:ascii="Arial" w:cs="Arial" w:eastAsia="Arial" w:hAnsi="Arial"/>
          <w:sz w:val="15"/>
          <w:szCs w:val="15"/>
          <w:b w:val="1"/>
          <w:bCs w:val="1"/>
          <w:color w:val="auto"/>
        </w:rPr>
        <w:t>[*]</w:t>
      </w:r>
      <w:r>
        <w:rPr>
          <w:rFonts w:ascii="Arial" w:cs="Arial" w:eastAsia="Arial" w:hAnsi="Arial"/>
          <w:sz w:val="15"/>
          <w:szCs w:val="15"/>
          <w:color w:val="auto"/>
        </w:rPr>
        <w:t xml:space="preserve"> days after the Notice Date. Subject as provided the representatives of the Parties may participate in meetings, adjourn and otherwise regulate their meetings as they think fit, and in determining whether such representatives are participating in a meeting, it is irrelevant where any representative is or how they communicate with each other.</w:t>
      </w:r>
    </w:p>
    <w:p>
      <w:pPr>
        <w:spacing w:after="0" w:line="200" w:lineRule="exact"/>
        <w:rPr>
          <w:rFonts w:ascii="Arial" w:cs="Arial" w:eastAsia="Arial" w:hAnsi="Arial"/>
          <w:sz w:val="15"/>
          <w:szCs w:val="15"/>
          <w:color w:val="auto"/>
        </w:rPr>
      </w:pPr>
    </w:p>
    <w:p>
      <w:pPr>
        <w:jc w:val="both"/>
        <w:ind w:left="900" w:hanging="452"/>
        <w:spacing w:after="0" w:line="271" w:lineRule="auto"/>
        <w:tabs>
          <w:tab w:leader="none" w:pos="900"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xml:space="preserve">. If the matter remains unresolved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Notice Date, or if the senior executives fail to meet within </w:t>
      </w:r>
      <w:r>
        <w:rPr>
          <w:rFonts w:ascii="Arial" w:cs="Arial" w:eastAsia="Arial" w:hAnsi="Arial"/>
          <w:sz w:val="16"/>
          <w:szCs w:val="16"/>
          <w:b w:val="1"/>
          <w:bCs w:val="1"/>
          <w:color w:val="auto"/>
        </w:rPr>
        <w:t>[*]</w:t>
      </w:r>
      <w:r>
        <w:rPr>
          <w:rFonts w:ascii="Arial" w:cs="Arial" w:eastAsia="Arial" w:hAnsi="Arial"/>
          <w:sz w:val="16"/>
          <w:szCs w:val="16"/>
          <w:color w:val="auto"/>
        </w:rPr>
        <w:t xml:space="preserve"> days after the Notice Date, the Parties shall first seek settlement of that dispute by mediation in accordance with the then current LCIA Mediation Rules, which Rules are deemed to be incorporated by reference into this Clause.</w:t>
      </w:r>
    </w:p>
    <w:p>
      <w:pPr>
        <w:spacing w:after="0" w:line="208" w:lineRule="exact"/>
        <w:rPr>
          <w:rFonts w:ascii="Arial" w:cs="Arial" w:eastAsia="Arial" w:hAnsi="Arial"/>
          <w:sz w:val="16"/>
          <w:szCs w:val="16"/>
          <w:color w:val="auto"/>
        </w:rPr>
      </w:pPr>
    </w:p>
    <w:p>
      <w:pPr>
        <w:jc w:val="both"/>
        <w:ind w:left="900" w:hanging="452"/>
        <w:spacing w:after="0" w:line="268" w:lineRule="auto"/>
        <w:tabs>
          <w:tab w:leader="none" w:pos="900"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If the Parties fail to resolve the dispute through mediation, or if neither Party elects to initiate mediation, each Party may serve notice on the other Party that it wishes to refer the matters in dispute to be finally resolved by arbitration under the then current LCIA Arbitration Rules, which Rules are deemed to be incorporated by reference into this Clause.</w:t>
      </w:r>
    </w:p>
    <w:p>
      <w:pPr>
        <w:spacing w:after="0" w:line="211" w:lineRule="exact"/>
        <w:rPr>
          <w:rFonts w:ascii="Arial" w:cs="Arial" w:eastAsia="Arial" w:hAnsi="Arial"/>
          <w:sz w:val="16"/>
          <w:szCs w:val="16"/>
          <w:color w:val="auto"/>
        </w:rPr>
      </w:pPr>
    </w:p>
    <w:p>
      <w:pPr>
        <w:ind w:left="1460" w:hanging="549"/>
        <w:spacing w:after="0"/>
        <w:tabs>
          <w:tab w:leader="none" w:pos="146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The number of arbitrators shall be one.</w:t>
      </w:r>
    </w:p>
    <w:p>
      <w:pPr>
        <w:spacing w:after="0" w:line="254" w:lineRule="exact"/>
        <w:rPr>
          <w:rFonts w:ascii="Arial" w:cs="Arial" w:eastAsia="Arial" w:hAnsi="Arial"/>
          <w:sz w:val="16"/>
          <w:szCs w:val="16"/>
          <w:color w:val="auto"/>
        </w:rPr>
      </w:pPr>
    </w:p>
    <w:p>
      <w:pPr>
        <w:ind w:left="1460" w:hanging="549"/>
        <w:spacing w:after="0"/>
        <w:tabs>
          <w:tab w:leader="none" w:pos="146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The seat, or legal place, of arbitration shall be London.</w:t>
      </w:r>
    </w:p>
    <w:p>
      <w:pPr>
        <w:spacing w:after="0" w:line="254" w:lineRule="exact"/>
        <w:rPr>
          <w:rFonts w:ascii="Arial" w:cs="Arial" w:eastAsia="Arial" w:hAnsi="Arial"/>
          <w:sz w:val="16"/>
          <w:szCs w:val="16"/>
          <w:color w:val="auto"/>
        </w:rPr>
      </w:pPr>
    </w:p>
    <w:p>
      <w:pPr>
        <w:ind w:left="1460" w:hanging="549"/>
        <w:spacing w:after="0"/>
        <w:tabs>
          <w:tab w:leader="none" w:pos="146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The language to be used in the arbitral proceedings shall be English.</w:t>
      </w:r>
    </w:p>
    <w:p>
      <w:pPr>
        <w:spacing w:after="0" w:line="254" w:lineRule="exact"/>
        <w:rPr>
          <w:rFonts w:ascii="Arial" w:cs="Arial" w:eastAsia="Arial" w:hAnsi="Arial"/>
          <w:sz w:val="16"/>
          <w:szCs w:val="16"/>
          <w:color w:val="auto"/>
        </w:rPr>
      </w:pPr>
    </w:p>
    <w:p>
      <w:pPr>
        <w:ind w:left="1460" w:hanging="549"/>
        <w:spacing w:after="0"/>
        <w:tabs>
          <w:tab w:leader="none" w:pos="146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The governing law of the contract shall be the substantive law of England.</w:t>
      </w: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4"/>
          <w:szCs w:val="14"/>
          <w:u w:val="single" w:color="auto"/>
          <w:color w:val="auto"/>
        </w:rPr>
        <w:t>Preservation of Rights Pending Resolution</w:t>
      </w:r>
      <w:r>
        <w:rPr>
          <w:rFonts w:ascii="Arial" w:cs="Arial" w:eastAsia="Arial" w:hAnsi="Arial"/>
          <w:sz w:val="14"/>
          <w:szCs w:val="14"/>
          <w:color w:val="auto"/>
        </w:rPr>
        <w:t>.</w:t>
      </w:r>
    </w:p>
    <w:p>
      <w:pPr>
        <w:spacing w:after="0" w:line="254" w:lineRule="exact"/>
        <w:rPr>
          <w:sz w:val="20"/>
          <w:szCs w:val="20"/>
          <w:color w:val="auto"/>
        </w:rPr>
      </w:pPr>
    </w:p>
    <w:p>
      <w:pPr>
        <w:jc w:val="both"/>
        <w:ind w:left="900" w:hanging="452"/>
        <w:spacing w:after="0" w:line="268" w:lineRule="auto"/>
        <w:tabs>
          <w:tab w:leader="none" w:pos="900"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Performance to Continue</w:t>
      </w:r>
      <w:r>
        <w:rPr>
          <w:rFonts w:ascii="Arial" w:cs="Arial" w:eastAsia="Arial" w:hAnsi="Arial"/>
          <w:sz w:val="16"/>
          <w:szCs w:val="16"/>
          <w:color w:val="auto"/>
        </w:rPr>
        <w:t>. Each Party shall continue to perform its obligations under this Agreement pending final resolution of any dispute arising out of or relating to this Agreement. However, a Party may suspend performance of its obligations during any period in which the other Party fails or refuses to perform its obligations.</w:t>
      </w:r>
    </w:p>
    <w:p>
      <w:pPr>
        <w:spacing w:after="0" w:line="211" w:lineRule="exact"/>
        <w:rPr>
          <w:rFonts w:ascii="Arial" w:cs="Arial" w:eastAsia="Arial" w:hAnsi="Arial"/>
          <w:sz w:val="16"/>
          <w:szCs w:val="16"/>
          <w:color w:val="auto"/>
        </w:rPr>
      </w:pPr>
    </w:p>
    <w:p>
      <w:pPr>
        <w:jc w:val="both"/>
        <w:ind w:left="900" w:hanging="452"/>
        <w:spacing w:after="0" w:line="268" w:lineRule="auto"/>
        <w:tabs>
          <w:tab w:leader="none" w:pos="900"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t>Provisional Remedies</w:t>
      </w:r>
      <w:r>
        <w:rPr>
          <w:rFonts w:ascii="Arial" w:cs="Arial" w:eastAsia="Arial" w:hAnsi="Arial"/>
          <w:sz w:val="16"/>
          <w:szCs w:val="16"/>
          <w:color w:val="auto"/>
        </w:rPr>
        <w:t>. Although the procedures specified in this Clause are the exclusive procedures for resolution of disputes arising out of or relating to this Agreement, either Party may seek a preliminary injunction or other provisional equitable relief if, in its reasonable judgment, that action is necessary to avoid irreparable harm to itself or to preserve its rights under this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1" w:name="page412"/>
    <w:bookmarkEnd w:id="411"/>
    <w:p>
      <w:pPr>
        <w:jc w:val="both"/>
        <w:ind w:left="900" w:hanging="452"/>
        <w:spacing w:after="0" w:line="268" w:lineRule="auto"/>
        <w:tabs>
          <w:tab w:leader="none" w:pos="900"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Statute of Limitations</w:t>
      </w:r>
      <w:r>
        <w:rPr>
          <w:rFonts w:ascii="Arial" w:cs="Arial" w:eastAsia="Arial" w:hAnsi="Arial"/>
          <w:sz w:val="16"/>
          <w:szCs w:val="16"/>
          <w:color w:val="auto"/>
        </w:rPr>
        <w:t>. The Parties agree that all applicable statutes of limitation and time-based defences (such as, estoppel and laches) are tolled while the negotiation, mediation and/or arbitration procedures set forth in Clause 9.2.(a), 9.2(b) or 9.2(c) are pending. The Parties shall take any actions necessary to effectuate this result.</w:t>
      </w:r>
    </w:p>
    <w:p>
      <w:pPr>
        <w:spacing w:after="0" w:line="20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auto"/>
        </w:rPr>
        <w:t>General</w:t>
      </w:r>
    </w:p>
    <w:p>
      <w:pPr>
        <w:spacing w:after="0" w:line="258" w:lineRule="exact"/>
        <w:rPr>
          <w:sz w:val="20"/>
          <w:szCs w:val="20"/>
          <w:color w:val="auto"/>
        </w:rPr>
      </w:pPr>
    </w:p>
    <w:p>
      <w:pPr>
        <w:jc w:val="both"/>
        <w:ind w:left="440" w:hanging="450"/>
        <w:spacing w:after="0" w:line="261" w:lineRule="auto"/>
        <w:tabs>
          <w:tab w:leader="none" w:pos="420"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Licensor warrants that its employees and contractors have assigned to the Licensor their entire right, title, and interest in and to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Licensed Patents, the KODE™ Technology and KODE™ Know-how, and that it has authority to grant the rights and licenses set forth in this Agreement, and that it has not granted any rights in or to the Licensed Patents and/or the KODE™ Technology and/or the KODE™ Know-how to any Third Party that is inconsistent with the grant of rights in this Agreement. Save as expressly provided in this agreement, neither Party makes any other warranty or accepts any liability in connection with the supply and use of KODE™ Constructs hereunder and specifically does not give any warranty that:</w:t>
      </w:r>
    </w:p>
    <w:p>
      <w:pPr>
        <w:spacing w:after="0" w:line="213" w:lineRule="exact"/>
        <w:rPr>
          <w:sz w:val="20"/>
          <w:szCs w:val="20"/>
          <w:color w:val="auto"/>
        </w:rPr>
      </w:pPr>
    </w:p>
    <w:p>
      <w:pPr>
        <w:ind w:left="900" w:hanging="452"/>
        <w:spacing w:after="0"/>
        <w:tabs>
          <w:tab w:leader="none" w:pos="900" w:val="left"/>
        </w:tabs>
        <w:numPr>
          <w:ilvl w:val="0"/>
          <w:numId w:val="409"/>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54" w:lineRule="exact"/>
        <w:rPr>
          <w:rFonts w:ascii="Arial" w:cs="Arial" w:eastAsia="Arial" w:hAnsi="Arial"/>
          <w:sz w:val="16"/>
          <w:szCs w:val="16"/>
          <w:color w:val="auto"/>
        </w:rPr>
      </w:pPr>
    </w:p>
    <w:p>
      <w:pPr>
        <w:ind w:left="900" w:hanging="452"/>
        <w:spacing w:after="0"/>
        <w:tabs>
          <w:tab w:leader="none" w:pos="900" w:val="left"/>
        </w:tabs>
        <w:numPr>
          <w:ilvl w:val="0"/>
          <w:numId w:val="409"/>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54" w:lineRule="exact"/>
        <w:rPr>
          <w:rFonts w:ascii="Arial" w:cs="Arial" w:eastAsia="Arial" w:hAnsi="Arial"/>
          <w:sz w:val="16"/>
          <w:szCs w:val="16"/>
          <w:color w:val="auto"/>
        </w:rPr>
      </w:pPr>
    </w:p>
    <w:p>
      <w:pPr>
        <w:ind w:left="900" w:hanging="452"/>
        <w:spacing w:after="0"/>
        <w:tabs>
          <w:tab w:leader="none" w:pos="900" w:val="left"/>
        </w:tabs>
        <w:numPr>
          <w:ilvl w:val="0"/>
          <w:numId w:val="409"/>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5"/>
          <w:szCs w:val="15"/>
          <w:u w:val="single" w:color="auto"/>
          <w:color w:val="auto"/>
        </w:rPr>
        <w:t>Limitation of liability</w:t>
      </w:r>
      <w:r>
        <w:rPr>
          <w:rFonts w:ascii="Arial" w:cs="Arial" w:eastAsia="Arial" w:hAnsi="Arial"/>
          <w:sz w:val="15"/>
          <w:szCs w:val="15"/>
          <w:color w:val="auto"/>
        </w:rPr>
        <w:t>. Neither Party shall be entitled to recover from the other any special incidental, consequential or punitive damages.</w:t>
      </w:r>
    </w:p>
    <w:p>
      <w:pPr>
        <w:spacing w:after="0" w:line="254" w:lineRule="exact"/>
        <w:rPr>
          <w:sz w:val="20"/>
          <w:szCs w:val="20"/>
          <w:color w:val="auto"/>
        </w:rPr>
      </w:pPr>
    </w:p>
    <w:p>
      <w:pPr>
        <w:ind w:left="440" w:hanging="450"/>
        <w:spacing w:after="0" w:line="283" w:lineRule="auto"/>
        <w:tabs>
          <w:tab w:leader="none" w:pos="420"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6"/>
          <w:szCs w:val="16"/>
          <w:u w:val="single" w:color="auto"/>
          <w:color w:val="auto"/>
        </w:rPr>
        <w:t>No Partnership</w:t>
      </w:r>
      <w:r>
        <w:rPr>
          <w:rFonts w:ascii="Arial" w:cs="Arial" w:eastAsia="Arial" w:hAnsi="Arial"/>
          <w:sz w:val="16"/>
          <w:szCs w:val="16"/>
          <w:color w:val="auto"/>
        </w:rPr>
        <w:t>. Nothing in this Agreement is intended to, or shall be deemed to, establish any partnership or joint venture between the Parties, constitute either Party</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agent of the other Party, nor authorise either Party to make or enter into any commitments for or on behalf of the other Party.</w:t>
      </w:r>
    </w:p>
    <w:p>
      <w:pPr>
        <w:spacing w:after="0" w:line="199"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is binding upon and inures to the benefit of the Parties and their respective permitted successors and assigns.</w:t>
      </w: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18.5</w:t>
      </w:r>
      <w:r>
        <w:rPr>
          <w:sz w:val="20"/>
          <w:szCs w:val="20"/>
          <w:color w:val="auto"/>
        </w:rPr>
        <w:tab/>
      </w:r>
      <w:r>
        <w:rPr>
          <w:rFonts w:ascii="Arial" w:cs="Arial" w:eastAsia="Arial" w:hAnsi="Arial"/>
          <w:sz w:val="14"/>
          <w:szCs w:val="14"/>
          <w:u w:val="single" w:color="auto"/>
          <w:color w:val="auto"/>
        </w:rPr>
        <w:t>Notices</w:t>
      </w:r>
      <w:r>
        <w:rPr>
          <w:rFonts w:ascii="Arial" w:cs="Arial" w:eastAsia="Arial" w:hAnsi="Arial"/>
          <w:sz w:val="14"/>
          <w:szCs w:val="14"/>
          <w:color w:val="auto"/>
        </w:rPr>
        <w:t>.</w:t>
      </w:r>
    </w:p>
    <w:p>
      <w:pPr>
        <w:spacing w:after="0" w:line="254"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Any notices required or permitted under this Agreement shall be in writing, shall specifically refer to this Agreement, and shall be (a) delivered personally, or (b) sent by recognized national overnight courier; or (c) sent by registered or certified mail, postage prepaid, return receipt requested, to the following addresses:</w:t>
      </w:r>
    </w:p>
    <w:p>
      <w:pPr>
        <w:sectPr>
          <w:pgSz w:w="11900" w:h="16838" w:orient="portrait"/>
          <w:cols w:equalWidth="0" w:num="1">
            <w:col w:w="11420"/>
          </w:cols>
          <w:pgMar w:left="240" w:top="127" w:right="239" w:bottom="1440" w:gutter="0" w:footer="0" w:header="0"/>
        </w:sectPr>
      </w:pPr>
    </w:p>
    <w:p>
      <w:pPr>
        <w:spacing w:after="0" w:line="172"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If to the Licensor: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to the Licensee:</w:t>
      </w:r>
    </w:p>
    <w:p>
      <w:pPr>
        <w:spacing w:after="0" w:line="211" w:lineRule="exact"/>
        <w:rPr>
          <w:sz w:val="20"/>
          <w:szCs w:val="20"/>
          <w:color w:val="auto"/>
        </w:rPr>
      </w:pPr>
    </w:p>
    <w:p>
      <w:pPr>
        <w:sectPr>
          <w:pgSz w:w="11900" w:h="16838" w:orient="portrait"/>
          <w:cols w:equalWidth="0" w:num="2">
            <w:col w:w="7660" w:space="720"/>
            <w:col w:w="3040"/>
          </w:cols>
          <w:pgMar w:left="240" w:top="127" w:right="239" w:bottom="1440" w:gutter="0" w:footer="0" w:header="0"/>
          <w:type w:val="continuous"/>
        </w:sectPr>
      </w:pP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KODE Biotech Limited</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19 Mount Street</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Scott Laboratory Building</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Auckland University of Technology</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Auckland, New Zealand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Agalimmune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Wilson Wright LLP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1st Floor Thavies Inn House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London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United Kingdom EC1N 2HA</w:t>
      </w:r>
    </w:p>
    <w:p>
      <w:pPr>
        <w:spacing w:after="0" w:line="205" w:lineRule="exact"/>
        <w:rPr>
          <w:sz w:val="20"/>
          <w:szCs w:val="20"/>
          <w:color w:val="auto"/>
        </w:rPr>
      </w:pPr>
    </w:p>
    <w:p>
      <w:pPr>
        <w:sectPr>
          <w:pgSz w:w="11900" w:h="16838" w:orient="portrait"/>
          <w:cols w:equalWidth="0" w:num="2">
            <w:col w:w="7660" w:space="720"/>
            <w:col w:w="3040"/>
          </w:cols>
          <w:pgMar w:left="240" w:top="127" w:right="23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Attention: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Attention: CEO/Directors</w:t>
      </w:r>
    </w:p>
    <w:p>
      <w:pPr>
        <w:spacing w:after="0" w:line="211" w:lineRule="exact"/>
        <w:rPr>
          <w:sz w:val="20"/>
          <w:szCs w:val="20"/>
          <w:color w:val="auto"/>
        </w:rPr>
      </w:pPr>
    </w:p>
    <w:p>
      <w:pPr>
        <w:sectPr>
          <w:pgSz w:w="11900" w:h="16838" w:orient="portrait"/>
          <w:cols w:equalWidth="0" w:num="2">
            <w:col w:w="7660" w:space="720"/>
            <w:col w:w="3040"/>
          </w:cols>
          <w:pgMar w:left="240" w:top="127" w:right="239" w:bottom="1440" w:gutter="0" w:footer="0" w:header="0"/>
          <w:type w:val="continuous"/>
        </w:sectPr>
      </w:pPr>
    </w:p>
    <w:p>
      <w:pPr>
        <w:spacing w:after="0" w:line="6" w:lineRule="exact"/>
        <w:rPr>
          <w:sz w:val="20"/>
          <w:szCs w:val="20"/>
          <w:color w:val="auto"/>
        </w:rPr>
      </w:pPr>
    </w:p>
    <w:p>
      <w:pPr>
        <w:ind w:left="460" w:right="40"/>
        <w:spacing w:after="0" w:line="260" w:lineRule="auto"/>
        <w:rPr>
          <w:sz w:val="20"/>
          <w:szCs w:val="20"/>
          <w:color w:val="auto"/>
        </w:rPr>
      </w:pPr>
      <w:r>
        <w:rPr>
          <w:rFonts w:ascii="Arial" w:cs="Arial" w:eastAsia="Arial" w:hAnsi="Arial"/>
          <w:sz w:val="16"/>
          <w:szCs w:val="16"/>
          <w:color w:val="auto"/>
        </w:rPr>
        <w:t>All notices under this Agreement are effective and deemed received (a) if delivered personally, at the time of delivery; (b) if sent by recognized national overnight courier, two business days from the date of dispatch; (c) in the case of pre-paid registered or certified mail, four business days from the date of posting. If deemed receipt under the previous paragraphs of this Clause is not within business hours (meaning 9.00 am to 5.30 pm Monday to Friday on a day that is not a public holiday in the place of receipt), when business next starts in the place of receipt. To prove service in the case of post, it is sufficient to prove that the envelope containing the notice was properly addressed and posted. A Party may change its contact information immediately upon written notice to the other Party in the manner provided in this Clause.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412" w:name="page413"/>
    <w:bookmarkEnd w:id="412"/>
    <w:p>
      <w:pPr>
        <w:ind w:left="440" w:right="20" w:hanging="450"/>
        <w:spacing w:after="0" w:line="283" w:lineRule="auto"/>
        <w:tabs>
          <w:tab w:leader="none" w:pos="420"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out the entire agreement between the Parties relating to its subject matter and supersedes all prior oral or written agreements,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arrangements or understandings between them relating to such subject matter, including</w:t>
      </w:r>
    </w:p>
    <w:p>
      <w:pPr>
        <w:spacing w:after="0" w:line="199" w:lineRule="exact"/>
        <w:rPr>
          <w:sz w:val="20"/>
          <w:szCs w:val="20"/>
          <w:color w:val="auto"/>
        </w:rPr>
      </w:pPr>
    </w:p>
    <w:p>
      <w:pPr>
        <w:ind w:left="900" w:hanging="452"/>
        <w:spacing w:after="0"/>
        <w:tabs>
          <w:tab w:leader="none" w:pos="90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Mutual Confidentiality Undertakings dated 29 July 2014.</w:t>
      </w:r>
    </w:p>
    <w:p>
      <w:pPr>
        <w:spacing w:after="0" w:line="254" w:lineRule="exact"/>
        <w:rPr>
          <w:rFonts w:ascii="Arial" w:cs="Arial" w:eastAsia="Arial" w:hAnsi="Arial"/>
          <w:sz w:val="16"/>
          <w:szCs w:val="16"/>
          <w:color w:val="auto"/>
        </w:rPr>
      </w:pPr>
    </w:p>
    <w:p>
      <w:pPr>
        <w:ind w:left="900" w:hanging="452"/>
        <w:spacing w:after="0"/>
        <w:tabs>
          <w:tab w:leader="none" w:pos="90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Evaluation License &amp; Option Agreement dated March 31, 2015.</w:t>
      </w:r>
    </w:p>
    <w:p>
      <w:pPr>
        <w:spacing w:after="0" w:line="254" w:lineRule="exact"/>
        <w:rPr>
          <w:sz w:val="20"/>
          <w:szCs w:val="20"/>
          <w:color w:val="auto"/>
        </w:rPr>
      </w:pPr>
    </w:p>
    <w:p>
      <w:pPr>
        <w:ind w:left="460" w:right="140"/>
        <w:spacing w:after="0" w:line="283" w:lineRule="auto"/>
        <w:rPr>
          <w:sz w:val="20"/>
          <w:szCs w:val="20"/>
          <w:color w:val="auto"/>
        </w:rPr>
      </w:pPr>
      <w:r>
        <w:rPr>
          <w:rFonts w:ascii="Arial" w:cs="Arial" w:eastAsia="Arial" w:hAnsi="Arial"/>
          <w:sz w:val="16"/>
          <w:szCs w:val="16"/>
          <w:color w:val="auto"/>
        </w:rPr>
        <w:t>The Parties acknowledge that they are not relying on any representation, agreement, term, or condition that is not set out in this Agreement. Nothing in this Agreement excludes liability for fraud.</w:t>
      </w:r>
    </w:p>
    <w:p>
      <w:pPr>
        <w:spacing w:after="0" w:line="199" w:lineRule="exact"/>
        <w:rPr>
          <w:sz w:val="20"/>
          <w:szCs w:val="20"/>
          <w:color w:val="auto"/>
        </w:rPr>
      </w:pPr>
    </w:p>
    <w:p>
      <w:pPr>
        <w:jc w:val="both"/>
        <w:ind w:left="440" w:hanging="450"/>
        <w:spacing w:after="0" w:line="268" w:lineRule="auto"/>
        <w:tabs>
          <w:tab w:leader="none" w:pos="42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6"/>
          <w:szCs w:val="16"/>
          <w:u w:val="single" w:color="auto"/>
          <w:color w:val="auto"/>
        </w:rPr>
        <w:t>Variation &amp; Waiver</w:t>
      </w:r>
      <w:r>
        <w:rPr>
          <w:rFonts w:ascii="Arial" w:cs="Arial" w:eastAsia="Arial" w:hAnsi="Arial"/>
          <w:sz w:val="16"/>
          <w:szCs w:val="16"/>
          <w:color w:val="auto"/>
        </w:rPr>
        <w:t>. This Agreement, including this Clause, may be amended, varied or renewed only by a document in writing signed by a duly authorized</w:t>
      </w:r>
      <w:r>
        <w:rPr>
          <w:rFonts w:ascii="Arial" w:cs="Arial" w:eastAsia="Arial" w:hAnsi="Arial"/>
          <w:sz w:val="16"/>
          <w:szCs w:val="16"/>
          <w:u w:val="single" w:color="auto"/>
          <w:color w:val="auto"/>
        </w:rPr>
        <w:t xml:space="preserve"> </w:t>
      </w:r>
      <w:r>
        <w:rPr>
          <w:rFonts w:ascii="Arial" w:cs="Arial" w:eastAsia="Arial" w:hAnsi="Arial"/>
          <w:sz w:val="16"/>
          <w:szCs w:val="16"/>
          <w:color w:val="auto"/>
        </w:rPr>
        <w:t>representative of each Party. The waiver of any rights or failure to act in a specific instance relates only to that instance and is not an agreement to waive any rights or fail to act in any other instance.</w:t>
      </w:r>
    </w:p>
    <w:p>
      <w:pPr>
        <w:spacing w:after="0" w:line="212" w:lineRule="exact"/>
        <w:rPr>
          <w:sz w:val="20"/>
          <w:szCs w:val="20"/>
          <w:color w:val="auto"/>
        </w:rPr>
      </w:pPr>
    </w:p>
    <w:p>
      <w:pPr>
        <w:jc w:val="both"/>
        <w:ind w:left="440" w:hanging="450"/>
        <w:spacing w:after="0" w:line="280" w:lineRule="auto"/>
        <w:tabs>
          <w:tab w:leader="none" w:pos="420" w:val="left"/>
        </w:tabs>
        <w:rPr>
          <w:sz w:val="20"/>
          <w:szCs w:val="20"/>
          <w:color w:val="auto"/>
        </w:rPr>
      </w:pPr>
      <w:r>
        <w:rPr>
          <w:rFonts w:ascii="Arial" w:cs="Arial" w:eastAsia="Arial" w:hAnsi="Arial"/>
          <w:sz w:val="16"/>
          <w:szCs w:val="16"/>
          <w:color w:val="auto"/>
        </w:rPr>
        <w:t>18.8</w:t>
      </w:r>
      <w:r>
        <w:rPr>
          <w:sz w:val="20"/>
          <w:szCs w:val="20"/>
          <w:color w:val="auto"/>
        </w:rPr>
        <w:tab/>
      </w:r>
      <w:r>
        <w:rPr>
          <w:rFonts w:ascii="Arial" w:cs="Arial" w:eastAsia="Arial" w:hAnsi="Arial"/>
          <w:sz w:val="15"/>
          <w:szCs w:val="15"/>
          <w:u w:val="single" w:color="auto"/>
          <w:color w:val="auto"/>
        </w:rPr>
        <w:t>No assignment</w:t>
      </w:r>
      <w:r>
        <w:rPr>
          <w:rFonts w:ascii="Arial" w:cs="Arial" w:eastAsia="Arial" w:hAnsi="Arial"/>
          <w:sz w:val="15"/>
          <w:szCs w:val="15"/>
          <w:color w:val="auto"/>
        </w:rPr>
        <w:t>. Neither Party shall assign, transfer, charge, encumber, or otherwise deal with the whole or any part of this Agreement, or its rights or obligations under</w:t>
      </w:r>
      <w:r>
        <w:rPr>
          <w:rFonts w:ascii="Arial" w:cs="Arial" w:eastAsia="Arial" w:hAnsi="Arial"/>
          <w:sz w:val="15"/>
          <w:szCs w:val="15"/>
          <w:u w:val="single" w:color="auto"/>
          <w:color w:val="auto"/>
        </w:rPr>
        <w:t xml:space="preserve"> </w:t>
      </w:r>
      <w:r>
        <w:rPr>
          <w:rFonts w:ascii="Arial" w:cs="Arial" w:eastAsia="Arial" w:hAnsi="Arial"/>
          <w:sz w:val="15"/>
          <w:szCs w:val="15"/>
          <w:color w:val="auto"/>
        </w:rPr>
        <w:t>this Agreement without the prior written consent of the other Party which consent may not be unreasonably withheld or delayed. Notwithstanding the foregoing, this Agreement may be assigned by either Party in connection with a merger, consolidation, sale of all of the equity interests of the Party, or a sale of all or substantially all of the assets of the Party to which this Agreement relates save that the prior written consent of Licensee shall be required for an assignment, transfer, or other disposal by Licensor of the whole or any part of this Agreement to a competitor of Licensee being a person engaged, directly or indirectly, in any one or more of the development, production, marketing, distribution and/or exploitation of a competing product in the Field.</w:t>
      </w:r>
    </w:p>
    <w:p>
      <w:pPr>
        <w:spacing w:after="0" w:line="205" w:lineRule="exact"/>
        <w:rPr>
          <w:sz w:val="20"/>
          <w:szCs w:val="20"/>
          <w:color w:val="auto"/>
        </w:rPr>
      </w:pPr>
    </w:p>
    <w:p>
      <w:pPr>
        <w:jc w:val="both"/>
        <w:ind w:left="440" w:right="20" w:hanging="450"/>
        <w:spacing w:after="0" w:line="268" w:lineRule="auto"/>
        <w:tabs>
          <w:tab w:leader="none" w:pos="420" w:val="left"/>
        </w:tabs>
        <w:rPr>
          <w:sz w:val="20"/>
          <w:szCs w:val="20"/>
          <w:color w:val="auto"/>
        </w:rPr>
      </w:pPr>
      <w:r>
        <w:rPr>
          <w:rFonts w:ascii="Arial" w:cs="Arial" w:eastAsia="Arial" w:hAnsi="Arial"/>
          <w:sz w:val="16"/>
          <w:szCs w:val="16"/>
          <w:color w:val="auto"/>
        </w:rPr>
        <w:t>18.9</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invalid or unenforceable for any reason, the invalidity or unenforceability does not affect any other provision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this Agreement, and the Parties shall negotiate in good faith to modify the Agreement to preserve (to the extent possible) their original intent. While the dispute is pending resolution, this Agreement shall be construed as if the provision were deleted by agreement of the Parties.</w:t>
      </w:r>
    </w:p>
    <w:p>
      <w:pPr>
        <w:spacing w:after="0" w:line="212" w:lineRule="exact"/>
        <w:rPr>
          <w:sz w:val="20"/>
          <w:szCs w:val="20"/>
          <w:color w:val="auto"/>
        </w:rPr>
      </w:pPr>
    </w:p>
    <w:p>
      <w:pPr>
        <w:jc w:val="both"/>
        <w:ind w:left="440" w:right="20" w:hanging="437"/>
        <w:spacing w:after="0" w:line="268" w:lineRule="auto"/>
        <w:rPr>
          <w:sz w:val="20"/>
          <w:szCs w:val="20"/>
          <w:color w:val="auto"/>
        </w:rPr>
      </w:pPr>
      <w:r>
        <w:rPr>
          <w:rFonts w:ascii="Arial" w:cs="Arial" w:eastAsia="Arial" w:hAnsi="Arial"/>
          <w:sz w:val="16"/>
          <w:szCs w:val="16"/>
          <w:color w:val="auto"/>
        </w:rPr>
        <w:t xml:space="preserve">18.10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of which is an original, and all of which together are one instrument. Transmission by electronic means of and electronic form of a duly executed counterpart shall be deemed to constitute due and sufficient delivery of such counterpart and will be accepted and will be binding on the Parties whether or not subsequently replaced by originally signed duplicates.</w:t>
      </w:r>
    </w:p>
    <w:p>
      <w:pPr>
        <w:spacing w:after="0" w:line="212" w:lineRule="exact"/>
        <w:rPr>
          <w:sz w:val="20"/>
          <w:szCs w:val="20"/>
          <w:color w:val="auto"/>
        </w:rPr>
      </w:pPr>
    </w:p>
    <w:p>
      <w:pPr>
        <w:jc w:val="both"/>
        <w:ind w:left="440" w:right="20" w:hanging="437"/>
        <w:spacing w:after="0" w:line="263"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u w:val="single" w:color="auto"/>
          <w:color w:val="auto"/>
        </w:rPr>
        <w:t>Law and jurisdiction</w:t>
      </w:r>
      <w:r>
        <w:rPr>
          <w:rFonts w:ascii="Arial" w:cs="Arial" w:eastAsia="Arial" w:hAnsi="Arial"/>
          <w:sz w:val="16"/>
          <w:szCs w:val="16"/>
          <w:color w:val="auto"/>
        </w:rPr>
        <w:t>. This Agreement and any dispute or claim arising out of or in connection with it or its subject matter or formation (including non-contractual disputes or claims) is governed by and construed in accordance with the laws of England irrespective of any conflicts of law principles. The Parties submit to the exclusive jurisdiction of the English courts in respect of any dispute arising out of or relating to this Agreement (including non-contractual disputes or claims) except that a Party may bring urgent or interim proceedings in any court of competent jurisdiction.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has been entered into and executed by the Parties as of the Effective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59955" cy="152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13" w:name="page414"/>
    <w:bookmarkEnd w:id="413"/>
    <w:p>
      <w:pPr>
        <w:spacing w:after="0"/>
        <w:rPr>
          <w:sz w:val="20"/>
          <w:szCs w:val="20"/>
          <w:color w:val="auto"/>
        </w:rPr>
      </w:pPr>
      <w:r>
        <w:rPr>
          <w:rFonts w:ascii="Arial" w:cs="Arial" w:eastAsia="Arial" w:hAnsi="Arial"/>
          <w:sz w:val="14"/>
          <w:szCs w:val="14"/>
          <w:b w:val="1"/>
          <w:bCs w:val="1"/>
          <w:color w:val="auto"/>
        </w:rPr>
        <w:t>Agreed by the Parties through their authorized signatories: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KODE Biotech Limited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3409950" cy="152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3409950" cy="152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3409950" cy="152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Job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3409950" cy="152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09950"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For and on behalf of </w:t>
      </w:r>
      <w:r>
        <w:rPr>
          <w:rFonts w:ascii="Arial" w:cs="Arial" w:eastAsia="Arial" w:hAnsi="Arial"/>
          <w:sz w:val="14"/>
          <w:szCs w:val="14"/>
          <w:b w:val="1"/>
          <w:bCs w:val="1"/>
          <w:color w:val="auto"/>
        </w:rPr>
        <w:t>Agalimmune Limited</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155575</wp:posOffset>
            </wp:positionV>
            <wp:extent cx="3401695" cy="152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3401695" cy="152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3401695" cy="152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Job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3401695" cy="152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262255</wp:posOffset>
            </wp:positionV>
            <wp:extent cx="3401695" cy="152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3401695" cy="152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3401695" cy="152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Job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3401695" cy="152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01695" cy="1524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5360" w:space="720"/>
            <w:col w:w="4139"/>
          </w:cols>
          <w:pgMar w:left="240" w:top="610" w:right="1440" w:bottom="1440" w:gutter="0" w:footer="0" w:header="0"/>
        </w:sectPr>
      </w:pP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7259955" cy="152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ectPr>
          <w:pgSz w:w="11900" w:h="16838" w:orient="portrait"/>
          <w:cols w:equalWidth="0" w:num="1">
            <w:col w:w="10219"/>
          </w:cols>
          <w:pgMar w:left="240" w:top="610" w:right="1440" w:bottom="1440" w:gutter="0" w:footer="0" w:header="0"/>
          <w:type w:val="continuous"/>
        </w:sectPr>
      </w:pPr>
    </w:p>
    <w:bookmarkStart w:id="414" w:name="page415"/>
    <w:bookmarkEnd w:id="414"/>
    <w:p>
      <w:pPr>
        <w:jc w:val="center"/>
        <w:ind w:right="20"/>
        <w:spacing w:after="0"/>
        <w:rPr>
          <w:sz w:val="20"/>
          <w:szCs w:val="20"/>
          <w:color w:val="auto"/>
        </w:rPr>
      </w:pPr>
      <w:r>
        <w:rPr>
          <w:rFonts w:ascii="Arial" w:cs="Arial" w:eastAsia="Arial" w:hAnsi="Arial"/>
          <w:sz w:val="16"/>
          <w:szCs w:val="16"/>
          <w:b w:val="1"/>
          <w:bCs w:val="1"/>
          <w:color w:val="auto"/>
        </w:rPr>
        <w:t>Schedule 1</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PART 1</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Licensed Patents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KBL ref</w:t>
            </w: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Title</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CC</w:t>
            </w:r>
          </w:p>
        </w:tc>
        <w:tc>
          <w:tcPr>
            <w:tcW w:w="228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1"/>
              </w:rPr>
              <w:t>Application no.</w:t>
            </w:r>
          </w:p>
        </w:tc>
        <w:tc>
          <w:tcPr>
            <w:tcW w:w="2820" w:type="dxa"/>
            <w:vAlign w:val="bottom"/>
            <w:tcBorders>
              <w:top w:val="single" w:sz="8" w:color="auto"/>
            </w:tcBorders>
            <w:vMerge w:val="restart"/>
          </w:tcPr>
          <w:p>
            <w:pPr>
              <w:jc w:val="center"/>
              <w:ind w:left="99"/>
              <w:spacing w:after="0"/>
              <w:rPr>
                <w:sz w:val="20"/>
                <w:szCs w:val="20"/>
                <w:color w:val="auto"/>
              </w:rPr>
            </w:pPr>
            <w:r>
              <w:rPr>
                <w:rFonts w:ascii="Arial" w:cs="Arial" w:eastAsia="Arial" w:hAnsi="Arial"/>
                <w:sz w:val="16"/>
                <w:szCs w:val="16"/>
                <w:b w:val="1"/>
                <w:bCs w:val="1"/>
                <w:color w:val="auto"/>
                <w:w w:val="92"/>
              </w:rPr>
              <w:t>Priority document(s)</w:t>
            </w:r>
          </w:p>
        </w:tc>
        <w:tc>
          <w:tcPr>
            <w:tcW w:w="1380" w:type="dxa"/>
            <w:vAlign w:val="bottom"/>
            <w:tcBorders>
              <w:top w:val="single" w:sz="8" w:color="auto"/>
            </w:tcBorders>
            <w:vMerge w:val="restart"/>
          </w:tcPr>
          <w:p>
            <w:pPr>
              <w:jc w:val="center"/>
              <w:ind w:left="179"/>
              <w:spacing w:after="0"/>
              <w:rPr>
                <w:sz w:val="20"/>
                <w:szCs w:val="20"/>
                <w:color w:val="auto"/>
              </w:rPr>
            </w:pPr>
            <w:r>
              <w:rPr>
                <w:rFonts w:ascii="Arial" w:cs="Arial" w:eastAsia="Arial" w:hAnsi="Arial"/>
                <w:sz w:val="16"/>
                <w:szCs w:val="16"/>
                <w:b w:val="1"/>
                <w:bCs w:val="1"/>
                <w:color w:val="auto"/>
                <w:w w:val="89"/>
              </w:rPr>
              <w:t>Status</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3"/>
              </w:rPr>
              <w:t>(Patent no.)</w:t>
            </w:r>
          </w:p>
        </w:tc>
        <w:tc>
          <w:tcPr>
            <w:tcW w:w="28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vMerge w:val="continue"/>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9"/>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tcPr>
          <w:p>
            <w:pPr>
              <w:jc w:val="right"/>
              <w:ind w:right="1359"/>
              <w:spacing w:after="0"/>
              <w:rPr>
                <w:sz w:val="20"/>
                <w:szCs w:val="20"/>
                <w:color w:val="auto"/>
              </w:rPr>
            </w:pPr>
            <w:r>
              <w:rPr>
                <w:rFonts w:ascii="Arial" w:cs="Arial" w:eastAsia="Arial" w:hAnsi="Arial"/>
                <w:sz w:val="16"/>
                <w:szCs w:val="16"/>
                <w:color w:val="auto"/>
              </w:rPr>
              <w:t>33</w:t>
            </w: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6" w:right="219" w:bottom="1440" w:gutter="0" w:footer="0" w:header="0"/>
        </w:sectPr>
      </w:pPr>
    </w:p>
    <w:bookmarkStart w:id="415" w:name="page416"/>
    <w:bookmarkEnd w:id="4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KBL ref</w:t>
            </w:r>
          </w:p>
        </w:tc>
        <w:tc>
          <w:tcPr>
            <w:tcW w:w="1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7"/>
              </w:rPr>
              <w:t>Title</w:t>
            </w:r>
          </w:p>
        </w:tc>
        <w:tc>
          <w:tcPr>
            <w:tcW w:w="15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CC</w:t>
            </w:r>
          </w:p>
        </w:tc>
        <w:tc>
          <w:tcPr>
            <w:tcW w:w="228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1"/>
              </w:rPr>
              <w:t>Application no.</w:t>
            </w:r>
          </w:p>
        </w:tc>
        <w:tc>
          <w:tcPr>
            <w:tcW w:w="2820" w:type="dxa"/>
            <w:vAlign w:val="bottom"/>
            <w:tcBorders>
              <w:top w:val="single" w:sz="8" w:color="auto"/>
            </w:tcBorders>
            <w:vMerge w:val="restart"/>
          </w:tcPr>
          <w:p>
            <w:pPr>
              <w:jc w:val="center"/>
              <w:ind w:left="99"/>
              <w:spacing w:after="0"/>
              <w:rPr>
                <w:sz w:val="20"/>
                <w:szCs w:val="20"/>
                <w:color w:val="auto"/>
              </w:rPr>
            </w:pPr>
            <w:r>
              <w:rPr>
                <w:rFonts w:ascii="Arial" w:cs="Arial" w:eastAsia="Arial" w:hAnsi="Arial"/>
                <w:sz w:val="16"/>
                <w:szCs w:val="16"/>
                <w:b w:val="1"/>
                <w:bCs w:val="1"/>
                <w:color w:val="auto"/>
                <w:w w:val="92"/>
              </w:rPr>
              <w:t>Priority document(s)</w:t>
            </w:r>
          </w:p>
        </w:tc>
        <w:tc>
          <w:tcPr>
            <w:tcW w:w="1380" w:type="dxa"/>
            <w:vAlign w:val="bottom"/>
            <w:tcBorders>
              <w:top w:val="single" w:sz="8" w:color="auto"/>
            </w:tcBorders>
            <w:vMerge w:val="restart"/>
          </w:tcPr>
          <w:p>
            <w:pPr>
              <w:jc w:val="center"/>
              <w:ind w:left="179"/>
              <w:spacing w:after="0"/>
              <w:rPr>
                <w:sz w:val="20"/>
                <w:szCs w:val="20"/>
                <w:color w:val="auto"/>
              </w:rPr>
            </w:pPr>
            <w:r>
              <w:rPr>
                <w:rFonts w:ascii="Arial" w:cs="Arial" w:eastAsia="Arial" w:hAnsi="Arial"/>
                <w:sz w:val="16"/>
                <w:szCs w:val="16"/>
                <w:b w:val="1"/>
                <w:bCs w:val="1"/>
                <w:color w:val="auto"/>
                <w:w w:val="89"/>
              </w:rPr>
              <w:t>Status</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3"/>
              </w:rPr>
              <w:t>(Patent no.)</w:t>
            </w:r>
          </w:p>
        </w:tc>
        <w:tc>
          <w:tcPr>
            <w:tcW w:w="28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vMerge w:val="continue"/>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2"/>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20" w:type="dxa"/>
            <w:vAlign w:val="bottom"/>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jc w:val="center"/>
              <w:ind w:left="99"/>
              <w:spacing w:after="0" w:line="178" w:lineRule="exact"/>
              <w:rPr>
                <w:sz w:val="20"/>
                <w:szCs w:val="20"/>
                <w:color w:val="auto"/>
              </w:rPr>
            </w:pPr>
            <w:r>
              <w:rPr>
                <w:rFonts w:ascii="Arial" w:cs="Arial" w:eastAsia="Arial" w:hAnsi="Arial"/>
                <w:sz w:val="16"/>
                <w:szCs w:val="16"/>
                <w:b w:val="1"/>
                <w:bCs w:val="1"/>
                <w:color w:val="auto"/>
              </w:rPr>
              <w:t>[*]</w:t>
            </w:r>
          </w:p>
        </w:tc>
        <w:tc>
          <w:tcPr>
            <w:tcW w:w="138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3"/>
        </w:trPr>
        <w:tc>
          <w:tcPr>
            <w:tcW w:w="13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28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22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w:t>
            </w:r>
          </w:p>
        </w:tc>
        <w:tc>
          <w:tcPr>
            <w:tcW w:w="28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96"/>
        </w:trPr>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tcPr>
          <w:p>
            <w:pPr>
              <w:jc w:val="right"/>
              <w:ind w:right="1359"/>
              <w:spacing w:after="0"/>
              <w:rPr>
                <w:sz w:val="20"/>
                <w:szCs w:val="20"/>
                <w:color w:val="auto"/>
              </w:rPr>
            </w:pPr>
            <w:r>
              <w:rPr>
                <w:rFonts w:ascii="Arial" w:cs="Arial" w:eastAsia="Arial" w:hAnsi="Arial"/>
                <w:sz w:val="16"/>
                <w:szCs w:val="16"/>
                <w:color w:val="auto"/>
              </w:rPr>
              <w:t>34</w:t>
            </w:r>
          </w:p>
        </w:tc>
        <w:tc>
          <w:tcPr>
            <w:tcW w:w="2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416" w:name="page417"/>
    <w:bookmarkEnd w:id="416"/>
    <w:p>
      <w:pPr>
        <w:jc w:val="center"/>
        <w:ind w:right="20"/>
        <w:spacing w:after="0"/>
        <w:rPr>
          <w:sz w:val="20"/>
          <w:szCs w:val="20"/>
          <w:color w:val="auto"/>
        </w:rPr>
      </w:pPr>
      <w:r>
        <w:rPr>
          <w:rFonts w:ascii="Arial" w:cs="Arial" w:eastAsia="Arial" w:hAnsi="Arial"/>
          <w:sz w:val="16"/>
          <w:szCs w:val="16"/>
          <w:b w:val="1"/>
          <w:bCs w:val="1"/>
          <w:color w:val="auto"/>
        </w:rPr>
        <w:t>Schedule 1</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PART 2</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Agalimmune Patent</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660" w:type="dxa"/>
            <w:vAlign w:val="bottom"/>
            <w:tcBorders>
              <w:top w:val="single" w:sz="8" w:color="auto"/>
              <w:left w:val="single" w:sz="8" w:color="auto"/>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6"/>
                <w:szCs w:val="16"/>
                <w:b w:val="1"/>
                <w:bCs w:val="1"/>
                <w:color w:val="auto"/>
                <w:w w:val="99"/>
              </w:rPr>
              <w:t>AGAL ref</w:t>
            </w:r>
          </w:p>
        </w:tc>
        <w:tc>
          <w:tcPr>
            <w:tcW w:w="84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6"/>
                <w:szCs w:val="16"/>
                <w:b w:val="1"/>
                <w:bCs w:val="1"/>
                <w:color w:val="auto"/>
                <w:w w:val="97"/>
              </w:rPr>
              <w:t>Title</w:t>
            </w:r>
          </w:p>
        </w:tc>
        <w:tc>
          <w:tcPr>
            <w:tcW w:w="172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66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6"/>
                <w:szCs w:val="16"/>
                <w:b w:val="1"/>
                <w:bCs w:val="1"/>
                <w:color w:val="auto"/>
              </w:rPr>
              <w:t>CC</w:t>
            </w:r>
          </w:p>
        </w:tc>
        <w:tc>
          <w:tcPr>
            <w:tcW w:w="236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6"/>
                <w:szCs w:val="16"/>
                <w:b w:val="1"/>
                <w:bCs w:val="1"/>
                <w:color w:val="auto"/>
                <w:w w:val="91"/>
              </w:rPr>
              <w:t>Application no.</w:t>
            </w:r>
          </w:p>
        </w:tc>
        <w:tc>
          <w:tcPr>
            <w:tcW w:w="314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6"/>
                <w:szCs w:val="16"/>
                <w:b w:val="1"/>
                <w:bCs w:val="1"/>
                <w:color w:val="auto"/>
                <w:w w:val="92"/>
              </w:rPr>
              <w:t>Priority document(s)</w:t>
            </w:r>
          </w:p>
        </w:tc>
        <w:tc>
          <w:tcPr>
            <w:tcW w:w="1060" w:type="dxa"/>
            <w:vAlign w:val="bottom"/>
            <w:tcBorders>
              <w:top w:val="single" w:sz="8" w:color="auto"/>
              <w:bottom w:val="single" w:sz="8" w:color="EEECE1"/>
              <w:right w:val="single" w:sz="8" w:color="auto"/>
            </w:tcBorders>
            <w:shd w:val="clear" w:color="auto" w:fill="EEECE1"/>
          </w:tcPr>
          <w:p>
            <w:pPr>
              <w:jc w:val="center"/>
              <w:spacing w:after="0"/>
              <w:rPr>
                <w:sz w:val="20"/>
                <w:szCs w:val="20"/>
                <w:color w:val="auto"/>
              </w:rPr>
            </w:pPr>
            <w:r>
              <w:rPr>
                <w:rFonts w:ascii="Arial" w:cs="Arial" w:eastAsia="Arial" w:hAnsi="Arial"/>
                <w:sz w:val="16"/>
                <w:szCs w:val="16"/>
                <w:b w:val="1"/>
                <w:bCs w:val="1"/>
                <w:color w:val="auto"/>
                <w:w w:val="85"/>
              </w:rPr>
              <w:t>Status</w:t>
            </w:r>
          </w:p>
        </w:tc>
      </w:tr>
      <w:tr>
        <w:trPr>
          <w:trHeight w:val="218"/>
        </w:trPr>
        <w:tc>
          <w:tcPr>
            <w:tcW w:w="1660" w:type="dxa"/>
            <w:vAlign w:val="bottom"/>
            <w:tcBorders>
              <w:top w:val="single" w:sz="8" w:color="auto"/>
              <w:left w:val="single" w:sz="8" w:color="auto"/>
              <w:right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right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2360" w:type="dxa"/>
            <w:vAlign w:val="bottom"/>
            <w:tcBorders>
              <w:top w:val="single" w:sz="8" w:color="auto"/>
              <w:right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w:t>
            </w:r>
          </w:p>
        </w:tc>
        <w:tc>
          <w:tcPr>
            <w:tcW w:w="3140" w:type="dxa"/>
            <w:vAlign w:val="bottom"/>
            <w:tcBorders>
              <w:top w:val="single" w:sz="8" w:color="auto"/>
              <w:right w:val="single" w:sz="8" w:color="auto"/>
            </w:tcBorders>
          </w:tcPr>
          <w:p>
            <w:pPr>
              <w:jc w:val="right"/>
              <w:ind w:right="14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9"/>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bl>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231140</wp:posOffset>
            </wp:positionV>
            <wp:extent cx="7259955"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316230</wp:posOffset>
            </wp:positionV>
            <wp:extent cx="7259955" cy="311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1440"/>
          </w:cols>
          <w:pgMar w:left="240" w:top="366" w:right="219" w:bottom="1440" w:gutter="0" w:footer="0" w:header="0"/>
        </w:sectPr>
      </w:pPr>
    </w:p>
    <w:bookmarkStart w:id="417" w:name="page418"/>
    <w:bookmarkEnd w:id="417"/>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196850</wp:posOffset>
            </wp:positionV>
            <wp:extent cx="725995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12.1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THE CHIEF EXECUTIVE OFFICER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Philip A. Serlin, certify that:</w:t>
      </w:r>
    </w:p>
    <w:p>
      <w:pPr>
        <w:spacing w:after="0" w:line="206" w:lineRule="exact"/>
        <w:rPr>
          <w:sz w:val="20"/>
          <w:szCs w:val="20"/>
          <w:color w:val="auto"/>
        </w:rPr>
      </w:pPr>
    </w:p>
    <w:p>
      <w:pPr>
        <w:ind w:left="900" w:hanging="452"/>
        <w:spacing w:after="0"/>
        <w:tabs>
          <w:tab w:leader="none" w:pos="9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BioLineRx Ltd.;</w:t>
      </w:r>
    </w:p>
    <w:p>
      <w:pPr>
        <w:spacing w:after="0" w:line="205" w:lineRule="exact"/>
        <w:rPr>
          <w:rFonts w:ascii="Arial" w:cs="Arial" w:eastAsia="Arial" w:hAnsi="Arial"/>
          <w:sz w:val="16"/>
          <w:szCs w:val="16"/>
          <w:color w:val="auto"/>
        </w:rPr>
      </w:pPr>
    </w:p>
    <w:p>
      <w:pPr>
        <w:ind w:left="900" w:right="380" w:hanging="452"/>
        <w:spacing w:after="0" w:line="318" w:lineRule="auto"/>
        <w:tabs>
          <w:tab w:leader="none" w:pos="900" w:val="left"/>
        </w:tabs>
        <w:numPr>
          <w:ilvl w:val="0"/>
          <w:numId w:val="4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5"/>
          <w:szCs w:val="15"/>
          <w:color w:val="auto"/>
        </w:rPr>
      </w:pPr>
    </w:p>
    <w:p>
      <w:pPr>
        <w:ind w:left="900" w:right="460" w:hanging="452"/>
        <w:spacing w:after="0" w:line="283" w:lineRule="auto"/>
        <w:tabs>
          <w:tab w:leader="none" w:pos="9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0" w:lineRule="exact"/>
        <w:rPr>
          <w:rFonts w:ascii="Arial" w:cs="Arial" w:eastAsia="Arial" w:hAnsi="Arial"/>
          <w:sz w:val="16"/>
          <w:szCs w:val="16"/>
          <w:color w:val="auto"/>
        </w:rPr>
      </w:pPr>
    </w:p>
    <w:p>
      <w:pPr>
        <w:ind w:left="900" w:right="160" w:hanging="452"/>
        <w:spacing w:after="0" w:line="268" w:lineRule="auto"/>
        <w:tabs>
          <w:tab w:leader="none" w:pos="9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2" w:lineRule="exact"/>
        <w:rPr>
          <w:rFonts w:ascii="Arial" w:cs="Arial" w:eastAsia="Arial" w:hAnsi="Arial"/>
          <w:sz w:val="16"/>
          <w:szCs w:val="16"/>
          <w:color w:val="auto"/>
        </w:rPr>
      </w:pPr>
    </w:p>
    <w:p>
      <w:pPr>
        <w:ind w:left="1120" w:right="160" w:hanging="224"/>
        <w:spacing w:after="0" w:line="268" w:lineRule="auto"/>
        <w:tabs>
          <w:tab w:leader="none" w:pos="112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120" w:right="260" w:hanging="228"/>
        <w:spacing w:after="0" w:line="268" w:lineRule="auto"/>
        <w:tabs>
          <w:tab w:leader="none" w:pos="112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1120" w:right="280" w:hanging="224"/>
        <w:spacing w:after="0" w:line="283" w:lineRule="auto"/>
        <w:tabs>
          <w:tab w:leader="none" w:pos="112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20" w:right="40" w:hanging="228"/>
        <w:spacing w:after="0" w:line="283" w:lineRule="auto"/>
        <w:tabs>
          <w:tab w:leader="none" w:pos="112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0" w:lineRule="exact"/>
        <w:rPr>
          <w:rFonts w:ascii="Arial" w:cs="Arial" w:eastAsia="Arial" w:hAnsi="Arial"/>
          <w:sz w:val="16"/>
          <w:szCs w:val="16"/>
          <w:color w:val="auto"/>
        </w:rPr>
      </w:pPr>
    </w:p>
    <w:p>
      <w:pPr>
        <w:ind w:left="900" w:right="100" w:hanging="452"/>
        <w:spacing w:after="0" w:line="283" w:lineRule="auto"/>
        <w:tabs>
          <w:tab w:leader="none" w:pos="90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0" w:lineRule="exact"/>
        <w:rPr>
          <w:rFonts w:ascii="Arial" w:cs="Arial" w:eastAsia="Arial" w:hAnsi="Arial"/>
          <w:sz w:val="16"/>
          <w:szCs w:val="16"/>
          <w:color w:val="auto"/>
        </w:rPr>
      </w:pPr>
    </w:p>
    <w:p>
      <w:pPr>
        <w:ind w:left="1120" w:right="440" w:hanging="224"/>
        <w:spacing w:after="0" w:line="283" w:lineRule="auto"/>
        <w:tabs>
          <w:tab w:leader="none" w:pos="112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120" w:right="60" w:hanging="228"/>
        <w:spacing w:after="0" w:line="283" w:lineRule="auto"/>
        <w:tabs>
          <w:tab w:leader="none" w:pos="112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Date: March 23, 2017</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Philip A. Serlin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Philip A. Serlin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725995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270510</wp:posOffset>
            </wp:positionV>
            <wp:extent cx="7259955" cy="311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1440"/>
          </w:cols>
          <w:pgMar w:left="240" w:top="622" w:right="219" w:bottom="1440" w:gutter="0" w:footer="0" w:header="0"/>
        </w:sectPr>
      </w:pPr>
    </w:p>
    <w:bookmarkStart w:id="418" w:name="page419"/>
    <w:bookmarkEnd w:id="418"/>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196850</wp:posOffset>
            </wp:positionV>
            <wp:extent cx="7259955"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12.2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THE CHIEF FINANCIAL OFFICER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Mali Zeevi, certify that:</w:t>
      </w:r>
    </w:p>
    <w:p>
      <w:pPr>
        <w:spacing w:after="0" w:line="206" w:lineRule="exact"/>
        <w:rPr>
          <w:sz w:val="20"/>
          <w:szCs w:val="20"/>
          <w:color w:val="auto"/>
        </w:rPr>
      </w:pPr>
    </w:p>
    <w:p>
      <w:pPr>
        <w:ind w:left="900" w:hanging="452"/>
        <w:spacing w:after="0"/>
        <w:tabs>
          <w:tab w:leader="none" w:pos="9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BioLineRx Ltd.;</w:t>
      </w:r>
    </w:p>
    <w:p>
      <w:pPr>
        <w:spacing w:after="0" w:line="205" w:lineRule="exact"/>
        <w:rPr>
          <w:rFonts w:ascii="Arial" w:cs="Arial" w:eastAsia="Arial" w:hAnsi="Arial"/>
          <w:sz w:val="16"/>
          <w:szCs w:val="16"/>
          <w:color w:val="auto"/>
        </w:rPr>
      </w:pPr>
    </w:p>
    <w:p>
      <w:pPr>
        <w:ind w:left="900" w:right="380" w:hanging="452"/>
        <w:spacing w:after="0" w:line="318" w:lineRule="auto"/>
        <w:tabs>
          <w:tab w:leader="none" w:pos="900" w:val="left"/>
        </w:tabs>
        <w:numPr>
          <w:ilvl w:val="0"/>
          <w:numId w:val="4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5"/>
          <w:szCs w:val="15"/>
          <w:color w:val="auto"/>
        </w:rPr>
      </w:pPr>
    </w:p>
    <w:p>
      <w:pPr>
        <w:ind w:left="900" w:right="460" w:hanging="452"/>
        <w:spacing w:after="0" w:line="283" w:lineRule="auto"/>
        <w:tabs>
          <w:tab w:leader="none" w:pos="9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0" w:lineRule="exact"/>
        <w:rPr>
          <w:rFonts w:ascii="Arial" w:cs="Arial" w:eastAsia="Arial" w:hAnsi="Arial"/>
          <w:sz w:val="16"/>
          <w:szCs w:val="16"/>
          <w:color w:val="auto"/>
        </w:rPr>
      </w:pPr>
    </w:p>
    <w:p>
      <w:pPr>
        <w:ind w:left="900" w:right="160" w:hanging="452"/>
        <w:spacing w:after="0" w:line="268" w:lineRule="auto"/>
        <w:tabs>
          <w:tab w:leader="none" w:pos="9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2" w:lineRule="exact"/>
        <w:rPr>
          <w:rFonts w:ascii="Arial" w:cs="Arial" w:eastAsia="Arial" w:hAnsi="Arial"/>
          <w:sz w:val="16"/>
          <w:szCs w:val="16"/>
          <w:color w:val="auto"/>
        </w:rPr>
      </w:pPr>
    </w:p>
    <w:p>
      <w:pPr>
        <w:ind w:left="1120" w:right="160" w:hanging="203"/>
        <w:spacing w:after="0" w:line="268" w:lineRule="auto"/>
        <w:tabs>
          <w:tab w:leader="none" w:pos="112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120" w:right="260" w:hanging="208"/>
        <w:spacing w:after="0" w:line="268" w:lineRule="auto"/>
        <w:tabs>
          <w:tab w:leader="none" w:pos="112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1120" w:right="280" w:hanging="203"/>
        <w:spacing w:after="0" w:line="283" w:lineRule="auto"/>
        <w:tabs>
          <w:tab w:leader="none" w:pos="112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20" w:right="40" w:hanging="208"/>
        <w:spacing w:after="0" w:line="283" w:lineRule="auto"/>
        <w:tabs>
          <w:tab w:leader="none" w:pos="112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0" w:lineRule="exact"/>
        <w:rPr>
          <w:rFonts w:ascii="Arial" w:cs="Arial" w:eastAsia="Arial" w:hAnsi="Arial"/>
          <w:sz w:val="16"/>
          <w:szCs w:val="16"/>
          <w:color w:val="auto"/>
        </w:rPr>
      </w:pPr>
    </w:p>
    <w:p>
      <w:pPr>
        <w:ind w:left="900" w:right="100" w:hanging="452"/>
        <w:spacing w:after="0" w:line="283" w:lineRule="auto"/>
        <w:tabs>
          <w:tab w:leader="none" w:pos="9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0" w:lineRule="exact"/>
        <w:rPr>
          <w:rFonts w:ascii="Arial" w:cs="Arial" w:eastAsia="Arial" w:hAnsi="Arial"/>
          <w:sz w:val="16"/>
          <w:szCs w:val="16"/>
          <w:color w:val="auto"/>
        </w:rPr>
      </w:pPr>
    </w:p>
    <w:p>
      <w:pPr>
        <w:ind w:left="1120" w:right="440" w:hanging="203"/>
        <w:spacing w:after="0" w:line="283" w:lineRule="auto"/>
        <w:tabs>
          <w:tab w:leader="none" w:pos="112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120" w:right="60" w:hanging="208"/>
        <w:spacing w:after="0" w:line="283" w:lineRule="auto"/>
        <w:tabs>
          <w:tab w:leader="none" w:pos="112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Date: March 23, 2017</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Mali Zeevi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Mali Zeevi</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725995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270510</wp:posOffset>
            </wp:positionV>
            <wp:extent cx="7259955" cy="311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1440"/>
          </w:cols>
          <w:pgMar w:left="240" w:top="622" w:right="219" w:bottom="1440" w:gutter="0" w:footer="0" w:header="0"/>
        </w:sectPr>
      </w:pPr>
    </w:p>
    <w:bookmarkStart w:id="419" w:name="page420"/>
    <w:bookmarkEnd w:id="419"/>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048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9955" cy="3048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196850</wp:posOffset>
            </wp:positionV>
            <wp:extent cx="725995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13.1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EXECUTIVE OFFICER UNDER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w:t>
      </w:r>
    </w:p>
    <w:p>
      <w:pPr>
        <w:spacing w:after="0" w:line="243" w:lineRule="exact"/>
        <w:rPr>
          <w:sz w:val="20"/>
          <w:szCs w:val="20"/>
          <w:color w:val="auto"/>
        </w:rPr>
      </w:pPr>
    </w:p>
    <w:p>
      <w:pPr>
        <w:ind w:right="420" w:firstLine="203"/>
        <w:spacing w:after="0" w:line="283"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BioLineRx Ltd. (the “Company”) hereby certifies to such officer’s knowledge that:</w:t>
      </w:r>
    </w:p>
    <w:p>
      <w:pPr>
        <w:spacing w:after="0" w:line="199" w:lineRule="exact"/>
        <w:rPr>
          <w:sz w:val="20"/>
          <w:szCs w:val="20"/>
          <w:color w:val="auto"/>
        </w:rPr>
      </w:pPr>
    </w:p>
    <w:p>
      <w:pPr>
        <w:ind w:right="80" w:firstLine="200"/>
        <w:spacing w:after="0" w:line="283" w:lineRule="auto"/>
        <w:tabs>
          <w:tab w:leader="none" w:pos="518"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accompanying Annual Report on Form 20-F of the Company for the year ended December 31, 2016 (the “Report”) fully complies with the requirements of Section 13(a) or Section 15(d), as applicable, of the Securities Exchange Act of 1934, as amended; and</w:t>
      </w:r>
    </w:p>
    <w:p>
      <w:pPr>
        <w:spacing w:after="0" w:line="199" w:lineRule="exact"/>
        <w:rPr>
          <w:rFonts w:ascii="Arial" w:cs="Arial" w:eastAsia="Arial" w:hAnsi="Arial"/>
          <w:sz w:val="16"/>
          <w:szCs w:val="16"/>
          <w:color w:val="auto"/>
        </w:rPr>
      </w:pPr>
    </w:p>
    <w:p>
      <w:pPr>
        <w:ind w:left="520" w:hanging="320"/>
        <w:spacing w:after="0"/>
        <w:tabs>
          <w:tab w:leader="none" w:pos="52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Dated: March 23, 2017</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Philip A. Serlin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Philip A. Serlin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foregoing certification is being furnished solely to accompany the Report pursuant to 18 U.S.C. Section 1350, and is not being filed for the purposes of Section 18 of the Securities Exchange Act of 1934, as amended, and is not to be incorporated by reference 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725995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250825</wp:posOffset>
            </wp:positionV>
            <wp:extent cx="7259955" cy="311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1440"/>
          </w:cols>
          <w:pgMar w:left="240" w:top="622" w:right="219" w:bottom="1440" w:gutter="0" w:footer="0" w:header="0"/>
        </w:sectPr>
      </w:pPr>
    </w:p>
    <w:bookmarkStart w:id="420" w:name="page421"/>
    <w:bookmarkEnd w:id="420"/>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196850</wp:posOffset>
            </wp:positionV>
            <wp:extent cx="7259955"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13.2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FINANCIAL OFFICER UNDER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w:t>
      </w:r>
    </w:p>
    <w:p>
      <w:pPr>
        <w:spacing w:after="0" w:line="243" w:lineRule="exact"/>
        <w:rPr>
          <w:sz w:val="20"/>
          <w:szCs w:val="20"/>
          <w:color w:val="auto"/>
        </w:rPr>
      </w:pPr>
    </w:p>
    <w:p>
      <w:pPr>
        <w:ind w:right="420" w:firstLine="203"/>
        <w:spacing w:after="0" w:line="283"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BioLineRx Ltd. (the “Company”) hereby certifies to such officer’s knowledge that:</w:t>
      </w:r>
    </w:p>
    <w:p>
      <w:pPr>
        <w:spacing w:after="0" w:line="199" w:lineRule="exact"/>
        <w:rPr>
          <w:sz w:val="20"/>
          <w:szCs w:val="20"/>
          <w:color w:val="auto"/>
        </w:rPr>
      </w:pPr>
    </w:p>
    <w:p>
      <w:pPr>
        <w:ind w:right="80" w:firstLine="200"/>
        <w:spacing w:after="0" w:line="283" w:lineRule="auto"/>
        <w:tabs>
          <w:tab w:leader="none" w:pos="518"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the accompanying Annual Report on Form 20-F of the Company for the year ended December 31, 2016 (the “Report”) fully complies with the requirements of Section 13(a) or Section 15(d), as applicable, of the Securities Exchange Act of 1934, as amended; and</w:t>
      </w:r>
    </w:p>
    <w:p>
      <w:pPr>
        <w:spacing w:after="0" w:line="199" w:lineRule="exact"/>
        <w:rPr>
          <w:rFonts w:ascii="Arial" w:cs="Arial" w:eastAsia="Arial" w:hAnsi="Arial"/>
          <w:sz w:val="16"/>
          <w:szCs w:val="16"/>
          <w:color w:val="auto"/>
        </w:rPr>
      </w:pPr>
    </w:p>
    <w:p>
      <w:pPr>
        <w:ind w:left="520" w:hanging="320"/>
        <w:spacing w:after="0"/>
        <w:tabs>
          <w:tab w:leader="none" w:pos="52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Dated: March 23, 2017</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Mali Zeevi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Mali Zeevi</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foregoing certification is being furnished solely to accompany the Report pursuant to 18 U.S.C. Section 1350, and is not being filed for the purposes of Section 18 of the Securities Exchange Act of 1934, as amended, and is not to be incorporated by reference 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165735</wp:posOffset>
            </wp:positionV>
            <wp:extent cx="7259955"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250825</wp:posOffset>
            </wp:positionV>
            <wp:extent cx="7259955" cy="311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p>
      <w:pPr>
        <w:sectPr>
          <w:pgSz w:w="11900" w:h="16838" w:orient="portrait"/>
          <w:cols w:equalWidth="0" w:num="1">
            <w:col w:w="11440"/>
          </w:cols>
          <w:pgMar w:left="240" w:top="622" w:right="219" w:bottom="1440" w:gutter="0" w:footer="0" w:header="0"/>
        </w:sectPr>
      </w:pPr>
    </w:p>
    <w:bookmarkStart w:id="421" w:name="page422"/>
    <w:bookmarkEnd w:id="421"/>
    <w:p>
      <w:pPr>
        <w:jc w:val="right"/>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150495</wp:posOffset>
            </wp:positionH>
            <wp:positionV relativeFrom="page">
              <wp:posOffset>88900</wp:posOffset>
            </wp:positionV>
            <wp:extent cx="7259955" cy="311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9955" cy="31115"/>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197485</wp:posOffset>
            </wp:positionV>
            <wp:extent cx="7259955"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9955" cy="7620"/>
                    </a:xfrm>
                    <a:prstGeom prst="rect">
                      <a:avLst/>
                    </a:prstGeom>
                    <a:noFill/>
                  </pic:spPr>
                </pic:pic>
              </a:graphicData>
            </a:graphic>
          </wp:anchor>
        </w:drawing>
        <w:t>Exhibit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1144270" cy="9740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144270"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333-176419, 333-183976, 333-201326 and 333-208865) and on Form F-3 (Nos. 333-179792, 333-196390 and 333-205700) of BioLineRx Ltd., of our report dated March 23, 2017, relating to the financial statements and the effectiveness of internal control over financial reporting, which appears in this Form 20-F.</w:t>
      </w:r>
    </w:p>
    <w:p>
      <w:pPr>
        <w:sectPr>
          <w:pgSz w:w="11900" w:h="16838" w:orient="portrait"/>
          <w:cols w:equalWidth="0" w:num="1">
            <w:col w:w="11440"/>
          </w:cols>
          <w:pgMar w:left="240" w:top="622" w:right="21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Tel-Aviv, Israel</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609600</wp:posOffset>
            </wp:positionV>
            <wp:extent cx="2141855" cy="1155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41855" cy="115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Accountants (Isr.)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 member firm of PricewaterhouseCoopers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485775</wp:posOffset>
            </wp:positionV>
            <wp:extent cx="762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485775</wp:posOffset>
            </wp:positionV>
            <wp:extent cx="762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485775</wp:posOffset>
            </wp:positionV>
            <wp:extent cx="762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485775</wp:posOffset>
            </wp:positionV>
            <wp:extent cx="762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-1421765</wp:posOffset>
            </wp:positionH>
            <wp:positionV relativeFrom="paragraph">
              <wp:posOffset>485775</wp:posOffset>
            </wp:positionV>
            <wp:extent cx="76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485775</wp:posOffset>
            </wp:positionV>
            <wp:extent cx="762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485775</wp:posOffset>
            </wp:positionV>
            <wp:extent cx="762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485775</wp:posOffset>
            </wp:positionV>
            <wp:extent cx="762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485775</wp:posOffset>
            </wp:positionV>
            <wp:extent cx="762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485775</wp:posOffset>
            </wp:positionV>
            <wp:extent cx="762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-1329055</wp:posOffset>
            </wp:positionH>
            <wp:positionV relativeFrom="paragraph">
              <wp:posOffset>485775</wp:posOffset>
            </wp:positionV>
            <wp:extent cx="762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485775</wp:posOffset>
            </wp:positionV>
            <wp:extent cx="762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-1297940</wp:posOffset>
            </wp:positionH>
            <wp:positionV relativeFrom="paragraph">
              <wp:posOffset>485775</wp:posOffset>
            </wp:positionV>
            <wp:extent cx="76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485775</wp:posOffset>
            </wp:positionV>
            <wp:extent cx="762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485775</wp:posOffset>
            </wp:positionV>
            <wp:extent cx="762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485775</wp:posOffset>
            </wp:positionV>
            <wp:extent cx="762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485775</wp:posOffset>
            </wp:positionV>
            <wp:extent cx="762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485775</wp:posOffset>
            </wp:positionV>
            <wp:extent cx="762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485775</wp:posOffset>
            </wp:positionV>
            <wp:extent cx="762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485775</wp:posOffset>
            </wp:positionV>
            <wp:extent cx="762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-1174750</wp:posOffset>
            </wp:positionH>
            <wp:positionV relativeFrom="paragraph">
              <wp:posOffset>485775</wp:posOffset>
            </wp:positionV>
            <wp:extent cx="762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-1158875</wp:posOffset>
            </wp:positionH>
            <wp:positionV relativeFrom="paragraph">
              <wp:posOffset>485775</wp:posOffset>
            </wp:positionV>
            <wp:extent cx="762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485775</wp:posOffset>
            </wp:positionV>
            <wp:extent cx="762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485775</wp:posOffset>
            </wp:positionV>
            <wp:extent cx="762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485775</wp:posOffset>
            </wp:positionV>
            <wp:extent cx="762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485775</wp:posOffset>
            </wp:positionV>
            <wp:extent cx="762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485775</wp:posOffset>
            </wp:positionV>
            <wp:extent cx="762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485775</wp:posOffset>
            </wp:positionV>
            <wp:extent cx="762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485775</wp:posOffset>
            </wp:positionV>
            <wp:extent cx="762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485775</wp:posOffset>
            </wp:positionV>
            <wp:extent cx="762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485775</wp:posOffset>
            </wp:positionV>
            <wp:extent cx="762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485775</wp:posOffset>
            </wp:positionV>
            <wp:extent cx="762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485775</wp:posOffset>
            </wp:positionV>
            <wp:extent cx="762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485775</wp:posOffset>
            </wp:positionV>
            <wp:extent cx="762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-958215</wp:posOffset>
            </wp:positionH>
            <wp:positionV relativeFrom="paragraph">
              <wp:posOffset>485775</wp:posOffset>
            </wp:positionV>
            <wp:extent cx="762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485775</wp:posOffset>
            </wp:positionV>
            <wp:extent cx="762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485775</wp:posOffset>
            </wp:positionV>
            <wp:extent cx="762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485775</wp:posOffset>
            </wp:positionV>
            <wp:extent cx="762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485775</wp:posOffset>
            </wp:positionV>
            <wp:extent cx="762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485775</wp:posOffset>
            </wp:positionV>
            <wp:extent cx="762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-865505</wp:posOffset>
            </wp:positionH>
            <wp:positionV relativeFrom="paragraph">
              <wp:posOffset>485775</wp:posOffset>
            </wp:positionV>
            <wp:extent cx="762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485775</wp:posOffset>
            </wp:positionV>
            <wp:extent cx="762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485775</wp:posOffset>
            </wp:positionV>
            <wp:extent cx="762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485775</wp:posOffset>
            </wp:positionV>
            <wp:extent cx="762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485775</wp:posOffset>
            </wp:positionV>
            <wp:extent cx="762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-788035</wp:posOffset>
            </wp:positionH>
            <wp:positionV relativeFrom="paragraph">
              <wp:posOffset>485775</wp:posOffset>
            </wp:positionV>
            <wp:extent cx="762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485775</wp:posOffset>
            </wp:positionV>
            <wp:extent cx="762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-756920</wp:posOffset>
            </wp:positionH>
            <wp:positionV relativeFrom="paragraph">
              <wp:posOffset>485775</wp:posOffset>
            </wp:positionV>
            <wp:extent cx="762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485775</wp:posOffset>
            </wp:positionV>
            <wp:extent cx="762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485775</wp:posOffset>
            </wp:positionV>
            <wp:extent cx="762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-710565</wp:posOffset>
            </wp:positionH>
            <wp:positionV relativeFrom="paragraph">
              <wp:posOffset>485775</wp:posOffset>
            </wp:positionV>
            <wp:extent cx="762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485775</wp:posOffset>
            </wp:positionV>
            <wp:extent cx="762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485775</wp:posOffset>
            </wp:positionV>
            <wp:extent cx="762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-664210</wp:posOffset>
            </wp:positionH>
            <wp:positionV relativeFrom="paragraph">
              <wp:posOffset>485775</wp:posOffset>
            </wp:positionV>
            <wp:extent cx="762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485775</wp:posOffset>
            </wp:positionV>
            <wp:extent cx="762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485775</wp:posOffset>
            </wp:positionV>
            <wp:extent cx="762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-617855</wp:posOffset>
            </wp:positionH>
            <wp:positionV relativeFrom="paragraph">
              <wp:posOffset>485775</wp:posOffset>
            </wp:positionV>
            <wp:extent cx="762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485775</wp:posOffset>
            </wp:positionV>
            <wp:extent cx="762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485775</wp:posOffset>
            </wp:positionV>
            <wp:extent cx="762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485775</wp:posOffset>
            </wp:positionV>
            <wp:extent cx="762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485775</wp:posOffset>
            </wp:positionV>
            <wp:extent cx="762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485775</wp:posOffset>
            </wp:positionV>
            <wp:extent cx="762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485775</wp:posOffset>
            </wp:positionV>
            <wp:extent cx="762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485775</wp:posOffset>
            </wp:positionV>
            <wp:extent cx="762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485775</wp:posOffset>
            </wp:positionV>
            <wp:extent cx="762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485775</wp:posOffset>
            </wp:positionV>
            <wp:extent cx="76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485775</wp:posOffset>
            </wp:positionV>
            <wp:extent cx="762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485775</wp:posOffset>
            </wp:positionV>
            <wp:extent cx="762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485775</wp:posOffset>
            </wp:positionV>
            <wp:extent cx="762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485775</wp:posOffset>
            </wp:positionV>
            <wp:extent cx="762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485775</wp:posOffset>
            </wp:positionV>
            <wp:extent cx="762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-386080</wp:posOffset>
            </wp:positionH>
            <wp:positionV relativeFrom="paragraph">
              <wp:posOffset>485775</wp:posOffset>
            </wp:positionV>
            <wp:extent cx="762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485775</wp:posOffset>
            </wp:positionV>
            <wp:extent cx="762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485775</wp:posOffset>
            </wp:positionV>
            <wp:extent cx="762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485775</wp:posOffset>
            </wp:positionV>
            <wp:extent cx="762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485775</wp:posOffset>
            </wp:positionV>
            <wp:extent cx="762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485775</wp:posOffset>
            </wp:positionV>
            <wp:extent cx="762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485775</wp:posOffset>
            </wp:positionV>
            <wp:extent cx="762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485775</wp:posOffset>
            </wp:positionV>
            <wp:extent cx="762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485775</wp:posOffset>
            </wp:positionV>
            <wp:extent cx="762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485775</wp:posOffset>
            </wp:positionV>
            <wp:extent cx="762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485775</wp:posOffset>
            </wp:positionV>
            <wp:extent cx="762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485775</wp:posOffset>
            </wp:positionV>
            <wp:extent cx="762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-200025</wp:posOffset>
            </wp:positionH>
            <wp:positionV relativeFrom="paragraph">
              <wp:posOffset>485775</wp:posOffset>
            </wp:positionV>
            <wp:extent cx="762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485775</wp:posOffset>
            </wp:positionV>
            <wp:extent cx="762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485775</wp:posOffset>
            </wp:positionV>
            <wp:extent cx="762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485775</wp:posOffset>
            </wp:positionV>
            <wp:extent cx="762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485775</wp:posOffset>
            </wp:positionV>
            <wp:extent cx="762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485775</wp:posOffset>
            </wp:positionV>
            <wp:extent cx="762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485775</wp:posOffset>
            </wp:positionV>
            <wp:extent cx="762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485775</wp:posOffset>
            </wp:positionV>
            <wp:extent cx="762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485775</wp:posOffset>
            </wp:positionV>
            <wp:extent cx="762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485775</wp:posOffset>
            </wp:positionV>
            <wp:extent cx="762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485775</wp:posOffset>
            </wp:positionV>
            <wp:extent cx="762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485775</wp:posOffset>
            </wp:positionV>
            <wp:extent cx="762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485775</wp:posOffset>
            </wp:positionV>
            <wp:extent cx="762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485775</wp:posOffset>
            </wp:positionV>
            <wp:extent cx="762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485775</wp:posOffset>
            </wp:positionV>
            <wp:extent cx="762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485775</wp:posOffset>
            </wp:positionV>
            <wp:extent cx="762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485775</wp:posOffset>
            </wp:positionV>
            <wp:extent cx="762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485775</wp:posOffset>
            </wp:positionV>
            <wp:extent cx="762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485775</wp:posOffset>
            </wp:positionV>
            <wp:extent cx="762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485775</wp:posOffset>
            </wp:positionV>
            <wp:extent cx="762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485775</wp:posOffset>
            </wp:positionV>
            <wp:extent cx="762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485775</wp:posOffset>
            </wp:positionV>
            <wp:extent cx="762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485775</wp:posOffset>
            </wp:positionV>
            <wp:extent cx="762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485775</wp:posOffset>
            </wp:positionV>
            <wp:extent cx="762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485775</wp:posOffset>
            </wp:positionV>
            <wp:extent cx="762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485775</wp:posOffset>
            </wp:positionV>
            <wp:extent cx="762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485775</wp:posOffset>
            </wp:positionV>
            <wp:extent cx="762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485775</wp:posOffset>
            </wp:positionV>
            <wp:extent cx="762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485775</wp:posOffset>
            </wp:positionV>
            <wp:extent cx="762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485775</wp:posOffset>
            </wp:positionV>
            <wp:extent cx="762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485775</wp:posOffset>
            </wp:positionV>
            <wp:extent cx="762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485775</wp:posOffset>
            </wp:positionV>
            <wp:extent cx="762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485775</wp:posOffset>
            </wp:positionV>
            <wp:extent cx="762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485775</wp:posOffset>
            </wp:positionV>
            <wp:extent cx="762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485775</wp:posOffset>
            </wp:positionV>
            <wp:extent cx="762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485775</wp:posOffset>
            </wp:positionV>
            <wp:extent cx="762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485775</wp:posOffset>
            </wp:positionV>
            <wp:extent cx="76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485775</wp:posOffset>
            </wp:positionV>
            <wp:extent cx="762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485775</wp:posOffset>
            </wp:positionV>
            <wp:extent cx="762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401955</wp:posOffset>
            </wp:positionH>
            <wp:positionV relativeFrom="paragraph">
              <wp:posOffset>485775</wp:posOffset>
            </wp:positionV>
            <wp:extent cx="762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485775</wp:posOffset>
            </wp:positionV>
            <wp:extent cx="762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485775</wp:posOffset>
            </wp:positionV>
            <wp:extent cx="762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485775</wp:posOffset>
            </wp:positionV>
            <wp:extent cx="762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485775</wp:posOffset>
            </wp:positionV>
            <wp:extent cx="762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485775</wp:posOffset>
            </wp:positionV>
            <wp:extent cx="762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485775</wp:posOffset>
            </wp:positionV>
            <wp:extent cx="762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485775</wp:posOffset>
            </wp:positionV>
            <wp:extent cx="762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485775</wp:posOffset>
            </wp:positionV>
            <wp:extent cx="762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485775</wp:posOffset>
            </wp:positionV>
            <wp:extent cx="762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485775</wp:posOffset>
            </wp:positionV>
            <wp:extent cx="762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485775</wp:posOffset>
            </wp:positionV>
            <wp:extent cx="762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485775</wp:posOffset>
            </wp:positionV>
            <wp:extent cx="762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485775</wp:posOffset>
            </wp:positionV>
            <wp:extent cx="762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485775</wp:posOffset>
            </wp:positionV>
            <wp:extent cx="762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485775</wp:posOffset>
            </wp:positionV>
            <wp:extent cx="76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485775</wp:posOffset>
            </wp:positionV>
            <wp:extent cx="762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485775</wp:posOffset>
            </wp:positionV>
            <wp:extent cx="762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485775</wp:posOffset>
            </wp:positionV>
            <wp:extent cx="762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485775</wp:posOffset>
            </wp:positionV>
            <wp:extent cx="762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485775</wp:posOffset>
            </wp:positionV>
            <wp:extent cx="762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485775</wp:posOffset>
            </wp:positionV>
            <wp:extent cx="762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485775</wp:posOffset>
            </wp:positionV>
            <wp:extent cx="762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757555</wp:posOffset>
            </wp:positionH>
            <wp:positionV relativeFrom="paragraph">
              <wp:posOffset>485775</wp:posOffset>
            </wp:positionV>
            <wp:extent cx="762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773430</wp:posOffset>
            </wp:positionH>
            <wp:positionV relativeFrom="paragraph">
              <wp:posOffset>485775</wp:posOffset>
            </wp:positionV>
            <wp:extent cx="762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485775</wp:posOffset>
            </wp:positionV>
            <wp:extent cx="762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485775</wp:posOffset>
            </wp:positionV>
            <wp:extent cx="762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485775</wp:posOffset>
            </wp:positionV>
            <wp:extent cx="762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485775</wp:posOffset>
            </wp:positionV>
            <wp:extent cx="762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485775</wp:posOffset>
            </wp:positionV>
            <wp:extent cx="762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485775</wp:posOffset>
            </wp:positionV>
            <wp:extent cx="762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881380</wp:posOffset>
            </wp:positionH>
            <wp:positionV relativeFrom="paragraph">
              <wp:posOffset>485775</wp:posOffset>
            </wp:positionV>
            <wp:extent cx="762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485775</wp:posOffset>
            </wp:positionV>
            <wp:extent cx="762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485775</wp:posOffset>
            </wp:positionV>
            <wp:extent cx="762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485775</wp:posOffset>
            </wp:positionV>
            <wp:extent cx="762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485775</wp:posOffset>
            </wp:positionV>
            <wp:extent cx="762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958850</wp:posOffset>
            </wp:positionH>
            <wp:positionV relativeFrom="paragraph">
              <wp:posOffset>485775</wp:posOffset>
            </wp:positionV>
            <wp:extent cx="762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485775</wp:posOffset>
            </wp:positionV>
            <wp:extent cx="762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989965</wp:posOffset>
            </wp:positionH>
            <wp:positionV relativeFrom="paragraph">
              <wp:posOffset>485775</wp:posOffset>
            </wp:positionV>
            <wp:extent cx="762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1005205</wp:posOffset>
            </wp:positionH>
            <wp:positionV relativeFrom="paragraph">
              <wp:posOffset>485775</wp:posOffset>
            </wp:positionV>
            <wp:extent cx="762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485775</wp:posOffset>
            </wp:positionV>
            <wp:extent cx="762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1036320</wp:posOffset>
            </wp:positionH>
            <wp:positionV relativeFrom="paragraph">
              <wp:posOffset>485775</wp:posOffset>
            </wp:positionV>
            <wp:extent cx="762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485775</wp:posOffset>
            </wp:positionV>
            <wp:extent cx="762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485775</wp:posOffset>
            </wp:positionV>
            <wp:extent cx="762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1082675</wp:posOffset>
            </wp:positionH>
            <wp:positionV relativeFrom="paragraph">
              <wp:posOffset>485775</wp:posOffset>
            </wp:positionV>
            <wp:extent cx="762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485775</wp:posOffset>
            </wp:positionV>
            <wp:extent cx="762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1113155</wp:posOffset>
            </wp:positionH>
            <wp:positionV relativeFrom="paragraph">
              <wp:posOffset>485775</wp:posOffset>
            </wp:positionV>
            <wp:extent cx="762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485775</wp:posOffset>
            </wp:positionV>
            <wp:extent cx="762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1144270</wp:posOffset>
            </wp:positionH>
            <wp:positionV relativeFrom="paragraph">
              <wp:posOffset>485775</wp:posOffset>
            </wp:positionV>
            <wp:extent cx="762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485775</wp:posOffset>
            </wp:positionV>
            <wp:extent cx="762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485775</wp:posOffset>
            </wp:positionV>
            <wp:extent cx="762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1190625</wp:posOffset>
            </wp:positionH>
            <wp:positionV relativeFrom="paragraph">
              <wp:posOffset>485775</wp:posOffset>
            </wp:positionV>
            <wp:extent cx="762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485775</wp:posOffset>
            </wp:positionV>
            <wp:extent cx="762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485775</wp:posOffset>
            </wp:positionV>
            <wp:extent cx="762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485775</wp:posOffset>
            </wp:positionV>
            <wp:extent cx="762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1252855</wp:posOffset>
            </wp:positionH>
            <wp:positionV relativeFrom="paragraph">
              <wp:posOffset>485775</wp:posOffset>
            </wp:positionV>
            <wp:extent cx="762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1268095</wp:posOffset>
            </wp:positionH>
            <wp:positionV relativeFrom="paragraph">
              <wp:posOffset>485775</wp:posOffset>
            </wp:positionV>
            <wp:extent cx="762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485775</wp:posOffset>
            </wp:positionV>
            <wp:extent cx="762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485775</wp:posOffset>
            </wp:positionV>
            <wp:extent cx="762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485775</wp:posOffset>
            </wp:positionV>
            <wp:extent cx="762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485775</wp:posOffset>
            </wp:positionV>
            <wp:extent cx="762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1345565</wp:posOffset>
            </wp:positionH>
            <wp:positionV relativeFrom="paragraph">
              <wp:posOffset>485775</wp:posOffset>
            </wp:positionV>
            <wp:extent cx="762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1360805</wp:posOffset>
            </wp:positionH>
            <wp:positionV relativeFrom="paragraph">
              <wp:posOffset>485775</wp:posOffset>
            </wp:positionV>
            <wp:extent cx="762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485775</wp:posOffset>
            </wp:positionV>
            <wp:extent cx="762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485775</wp:posOffset>
            </wp:positionV>
            <wp:extent cx="762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485775</wp:posOffset>
            </wp:positionV>
            <wp:extent cx="762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1422400</wp:posOffset>
            </wp:positionH>
            <wp:positionV relativeFrom="paragraph">
              <wp:posOffset>485775</wp:posOffset>
            </wp:positionV>
            <wp:extent cx="762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1438275</wp:posOffset>
            </wp:positionH>
            <wp:positionV relativeFrom="paragraph">
              <wp:posOffset>485775</wp:posOffset>
            </wp:positionV>
            <wp:extent cx="762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485775</wp:posOffset>
            </wp:positionV>
            <wp:extent cx="762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485775</wp:posOffset>
            </wp:positionV>
            <wp:extent cx="762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1484630</wp:posOffset>
            </wp:positionH>
            <wp:positionV relativeFrom="paragraph">
              <wp:posOffset>485775</wp:posOffset>
            </wp:positionV>
            <wp:extent cx="762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485775</wp:posOffset>
            </wp:positionV>
            <wp:extent cx="762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1515745</wp:posOffset>
            </wp:positionH>
            <wp:positionV relativeFrom="paragraph">
              <wp:posOffset>485775</wp:posOffset>
            </wp:positionV>
            <wp:extent cx="762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485775</wp:posOffset>
            </wp:positionV>
            <wp:extent cx="762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485775</wp:posOffset>
            </wp:positionV>
            <wp:extent cx="762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485775</wp:posOffset>
            </wp:positionV>
            <wp:extent cx="762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1577340</wp:posOffset>
            </wp:positionH>
            <wp:positionV relativeFrom="paragraph">
              <wp:posOffset>485775</wp:posOffset>
            </wp:positionV>
            <wp:extent cx="762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1592580</wp:posOffset>
            </wp:positionH>
            <wp:positionV relativeFrom="paragraph">
              <wp:posOffset>485775</wp:posOffset>
            </wp:positionV>
            <wp:extent cx="762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485775</wp:posOffset>
            </wp:positionV>
            <wp:extent cx="762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485775</wp:posOffset>
            </wp:positionV>
            <wp:extent cx="762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1638935</wp:posOffset>
            </wp:positionH>
            <wp:positionV relativeFrom="paragraph">
              <wp:posOffset>485775</wp:posOffset>
            </wp:positionV>
            <wp:extent cx="762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485775</wp:posOffset>
            </wp:positionV>
            <wp:extent cx="762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1670050</wp:posOffset>
            </wp:positionH>
            <wp:positionV relativeFrom="paragraph">
              <wp:posOffset>485775</wp:posOffset>
            </wp:positionV>
            <wp:extent cx="762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485775</wp:posOffset>
            </wp:positionV>
            <wp:extent cx="7620"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485775</wp:posOffset>
            </wp:positionV>
            <wp:extent cx="762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485775</wp:posOffset>
            </wp:positionV>
            <wp:extent cx="762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485775</wp:posOffset>
            </wp:positionV>
            <wp:extent cx="762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485775</wp:posOffset>
            </wp:positionV>
            <wp:extent cx="762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485775</wp:posOffset>
            </wp:positionV>
            <wp:extent cx="762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485775</wp:posOffset>
            </wp:positionV>
            <wp:extent cx="762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1793875</wp:posOffset>
            </wp:positionH>
            <wp:positionV relativeFrom="paragraph">
              <wp:posOffset>485775</wp:posOffset>
            </wp:positionV>
            <wp:extent cx="762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485775</wp:posOffset>
            </wp:positionV>
            <wp:extent cx="762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485775</wp:posOffset>
            </wp:positionV>
            <wp:extent cx="762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485775</wp:posOffset>
            </wp:positionV>
            <wp:extent cx="762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485775</wp:posOffset>
            </wp:positionV>
            <wp:extent cx="762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485775</wp:posOffset>
            </wp:positionV>
            <wp:extent cx="762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485775</wp:posOffset>
            </wp:positionV>
            <wp:extent cx="762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485775</wp:posOffset>
            </wp:positionV>
            <wp:extent cx="762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485775</wp:posOffset>
            </wp:positionV>
            <wp:extent cx="762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485775</wp:posOffset>
            </wp:positionV>
            <wp:extent cx="762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485775</wp:posOffset>
            </wp:positionV>
            <wp:extent cx="762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485775</wp:posOffset>
            </wp:positionV>
            <wp:extent cx="762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1979295</wp:posOffset>
            </wp:positionH>
            <wp:positionV relativeFrom="paragraph">
              <wp:posOffset>485775</wp:posOffset>
            </wp:positionV>
            <wp:extent cx="762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485775</wp:posOffset>
            </wp:positionV>
            <wp:extent cx="762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485775</wp:posOffset>
            </wp:positionV>
            <wp:extent cx="762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485775</wp:posOffset>
            </wp:positionV>
            <wp:extent cx="762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485775</wp:posOffset>
            </wp:positionV>
            <wp:extent cx="762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2056765</wp:posOffset>
            </wp:positionH>
            <wp:positionV relativeFrom="paragraph">
              <wp:posOffset>485775</wp:posOffset>
            </wp:positionV>
            <wp:extent cx="762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485775</wp:posOffset>
            </wp:positionV>
            <wp:extent cx="762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485775</wp:posOffset>
            </wp:positionV>
            <wp:extent cx="762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485775</wp:posOffset>
            </wp:positionV>
            <wp:extent cx="762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2118360</wp:posOffset>
            </wp:positionH>
            <wp:positionV relativeFrom="paragraph">
              <wp:posOffset>485775</wp:posOffset>
            </wp:positionV>
            <wp:extent cx="762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2134235</wp:posOffset>
            </wp:positionH>
            <wp:positionV relativeFrom="paragraph">
              <wp:posOffset>485775</wp:posOffset>
            </wp:positionV>
            <wp:extent cx="762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485775</wp:posOffset>
            </wp:positionV>
            <wp:extent cx="762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485775</wp:posOffset>
            </wp:positionV>
            <wp:extent cx="762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485775</wp:posOffset>
            </wp:positionV>
            <wp:extent cx="762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2195830</wp:posOffset>
            </wp:positionH>
            <wp:positionV relativeFrom="paragraph">
              <wp:posOffset>485775</wp:posOffset>
            </wp:positionV>
            <wp:extent cx="762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485775</wp:posOffset>
            </wp:positionV>
            <wp:extent cx="762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2226945</wp:posOffset>
            </wp:positionH>
            <wp:positionV relativeFrom="paragraph">
              <wp:posOffset>485775</wp:posOffset>
            </wp:positionV>
            <wp:extent cx="762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485775</wp:posOffset>
            </wp:positionV>
            <wp:extent cx="762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485775</wp:posOffset>
            </wp:positionV>
            <wp:extent cx="762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2273300</wp:posOffset>
            </wp:positionH>
            <wp:positionV relativeFrom="paragraph">
              <wp:posOffset>485775</wp:posOffset>
            </wp:positionV>
            <wp:extent cx="762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485775</wp:posOffset>
            </wp:positionV>
            <wp:extent cx="762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485775</wp:posOffset>
            </wp:positionV>
            <wp:extent cx="762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485775</wp:posOffset>
            </wp:positionV>
            <wp:extent cx="762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485775</wp:posOffset>
            </wp:positionV>
            <wp:extent cx="7620"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485775</wp:posOffset>
            </wp:positionV>
            <wp:extent cx="762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485775</wp:posOffset>
            </wp:positionV>
            <wp:extent cx="762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485775</wp:posOffset>
            </wp:positionV>
            <wp:extent cx="762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485775</wp:posOffset>
            </wp:positionV>
            <wp:extent cx="762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485775</wp:posOffset>
            </wp:positionV>
            <wp:extent cx="762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485775</wp:posOffset>
            </wp:positionV>
            <wp:extent cx="762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485775</wp:posOffset>
            </wp:positionV>
            <wp:extent cx="762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2458720</wp:posOffset>
            </wp:positionH>
            <wp:positionV relativeFrom="paragraph">
              <wp:posOffset>485775</wp:posOffset>
            </wp:positionV>
            <wp:extent cx="762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485775</wp:posOffset>
            </wp:positionV>
            <wp:extent cx="7620"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485775</wp:posOffset>
            </wp:positionV>
            <wp:extent cx="762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2505075</wp:posOffset>
            </wp:positionH>
            <wp:positionV relativeFrom="paragraph">
              <wp:posOffset>485775</wp:posOffset>
            </wp:positionV>
            <wp:extent cx="762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2520315</wp:posOffset>
            </wp:positionH>
            <wp:positionV relativeFrom="paragraph">
              <wp:posOffset>485775</wp:posOffset>
            </wp:positionV>
            <wp:extent cx="762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485775</wp:posOffset>
            </wp:positionV>
            <wp:extent cx="762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485775</wp:posOffset>
            </wp:positionV>
            <wp:extent cx="762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485775</wp:posOffset>
            </wp:positionV>
            <wp:extent cx="762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485775</wp:posOffset>
            </wp:positionV>
            <wp:extent cx="762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485775</wp:posOffset>
            </wp:positionV>
            <wp:extent cx="762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485775</wp:posOffset>
            </wp:positionV>
            <wp:extent cx="762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485775</wp:posOffset>
            </wp:positionV>
            <wp:extent cx="762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485775</wp:posOffset>
            </wp:positionV>
            <wp:extent cx="762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485775</wp:posOffset>
            </wp:positionV>
            <wp:extent cx="762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2675255</wp:posOffset>
            </wp:positionH>
            <wp:positionV relativeFrom="paragraph">
              <wp:posOffset>485775</wp:posOffset>
            </wp:positionV>
            <wp:extent cx="762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485775</wp:posOffset>
            </wp:positionV>
            <wp:extent cx="762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485775</wp:posOffset>
            </wp:positionV>
            <wp:extent cx="762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485775</wp:posOffset>
            </wp:positionV>
            <wp:extent cx="762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485775</wp:posOffset>
            </wp:positionV>
            <wp:extent cx="7620"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2752725</wp:posOffset>
            </wp:positionH>
            <wp:positionV relativeFrom="paragraph">
              <wp:posOffset>485775</wp:posOffset>
            </wp:positionV>
            <wp:extent cx="7620"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485775</wp:posOffset>
            </wp:positionV>
            <wp:extent cx="762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485775</wp:posOffset>
            </wp:positionV>
            <wp:extent cx="762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485775</wp:posOffset>
            </wp:positionV>
            <wp:extent cx="762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485775</wp:posOffset>
            </wp:positionV>
            <wp:extent cx="762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485775</wp:posOffset>
            </wp:positionV>
            <wp:extent cx="762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485775</wp:posOffset>
            </wp:positionV>
            <wp:extent cx="762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485775</wp:posOffset>
            </wp:positionV>
            <wp:extent cx="762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485775</wp:posOffset>
            </wp:positionV>
            <wp:extent cx="762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485775</wp:posOffset>
            </wp:positionV>
            <wp:extent cx="762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485775</wp:posOffset>
            </wp:positionV>
            <wp:extent cx="762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485775</wp:posOffset>
            </wp:positionV>
            <wp:extent cx="762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485775</wp:posOffset>
            </wp:positionV>
            <wp:extent cx="762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485775</wp:posOffset>
            </wp:positionV>
            <wp:extent cx="762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2969260</wp:posOffset>
            </wp:positionH>
            <wp:positionV relativeFrom="paragraph">
              <wp:posOffset>485775</wp:posOffset>
            </wp:positionV>
            <wp:extent cx="762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485775</wp:posOffset>
            </wp:positionV>
            <wp:extent cx="762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485775</wp:posOffset>
            </wp:positionV>
            <wp:extent cx="762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485775</wp:posOffset>
            </wp:positionV>
            <wp:extent cx="762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485775</wp:posOffset>
            </wp:positionV>
            <wp:extent cx="762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485775</wp:posOffset>
            </wp:positionV>
            <wp:extent cx="762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485775</wp:posOffset>
            </wp:positionV>
            <wp:extent cx="762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485775</wp:posOffset>
            </wp:positionV>
            <wp:extent cx="762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485775</wp:posOffset>
            </wp:positionV>
            <wp:extent cx="762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485775</wp:posOffset>
            </wp:positionV>
            <wp:extent cx="762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3123565</wp:posOffset>
            </wp:positionH>
            <wp:positionV relativeFrom="paragraph">
              <wp:posOffset>485775</wp:posOffset>
            </wp:positionV>
            <wp:extent cx="762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485775</wp:posOffset>
            </wp:positionV>
            <wp:extent cx="762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3154680</wp:posOffset>
            </wp:positionH>
            <wp:positionV relativeFrom="paragraph">
              <wp:posOffset>485775</wp:posOffset>
            </wp:positionV>
            <wp:extent cx="762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485775</wp:posOffset>
            </wp:positionV>
            <wp:extent cx="762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485775</wp:posOffset>
            </wp:positionV>
            <wp:extent cx="762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3201035</wp:posOffset>
            </wp:positionH>
            <wp:positionV relativeFrom="paragraph">
              <wp:posOffset>485775</wp:posOffset>
            </wp:positionV>
            <wp:extent cx="762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3216275</wp:posOffset>
            </wp:positionH>
            <wp:positionV relativeFrom="paragraph">
              <wp:posOffset>485775</wp:posOffset>
            </wp:positionV>
            <wp:extent cx="762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3232150</wp:posOffset>
            </wp:positionH>
            <wp:positionV relativeFrom="paragraph">
              <wp:posOffset>485775</wp:posOffset>
            </wp:positionV>
            <wp:extent cx="762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485775</wp:posOffset>
            </wp:positionV>
            <wp:extent cx="762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485775</wp:posOffset>
            </wp:positionV>
            <wp:extent cx="762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485775</wp:posOffset>
            </wp:positionV>
            <wp:extent cx="7620"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485775</wp:posOffset>
            </wp:positionV>
            <wp:extent cx="762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485775</wp:posOffset>
            </wp:positionV>
            <wp:extent cx="7620"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3324860</wp:posOffset>
            </wp:positionH>
            <wp:positionV relativeFrom="paragraph">
              <wp:posOffset>485775</wp:posOffset>
            </wp:positionV>
            <wp:extent cx="762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485775</wp:posOffset>
            </wp:positionV>
            <wp:extent cx="7620"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485775</wp:posOffset>
            </wp:positionV>
            <wp:extent cx="7620"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485775</wp:posOffset>
            </wp:positionV>
            <wp:extent cx="762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485775</wp:posOffset>
            </wp:positionV>
            <wp:extent cx="762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485775</wp:posOffset>
            </wp:positionV>
            <wp:extent cx="7620"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485775</wp:posOffset>
            </wp:positionV>
            <wp:extent cx="762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485775</wp:posOffset>
            </wp:positionV>
            <wp:extent cx="762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485775</wp:posOffset>
            </wp:positionV>
            <wp:extent cx="762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485775</wp:posOffset>
            </wp:positionV>
            <wp:extent cx="762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485775</wp:posOffset>
            </wp:positionV>
            <wp:extent cx="762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485775</wp:posOffset>
            </wp:positionV>
            <wp:extent cx="762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485775</wp:posOffset>
            </wp:positionV>
            <wp:extent cx="7620"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485775</wp:posOffset>
            </wp:positionV>
            <wp:extent cx="7620"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485775</wp:posOffset>
            </wp:positionV>
            <wp:extent cx="7620"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485775</wp:posOffset>
            </wp:positionV>
            <wp:extent cx="7620"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485775</wp:posOffset>
            </wp:positionV>
            <wp:extent cx="762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485775</wp:posOffset>
            </wp:positionV>
            <wp:extent cx="7620" cy="76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485775</wp:posOffset>
            </wp:positionV>
            <wp:extent cx="762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485775</wp:posOffset>
            </wp:positionV>
            <wp:extent cx="7620"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20"/>
          </w:cols>
          <w:pgMar w:left="240" w:top="62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Kesselman &amp; Kesselman, Trade Tower, 25 Hamered Street, Tel-Aviv 6812508,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620" cy="2349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620" cy="23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-85090</wp:posOffset>
            </wp:positionV>
            <wp:extent cx="7620"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-69850</wp:posOffset>
            </wp:positionV>
            <wp:extent cx="7620"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-53975</wp:posOffset>
            </wp:positionV>
            <wp:extent cx="762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-38735</wp:posOffset>
            </wp:positionV>
            <wp:extent cx="762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-23495</wp:posOffset>
            </wp:positionV>
            <wp:extent cx="762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-7620</wp:posOffset>
            </wp:positionV>
            <wp:extent cx="762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6985</wp:posOffset>
            </wp:positionV>
            <wp:extent cx="7620"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P.O Box 50005 Tel-Aviv 6150001 Telephone: +972 -3- 7954555, Fax:+972 -3- 7954556, www.pwc.com/il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393065</wp:posOffset>
            </wp:positionV>
            <wp:extent cx="7259955"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478155</wp:posOffset>
            </wp:positionV>
            <wp:extent cx="7259955" cy="3111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59955" cy="31115"/>
                    </a:xfrm>
                    <a:prstGeom prst="rect">
                      <a:avLst/>
                    </a:prstGeom>
                    <a:noFill/>
                  </pic:spPr>
                </pic:pic>
              </a:graphicData>
            </a:graphic>
          </wp:anchor>
        </w:drawing>
      </w:r>
    </w:p>
    <w:sectPr>
      <w:pgSz w:w="11900" w:h="16838" w:orient="portrait"/>
      <w:cols w:equalWidth="0" w:num="1">
        <w:col w:w="11440"/>
      </w:cols>
      <w:pgMar w:left="240" w:top="622"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DE8725A"/>
    <w:multiLevelType w:val="hybridMultilevel"/>
    <w:lvl w:ilvl="0">
      <w:lvlJc w:val="left"/>
      <w:lvlText w:val="☐"/>
      <w:numFmt w:val="bullet"/>
      <w:start w:val="1"/>
    </w:lvl>
  </w:abstractNum>
  <w:abstractNum w:abstractNumId="1">
    <w:nsid w:val="6A37288A"/>
    <w:multiLevelType w:val="hybridMultilevel"/>
    <w:lvl w:ilvl="0">
      <w:lvlJc w:val="left"/>
      <w:lvlText w:val="☒"/>
      <w:numFmt w:val="bullet"/>
      <w:start w:val="1"/>
    </w:lvl>
  </w:abstractNum>
  <w:abstractNum w:abstractNumId="2">
    <w:nsid w:val="8F8B73F"/>
    <w:multiLevelType w:val="hybridMultilevel"/>
    <w:lvl w:ilvl="0">
      <w:lvlJc w:val="left"/>
      <w:lvlText w:val="☐"/>
      <w:numFmt w:val="bullet"/>
      <w:start w:val="1"/>
    </w:lvl>
  </w:abstractNum>
  <w:abstractNum w:abstractNumId="3">
    <w:nsid w:val="CA6B462"/>
    <w:multiLevelType w:val="hybridMultilevel"/>
    <w:lvl w:ilvl="0">
      <w:lvlJc w:val="left"/>
      <w:lvlText w:val="☐"/>
      <w:numFmt w:val="bullet"/>
      <w:start w:val="1"/>
    </w:lvl>
  </w:abstractNum>
  <w:abstractNum w:abstractNumId="4">
    <w:nsid w:val="763CB680"/>
    <w:multiLevelType w:val="hybridMultilevel"/>
    <w:lvl w:ilvl="0">
      <w:lvlJc w:val="left"/>
      <w:lvlText w:val="•"/>
      <w:numFmt w:val="bullet"/>
      <w:start w:val="1"/>
    </w:lvl>
  </w:abstractNum>
  <w:abstractNum w:abstractNumId="5">
    <w:nsid w:val="15B71329"/>
    <w:multiLevelType w:val="hybridMultilevel"/>
    <w:lvl w:ilvl="0">
      <w:lvlJc w:val="left"/>
      <w:lvlText w:val="•"/>
      <w:numFmt w:val="bullet"/>
      <w:start w:val="1"/>
    </w:lvl>
  </w:abstractNum>
  <w:abstractNum w:abstractNumId="6">
    <w:nsid w:val="3DA97044"/>
    <w:multiLevelType w:val="hybridMultilevel"/>
    <w:lvl w:ilvl="0">
      <w:lvlJc w:val="left"/>
      <w:lvlText w:val="•"/>
      <w:numFmt w:val="bullet"/>
      <w:start w:val="1"/>
    </w:lvl>
  </w:abstractNum>
  <w:abstractNum w:abstractNumId="7">
    <w:nsid w:val="1CDCE2DE"/>
    <w:multiLevelType w:val="hybridMultilevel"/>
    <w:lvl w:ilvl="0">
      <w:lvlJc w:val="left"/>
      <w:lvlText w:val="(%1)"/>
      <w:numFmt w:val="decimal"/>
      <w:start w:val="1"/>
    </w:lvl>
  </w:abstractNum>
  <w:abstractNum w:abstractNumId="8">
    <w:nsid w:val="69D3947C"/>
    <w:multiLevelType w:val="hybridMultilevel"/>
    <w:lvl w:ilvl="0">
      <w:lvlJc w:val="left"/>
      <w:lvlText w:val="·"/>
      <w:numFmt w:val="bullet"/>
      <w:start w:val="1"/>
    </w:lvl>
  </w:abstractNum>
  <w:abstractNum w:abstractNumId="9">
    <w:nsid w:val="2539DFA5"/>
    <w:multiLevelType w:val="hybridMultilevel"/>
    <w:lvl w:ilvl="0">
      <w:lvlJc w:val="left"/>
      <w:lvlText w:val="·"/>
      <w:numFmt w:val="bullet"/>
      <w:start w:val="1"/>
    </w:lvl>
  </w:abstractNum>
  <w:abstractNum w:abstractNumId="10">
    <w:nsid w:val="2DB88089"/>
    <w:multiLevelType w:val="hybridMultilevel"/>
    <w:lvl w:ilvl="0">
      <w:lvlJc w:val="left"/>
      <w:lvlText w:val="·"/>
      <w:numFmt w:val="bullet"/>
      <w:start w:val="1"/>
    </w:lvl>
  </w:abstractNum>
  <w:abstractNum w:abstractNumId="11">
    <w:nsid w:val="706B674E"/>
    <w:multiLevelType w:val="hybridMultilevel"/>
    <w:lvl w:ilvl="0">
      <w:lvlJc w:val="left"/>
      <w:lvlText w:val="·"/>
      <w:numFmt w:val="bullet"/>
      <w:start w:val="1"/>
    </w:lvl>
  </w:abstractNum>
  <w:abstractNum w:abstractNumId="12">
    <w:nsid w:val="2C106A57"/>
    <w:multiLevelType w:val="hybridMultilevel"/>
    <w:lvl w:ilvl="0">
      <w:lvlJc w:val="left"/>
      <w:lvlText w:val="·"/>
      <w:numFmt w:val="bullet"/>
      <w:start w:val="1"/>
    </w:lvl>
  </w:abstractNum>
  <w:abstractNum w:abstractNumId="13">
    <w:nsid w:val="684EED59"/>
    <w:multiLevelType w:val="hybridMultilevel"/>
    <w:lvl w:ilvl="0">
      <w:lvlJc w:val="left"/>
      <w:lvlText w:val="·"/>
      <w:numFmt w:val="bullet"/>
      <w:start w:val="1"/>
    </w:lvl>
  </w:abstractNum>
  <w:abstractNum w:abstractNumId="14">
    <w:nsid w:val="545EE5D3"/>
    <w:multiLevelType w:val="hybridMultilevel"/>
    <w:lvl w:ilvl="0">
      <w:lvlJc w:val="left"/>
      <w:lvlText w:val="·"/>
      <w:numFmt w:val="bullet"/>
      <w:start w:val="1"/>
    </w:lvl>
  </w:abstractNum>
  <w:abstractNum w:abstractNumId="15">
    <w:nsid w:val="4A66051"/>
    <w:multiLevelType w:val="hybridMultilevel"/>
    <w:lvl w:ilvl="0">
      <w:lvlJc w:val="left"/>
      <w:lvlText w:val="·"/>
      <w:numFmt w:val="bullet"/>
      <w:start w:val="1"/>
    </w:lvl>
  </w:abstractNum>
  <w:abstractNum w:abstractNumId="16">
    <w:nsid w:val="20F4BDAD"/>
    <w:multiLevelType w:val="hybridMultilevel"/>
    <w:lvl w:ilvl="0">
      <w:lvlJc w:val="left"/>
      <w:lvlText w:val="·"/>
      <w:numFmt w:val="bullet"/>
      <w:start w:val="1"/>
    </w:lvl>
  </w:abstractNum>
  <w:abstractNum w:abstractNumId="17">
    <w:nsid w:val="639DEFAC"/>
    <w:multiLevelType w:val="hybridMultilevel"/>
    <w:lvl w:ilvl="0">
      <w:lvlJc w:val="left"/>
      <w:lvlText w:val="·"/>
      <w:numFmt w:val="bullet"/>
      <w:start w:val="1"/>
    </w:lvl>
  </w:abstractNum>
  <w:abstractNum w:abstractNumId="18">
    <w:nsid w:val="501F9786"/>
    <w:multiLevelType w:val="hybridMultilevel"/>
    <w:lvl w:ilvl="0">
      <w:lvlJc w:val="left"/>
      <w:lvlText w:val="·"/>
      <w:numFmt w:val="bullet"/>
      <w:start w:val="1"/>
    </w:lvl>
  </w:abstractNum>
  <w:abstractNum w:abstractNumId="19">
    <w:nsid w:val="6B057295"/>
    <w:multiLevelType w:val="hybridMultilevel"/>
    <w:lvl w:ilvl="0">
      <w:lvlJc w:val="left"/>
      <w:lvlText w:val="·"/>
      <w:numFmt w:val="bullet"/>
      <w:start w:val="1"/>
    </w:lvl>
  </w:abstractNum>
  <w:abstractNum w:abstractNumId="20">
    <w:nsid w:val="2771AC80"/>
    <w:multiLevelType w:val="hybridMultilevel"/>
    <w:lvl w:ilvl="0">
      <w:lvlJc w:val="left"/>
      <w:lvlText w:val="·"/>
      <w:numFmt w:val="bullet"/>
      <w:start w:val="1"/>
    </w:lvl>
  </w:abstractNum>
  <w:abstractNum w:abstractNumId="21">
    <w:nsid w:val="1C4A08EC"/>
    <w:multiLevelType w:val="hybridMultilevel"/>
    <w:lvl w:ilvl="0">
      <w:lvlJc w:val="left"/>
      <w:lvlText w:val="•"/>
      <w:numFmt w:val="bullet"/>
      <w:start w:val="1"/>
    </w:lvl>
  </w:abstractNum>
  <w:abstractNum w:abstractNumId="22">
    <w:nsid w:val="1958BD17"/>
    <w:multiLevelType w:val="hybridMultilevel"/>
    <w:lvl w:ilvl="0">
      <w:lvlJc w:val="left"/>
      <w:lvlText w:val="•"/>
      <w:numFmt w:val="bullet"/>
      <w:start w:val="1"/>
    </w:lvl>
  </w:abstractNum>
  <w:abstractNum w:abstractNumId="23">
    <w:nsid w:val="4E647FE4"/>
    <w:multiLevelType w:val="hybridMultilevel"/>
    <w:lvl w:ilvl="0">
      <w:lvlJc w:val="left"/>
      <w:lvlText w:val="•"/>
      <w:numFmt w:val="bullet"/>
      <w:start w:val="1"/>
    </w:lvl>
  </w:abstractNum>
  <w:abstractNum w:abstractNumId="24">
    <w:nsid w:val="E0BB885"/>
    <w:multiLevelType w:val="hybridMultilevel"/>
    <w:lvl w:ilvl="0">
      <w:lvlJc w:val="left"/>
      <w:lvlText w:val="•"/>
      <w:numFmt w:val="bullet"/>
      <w:start w:val="1"/>
    </w:lvl>
  </w:abstractNum>
  <w:abstractNum w:abstractNumId="25">
    <w:nsid w:val="565976F1"/>
    <w:multiLevelType w:val="hybridMultilevel"/>
    <w:lvl w:ilvl="0">
      <w:lvlJc w:val="left"/>
      <w:lvlText w:val="•"/>
      <w:numFmt w:val="bullet"/>
      <w:start w:val="1"/>
    </w:lvl>
  </w:abstractNum>
  <w:abstractNum w:abstractNumId="26">
    <w:nsid w:val="64212B8C"/>
    <w:multiLevelType w:val="hybridMultilevel"/>
    <w:lvl w:ilvl="0">
      <w:lvlJc w:val="left"/>
      <w:lvlText w:val="•"/>
      <w:numFmt w:val="bullet"/>
      <w:start w:val="1"/>
    </w:lvl>
  </w:abstractNum>
  <w:abstractNum w:abstractNumId="27">
    <w:nsid w:val="5C17530C"/>
    <w:multiLevelType w:val="hybridMultilevel"/>
    <w:lvl w:ilvl="0">
      <w:lvlJc w:val="left"/>
      <w:lvlText w:val="•"/>
      <w:numFmt w:val="bullet"/>
      <w:start w:val="1"/>
    </w:lvl>
  </w:abstractNum>
  <w:abstractNum w:abstractNumId="28">
    <w:nsid w:val="19A52566"/>
    <w:multiLevelType w:val="hybridMultilevel"/>
    <w:lvl w:ilvl="0">
      <w:lvlJc w:val="left"/>
      <w:lvlText w:val="•"/>
      <w:numFmt w:val="bullet"/>
      <w:start w:val="1"/>
    </w:lvl>
  </w:abstractNum>
  <w:abstractNum w:abstractNumId="29">
    <w:nsid w:val="335A1DF1"/>
    <w:multiLevelType w:val="hybridMultilevel"/>
    <w:lvl w:ilvl="0">
      <w:lvlJc w:val="left"/>
      <w:lvlText w:val="·"/>
      <w:numFmt w:val="bullet"/>
      <w:start w:val="1"/>
    </w:lvl>
  </w:abstractNum>
  <w:abstractNum w:abstractNumId="30">
    <w:nsid w:val="28677B7C"/>
    <w:multiLevelType w:val="hybridMultilevel"/>
    <w:lvl w:ilvl="0">
      <w:lvlJc w:val="left"/>
      <w:lvlText w:val="•"/>
      <w:numFmt w:val="bullet"/>
      <w:start w:val="1"/>
    </w:lvl>
  </w:abstractNum>
  <w:abstractNum w:abstractNumId="31">
    <w:nsid w:val="378D97C0"/>
    <w:multiLevelType w:val="hybridMultilevel"/>
    <w:lvl w:ilvl="0">
      <w:lvlJc w:val="left"/>
      <w:lvlText w:val="•"/>
      <w:numFmt w:val="bullet"/>
      <w:start w:val="1"/>
    </w:lvl>
  </w:abstractNum>
  <w:abstractNum w:abstractNumId="32">
    <w:nsid w:val="1D91467C"/>
    <w:multiLevelType w:val="hybridMultilevel"/>
    <w:lvl w:ilvl="0">
      <w:lvlJc w:val="left"/>
      <w:lvlText w:val="•"/>
      <w:numFmt w:val="bullet"/>
      <w:start w:val="1"/>
    </w:lvl>
  </w:abstractNum>
  <w:abstractNum w:abstractNumId="33">
    <w:nsid w:val="316032BB"/>
    <w:multiLevelType w:val="hybridMultilevel"/>
    <w:lvl w:ilvl="0">
      <w:lvlJc w:val="left"/>
      <w:lvlText w:val="•"/>
      <w:numFmt w:val="bullet"/>
      <w:start w:val="1"/>
    </w:lvl>
  </w:abstractNum>
  <w:abstractNum w:abstractNumId="34">
    <w:nsid w:val="44344C22"/>
    <w:multiLevelType w:val="hybridMultilevel"/>
    <w:lvl w:ilvl="0">
      <w:lvlJc w:val="left"/>
      <w:lvlText w:val="%1."/>
      <w:numFmt w:val="upperLetter"/>
      <w:start w:val="2"/>
    </w:lvl>
  </w:abstractNum>
  <w:abstractNum w:abstractNumId="35">
    <w:nsid w:val="13CDFCFC"/>
    <w:multiLevelType w:val="hybridMultilevel"/>
    <w:lvl w:ilvl="0">
      <w:lvlJc w:val="left"/>
      <w:lvlText w:val="(%1)"/>
      <w:numFmt w:val="decimal"/>
      <w:start w:val="1"/>
    </w:lvl>
  </w:abstractNum>
  <w:abstractNum w:abstractNumId="36">
    <w:nsid w:val="471745E4"/>
    <w:multiLevelType w:val="hybridMultilevel"/>
    <w:lvl w:ilvl="0">
      <w:lvlJc w:val="left"/>
      <w:lvlText w:val="(%1)"/>
      <w:numFmt w:val="decimal"/>
      <w:start w:val="2"/>
    </w:lvl>
  </w:abstractNum>
  <w:abstractNum w:abstractNumId="37">
    <w:nsid w:val="1DDBC66"/>
    <w:multiLevelType w:val="hybridMultilevel"/>
    <w:lvl w:ilvl="0">
      <w:lvlJc w:val="left"/>
      <w:lvlText w:val="•"/>
      <w:numFmt w:val="bullet"/>
      <w:start w:val="1"/>
    </w:lvl>
  </w:abstractNum>
  <w:abstractNum w:abstractNumId="38">
    <w:nsid w:val="30AADFDA"/>
    <w:multiLevelType w:val="hybridMultilevel"/>
    <w:lvl w:ilvl="0">
      <w:lvlJc w:val="left"/>
      <w:lvlText w:val="•"/>
      <w:numFmt w:val="bullet"/>
      <w:start w:val="1"/>
    </w:lvl>
  </w:abstractNum>
  <w:abstractNum w:abstractNumId="39">
    <w:nsid w:val="30EADA61"/>
    <w:multiLevelType w:val="hybridMultilevel"/>
    <w:lvl w:ilvl="0">
      <w:lvlJc w:val="left"/>
      <w:lvlText w:val="(%1)"/>
      <w:numFmt w:val="lowerRoman"/>
      <w:start w:val="3"/>
    </w:lvl>
  </w:abstractNum>
  <w:abstractNum w:abstractNumId="40">
    <w:nsid w:val="27179C0B"/>
    <w:multiLevelType w:val="hybridMultilevel"/>
    <w:lvl w:ilvl="0">
      <w:lvlJc w:val="left"/>
      <w:lvlText w:val="•"/>
      <w:numFmt w:val="bullet"/>
      <w:start w:val="1"/>
    </w:lvl>
  </w:abstractNum>
  <w:abstractNum w:abstractNumId="41">
    <w:nsid w:val="5E636063"/>
    <w:multiLevelType w:val="hybridMultilevel"/>
    <w:lvl w:ilvl="0">
      <w:lvlJc w:val="left"/>
      <w:lvlText w:val="•"/>
      <w:numFmt w:val="bullet"/>
      <w:start w:val="1"/>
    </w:lvl>
  </w:abstractNum>
  <w:abstractNum w:abstractNumId="42">
    <w:nsid w:val="215641AF"/>
    <w:multiLevelType w:val="hybridMultilevel"/>
    <w:lvl w:ilvl="0">
      <w:lvlJc w:val="left"/>
      <w:lvlText w:val="•"/>
      <w:numFmt w:val="bullet"/>
      <w:start w:val="1"/>
    </w:lvl>
  </w:abstractNum>
  <w:abstractNum w:abstractNumId="43">
    <w:nsid w:val="53280662"/>
    <w:multiLevelType w:val="hybridMultilevel"/>
    <w:lvl w:ilvl="0">
      <w:lvlJc w:val="left"/>
      <w:lvlText w:val="•"/>
      <w:numFmt w:val="bullet"/>
      <w:start w:val="1"/>
    </w:lvl>
  </w:abstractNum>
  <w:abstractNum w:abstractNumId="44">
    <w:nsid w:val="46B24DBC"/>
    <w:multiLevelType w:val="hybridMultilevel"/>
    <w:lvl w:ilvl="0">
      <w:lvlJc w:val="left"/>
      <w:lvlText w:val="•"/>
      <w:numFmt w:val="bullet"/>
      <w:start w:val="1"/>
    </w:lvl>
  </w:abstractNum>
  <w:abstractNum w:abstractNumId="45">
    <w:nsid w:val="75B52783"/>
    <w:multiLevelType w:val="hybridMultilevel"/>
    <w:lvl w:ilvl="0">
      <w:lvlJc w:val="left"/>
      <w:lvlText w:val="•"/>
      <w:numFmt w:val="bullet"/>
      <w:start w:val="1"/>
    </w:lvl>
  </w:abstractNum>
  <w:abstractNum w:abstractNumId="46">
    <w:nsid w:val="57CE66B4"/>
    <w:multiLevelType w:val="hybridMultilevel"/>
    <w:lvl w:ilvl="0">
      <w:lvlJc w:val="left"/>
      <w:lvlText w:val="(%1)"/>
      <w:numFmt w:val="lowerRoman"/>
      <w:start w:val="1"/>
    </w:lvl>
  </w:abstractNum>
  <w:abstractNum w:abstractNumId="47">
    <w:nsid w:val="67A70B69"/>
    <w:multiLevelType w:val="hybridMultilevel"/>
    <w:lvl w:ilvl="0">
      <w:lvlJc w:val="left"/>
      <w:lvlText w:val="•"/>
      <w:numFmt w:val="bullet"/>
      <w:start w:val="1"/>
    </w:lvl>
  </w:abstractNum>
  <w:abstractNum w:abstractNumId="48">
    <w:nsid w:val="5953172F"/>
    <w:multiLevelType w:val="hybridMultilevel"/>
    <w:lvl w:ilvl="0">
      <w:lvlJc w:val="left"/>
      <w:lvlText w:val="•"/>
      <w:numFmt w:val="bullet"/>
      <w:start w:val="1"/>
    </w:lvl>
  </w:abstractNum>
  <w:abstractNum w:abstractNumId="49">
    <w:nsid w:val="27EDFE3A"/>
    <w:multiLevelType w:val="hybridMultilevel"/>
    <w:lvl w:ilvl="0">
      <w:lvlJc w:val="left"/>
      <w:lvlText w:val="•"/>
      <w:numFmt w:val="bullet"/>
      <w:start w:val="1"/>
    </w:lvl>
  </w:abstractNum>
  <w:abstractNum w:abstractNumId="50">
    <w:nsid w:val="52AC7DFF"/>
    <w:multiLevelType w:val="hybridMultilevel"/>
    <w:lvl w:ilvl="0">
      <w:lvlJc w:val="left"/>
      <w:lvlText w:val="•"/>
      <w:numFmt w:val="bullet"/>
      <w:start w:val="1"/>
    </w:lvl>
  </w:abstractNum>
  <w:abstractNum w:abstractNumId="51">
    <w:nsid w:val="C4C3AF"/>
    <w:multiLevelType w:val="hybridMultilevel"/>
    <w:lvl w:ilvl="0">
      <w:lvlJc w:val="left"/>
      <w:lvlText w:val="(%1)"/>
      <w:numFmt w:val="lowerRoman"/>
      <w:start w:val="1"/>
    </w:lvl>
  </w:abstractNum>
  <w:abstractNum w:abstractNumId="52">
    <w:nsid w:val="44380727"/>
    <w:multiLevelType w:val="hybridMultilevel"/>
    <w:lvl w:ilvl="0">
      <w:lvlJc w:val="left"/>
      <w:lvlText w:val="•"/>
      <w:numFmt w:val="bullet"/>
      <w:start w:val="1"/>
    </w:lvl>
  </w:abstractNum>
  <w:abstractNum w:abstractNumId="53">
    <w:nsid w:val="6C053B16"/>
    <w:multiLevelType w:val="hybridMultilevel"/>
    <w:lvl w:ilvl="0">
      <w:lvlJc w:val="left"/>
      <w:lvlText w:val="•"/>
      <w:numFmt w:val="bullet"/>
      <w:start w:val="1"/>
    </w:lvl>
  </w:abstractNum>
  <w:abstractNum w:abstractNumId="54">
    <w:nsid w:val="4F294393"/>
    <w:multiLevelType w:val="hybridMultilevel"/>
    <w:lvl w:ilvl="0">
      <w:lvlJc w:val="left"/>
      <w:lvlText w:val="•"/>
      <w:numFmt w:val="bullet"/>
      <w:start w:val="1"/>
    </w:lvl>
  </w:abstractNum>
  <w:abstractNum w:abstractNumId="55">
    <w:nsid w:val="5243BFAC"/>
    <w:multiLevelType w:val="hybridMultilevel"/>
    <w:lvl w:ilvl="0">
      <w:lvlJc w:val="left"/>
      <w:lvlText w:val="•"/>
      <w:numFmt w:val="bullet"/>
      <w:start w:val="1"/>
    </w:lvl>
  </w:abstractNum>
  <w:abstractNum w:abstractNumId="56">
    <w:nsid w:val="425EB207"/>
    <w:multiLevelType w:val="hybridMultilevel"/>
    <w:lvl w:ilvl="0">
      <w:lvlJc w:val="left"/>
      <w:lvlText w:val="•"/>
      <w:numFmt w:val="bullet"/>
      <w:start w:val="1"/>
    </w:lvl>
  </w:abstractNum>
  <w:abstractNum w:abstractNumId="57">
    <w:nsid w:val="334A6F1F"/>
    <w:multiLevelType w:val="hybridMultilevel"/>
    <w:lvl w:ilvl="0">
      <w:lvlJc w:val="left"/>
      <w:lvlText w:val="•"/>
      <w:numFmt w:val="bullet"/>
      <w:start w:val="1"/>
    </w:lvl>
  </w:abstractNum>
  <w:abstractNum w:abstractNumId="58">
    <w:nsid w:val="2E5B12B8"/>
    <w:multiLevelType w:val="hybridMultilevel"/>
    <w:lvl w:ilvl="0">
      <w:lvlJc w:val="left"/>
      <w:lvlText w:val="*"/>
      <w:numFmt w:val="bullet"/>
      <w:start w:val="1"/>
    </w:lvl>
  </w:abstractNum>
  <w:abstractNum w:abstractNumId="59">
    <w:nsid w:val="5C03D76D"/>
    <w:multiLevelType w:val="hybridMultilevel"/>
    <w:lvl w:ilvl="0">
      <w:lvlJc w:val="left"/>
      <w:lvlText w:val="(%1)"/>
      <w:numFmt w:val="decimal"/>
      <w:start w:val="1"/>
    </w:lvl>
  </w:abstractNum>
  <w:abstractNum w:abstractNumId="60">
    <w:nsid w:val="66A48D11"/>
    <w:multiLevelType w:val="hybridMultilevel"/>
    <w:lvl w:ilvl="0">
      <w:lvlJc w:val="left"/>
      <w:lvlText w:val="(%1)"/>
      <w:numFmt w:val="decimal"/>
      <w:start w:val="6"/>
    </w:lvl>
  </w:abstractNum>
  <w:abstractNum w:abstractNumId="61">
    <w:nsid w:val="56C28E34"/>
    <w:multiLevelType w:val="hybridMultilevel"/>
    <w:lvl w:ilvl="0">
      <w:lvlJc w:val="left"/>
      <w:lvlText w:val="(%1)"/>
      <w:numFmt w:val="decimal"/>
      <w:start w:val="1"/>
    </w:lvl>
  </w:abstractNum>
  <w:abstractNum w:abstractNumId="62">
    <w:nsid w:val="13916F2D"/>
    <w:multiLevelType w:val="hybridMultilevel"/>
    <w:lvl w:ilvl="0">
      <w:lvlJc w:val="left"/>
      <w:lvlText w:val="(%1)"/>
      <w:numFmt w:val="lowerLetter"/>
      <w:start w:val="2"/>
    </w:lvl>
  </w:abstractNum>
  <w:abstractNum w:abstractNumId="63">
    <w:nsid w:val="435D38D"/>
    <w:multiLevelType w:val="hybridMultilevel"/>
    <w:lvl w:ilvl="0">
      <w:lvlJc w:val="left"/>
      <w:lvlText w:val="•"/>
      <w:numFmt w:val="bullet"/>
      <w:start w:val="1"/>
    </w:lvl>
  </w:abstractNum>
  <w:abstractNum w:abstractNumId="64">
    <w:nsid w:val="822C0EF"/>
    <w:multiLevelType w:val="hybridMultilevel"/>
    <w:lvl w:ilvl="0">
      <w:lvlJc w:val="left"/>
      <w:lvlText w:val="•"/>
      <w:numFmt w:val="bullet"/>
      <w:start w:val="1"/>
    </w:lvl>
  </w:abstractNum>
  <w:abstractNum w:abstractNumId="65">
    <w:nsid w:val="57C5BB4F"/>
    <w:multiLevelType w:val="hybridMultilevel"/>
    <w:lvl w:ilvl="0">
      <w:lvlJc w:val="left"/>
      <w:lvlText w:val="(%1)"/>
      <w:numFmt w:val="lowerRoman"/>
      <w:start w:val="1"/>
    </w:lvl>
  </w:abstractNum>
  <w:abstractNum w:abstractNumId="66">
    <w:nsid w:val="1803D089"/>
    <w:multiLevelType w:val="hybridMultilevel"/>
    <w:lvl w:ilvl="0">
      <w:lvlJc w:val="left"/>
      <w:lvlText w:val="(%1)"/>
      <w:numFmt w:val="lowerRoman"/>
      <w:start w:val="2"/>
    </w:lvl>
  </w:abstractNum>
  <w:abstractNum w:abstractNumId="67">
    <w:nsid w:val="4F3A06D4"/>
    <w:multiLevelType w:val="hybridMultilevel"/>
    <w:lvl w:ilvl="0">
      <w:lvlJc w:val="left"/>
      <w:lvlText w:val="·"/>
      <w:numFmt w:val="bullet"/>
      <w:start w:val="1"/>
    </w:lvl>
  </w:abstractNum>
  <w:abstractNum w:abstractNumId="68">
    <w:nsid w:val="59A377B6"/>
    <w:multiLevelType w:val="hybridMultilevel"/>
    <w:lvl w:ilvl="0">
      <w:lvlJc w:val="left"/>
      <w:lvlText w:val="•"/>
      <w:numFmt w:val="bullet"/>
      <w:start w:val="1"/>
    </w:lvl>
  </w:abstractNum>
  <w:abstractNum w:abstractNumId="69">
    <w:nsid w:val="48AEB063"/>
    <w:multiLevelType w:val="hybridMultilevel"/>
    <w:lvl w:ilvl="0">
      <w:lvlJc w:val="left"/>
      <w:lvlText w:val="•"/>
      <w:numFmt w:val="bullet"/>
      <w:start w:val="1"/>
    </w:lvl>
  </w:abstractNum>
  <w:abstractNum w:abstractNumId="70">
    <w:nsid w:val="24E135"/>
    <w:multiLevelType w:val="hybridMultilevel"/>
    <w:lvl w:ilvl="0">
      <w:lvlJc w:val="left"/>
      <w:lvlText w:val="•"/>
      <w:numFmt w:val="bullet"/>
      <w:start w:val="1"/>
    </w:lvl>
  </w:abstractNum>
  <w:abstractNum w:abstractNumId="71">
    <w:nsid w:val="BB13C1"/>
    <w:multiLevelType w:val="hybridMultilevel"/>
    <w:lvl w:ilvl="0">
      <w:lvlJc w:val="left"/>
      <w:lvlText w:val="•"/>
      <w:numFmt w:val="bullet"/>
      <w:start w:val="1"/>
    </w:lvl>
  </w:abstractNum>
  <w:abstractNum w:abstractNumId="72">
    <w:nsid w:val="271210C7"/>
    <w:multiLevelType w:val="hybridMultilevel"/>
    <w:lvl w:ilvl="0">
      <w:lvlJc w:val="left"/>
      <w:lvlText w:val="•"/>
      <w:numFmt w:val="bullet"/>
      <w:start w:val="1"/>
    </w:lvl>
  </w:abstractNum>
  <w:abstractNum w:abstractNumId="73">
    <w:nsid w:val="217B22E4"/>
    <w:multiLevelType w:val="hybridMultilevel"/>
    <w:lvl w:ilvl="0">
      <w:lvlJc w:val="left"/>
      <w:lvlText w:val="(%1)"/>
      <w:numFmt w:val="lowerLetter"/>
      <w:start w:val="1"/>
    </w:lvl>
  </w:abstractNum>
  <w:abstractNum w:abstractNumId="74">
    <w:nsid w:val="53E31A24"/>
    <w:multiLevelType w:val="hybridMultilevel"/>
    <w:lvl w:ilvl="0">
      <w:lvlJc w:val="left"/>
      <w:lvlText w:val="(%1)"/>
      <w:numFmt w:val="lowerLetter"/>
      <w:start w:val="2"/>
    </w:lvl>
  </w:abstractNum>
  <w:abstractNum w:abstractNumId="75">
    <w:nsid w:val="6DC45E83"/>
    <w:multiLevelType w:val="hybridMultilevel"/>
    <w:lvl w:ilvl="0">
      <w:lvlJc w:val="left"/>
      <w:lvlText w:val="(%1)"/>
      <w:numFmt w:val="lowerLetter"/>
      <w:start w:val="3"/>
    </w:lvl>
  </w:abstractNum>
  <w:abstractNum w:abstractNumId="76">
    <w:nsid w:val="17304A67"/>
    <w:multiLevelType w:val="hybridMultilevel"/>
    <w:lvl w:ilvl="0">
      <w:lvlJc w:val="left"/>
      <w:lvlText w:val="(%1)"/>
      <w:numFmt w:val="lowerLetter"/>
      <w:start w:val="4"/>
    </w:lvl>
  </w:abstractNum>
  <w:abstractNum w:abstractNumId="77">
    <w:nsid w:val="2BB180D8"/>
    <w:multiLevelType w:val="hybridMultilevel"/>
    <w:lvl w:ilvl="0">
      <w:lvlJc w:val="left"/>
      <w:lvlText w:val="(%1)"/>
      <w:numFmt w:val="decimal"/>
      <w:start w:val="1"/>
    </w:lvl>
  </w:abstractNum>
  <w:abstractNum w:abstractNumId="78">
    <w:nsid w:val="556B69ED"/>
    <w:multiLevelType w:val="hybridMultilevel"/>
    <w:lvl w:ilvl="0">
      <w:lvlJc w:val="left"/>
      <w:lvlText w:val="•"/>
      <w:numFmt w:val="bullet"/>
      <w:start w:val="1"/>
    </w:lvl>
  </w:abstractNum>
  <w:abstractNum w:abstractNumId="79">
    <w:nsid w:val="70836196"/>
    <w:multiLevelType w:val="hybridMultilevel"/>
    <w:lvl w:ilvl="0">
      <w:lvlJc w:val="left"/>
      <w:lvlText w:val="•"/>
      <w:numFmt w:val="bullet"/>
      <w:start w:val="1"/>
    </w:lvl>
  </w:abstractNum>
  <w:abstractNum w:abstractNumId="80">
    <w:nsid w:val="539F7F12"/>
    <w:multiLevelType w:val="hybridMultilevel"/>
    <w:lvl w:ilvl="0">
      <w:lvlJc w:val="left"/>
      <w:lvlText w:val="•"/>
      <w:numFmt w:val="bullet"/>
      <w:start w:val="1"/>
    </w:lvl>
  </w:abstractNum>
  <w:abstractNum w:abstractNumId="81">
    <w:nsid w:val="2817E7EC"/>
    <w:multiLevelType w:val="hybridMultilevel"/>
    <w:lvl w:ilvl="0">
      <w:lvlJc w:val="left"/>
      <w:lvlText w:val="†"/>
      <w:numFmt w:val="bullet"/>
      <w:start w:val="1"/>
    </w:lvl>
  </w:abstractNum>
  <w:abstractNum w:abstractNumId="82">
    <w:nsid w:val="71482545"/>
    <w:multiLevelType w:val="hybridMultilevel"/>
    <w:lvl w:ilvl="0">
      <w:lvlJc w:val="left"/>
      <w:lvlText w:val="(%1)"/>
      <w:numFmt w:val="decimal"/>
      <w:start w:val="1"/>
    </w:lvl>
  </w:abstractNum>
  <w:abstractNum w:abstractNumId="83">
    <w:nsid w:val="17D78639"/>
    <w:multiLevelType w:val="hybridMultilevel"/>
    <w:lvl w:ilvl="0">
      <w:lvlJc w:val="left"/>
      <w:lvlText w:val="%1."/>
      <w:numFmt w:val="lowerLetter"/>
      <w:start w:val="1"/>
    </w:lvl>
  </w:abstractNum>
  <w:abstractNum w:abstractNumId="84">
    <w:nsid w:val="141D2302"/>
    <w:multiLevelType w:val="hybridMultilevel"/>
    <w:lvl w:ilvl="0">
      <w:lvlJc w:val="left"/>
      <w:lvlText w:val="%1."/>
      <w:numFmt w:val="lowerLetter"/>
      <w:start w:val="2"/>
    </w:lvl>
  </w:abstractNum>
  <w:abstractNum w:abstractNumId="85">
    <w:nsid w:val="407168D8"/>
    <w:multiLevelType w:val="hybridMultilevel"/>
    <w:lvl w:ilvl="0">
      <w:lvlJc w:val="left"/>
      <w:lvlText w:val="%1."/>
      <w:numFmt w:val="lowerLetter"/>
      <w:start w:val="1"/>
    </w:lvl>
  </w:abstractNum>
  <w:abstractNum w:abstractNumId="86">
    <w:nsid w:val="6A1B45E5"/>
    <w:multiLevelType w:val="hybridMultilevel"/>
    <w:lvl w:ilvl="0">
      <w:lvlJc w:val="left"/>
      <w:lvlText w:val="%1."/>
      <w:numFmt w:val="lowerLetter"/>
      <w:start w:val="1"/>
    </w:lvl>
  </w:abstractNum>
  <w:abstractNum w:abstractNumId="87">
    <w:nsid w:val="567BD50A"/>
    <w:multiLevelType w:val="hybridMultilevel"/>
    <w:lvl w:ilvl="0">
      <w:lvlJc w:val="left"/>
      <w:lvlText w:val="%1."/>
      <w:numFmt w:val="lowerLetter"/>
      <w:start w:val="4"/>
    </w:lvl>
  </w:abstractNum>
  <w:abstractNum w:abstractNumId="88">
    <w:nsid w:val="73BBD7F8"/>
    <w:multiLevelType w:val="hybridMultilevel"/>
    <w:lvl w:ilvl="0">
      <w:lvlJc w:val="left"/>
      <w:lvlText w:val="%1."/>
      <w:numFmt w:val="lowerLetter"/>
      <w:start w:val="5"/>
    </w:lvl>
  </w:abstractNum>
  <w:abstractNum w:abstractNumId="89">
    <w:nsid w:val="1876589D"/>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90">
    <w:nsid w:val="327FAC77"/>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2"/>
    </w:lvl>
  </w:abstractNum>
  <w:abstractNum w:abstractNumId="91">
    <w:nsid w:val="5A606509"/>
    <w:multiLevelType w:val="hybridMultilevel"/>
    <w:lvl w:ilvl="0">
      <w:lvlJc w:val="left"/>
      <w:lvlText w:val="%1."/>
      <w:numFmt w:val="lowerLetter"/>
      <w:start w:val="11"/>
    </w:lvl>
    <w:lvl w:ilvl="1">
      <w:lvlJc w:val="left"/>
      <w:lvlText w:val="·"/>
      <w:numFmt w:val="bullet"/>
      <w:start w:val="1"/>
    </w:lvl>
  </w:abstractNum>
  <w:abstractNum w:abstractNumId="92">
    <w:nsid w:val="6F38E6D1"/>
    <w:multiLevelType w:val="hybridMultilevel"/>
    <w:lvl w:ilvl="0">
      <w:lvlJc w:val="left"/>
      <w:lvlText w:val="%1."/>
      <w:numFmt w:val="lowerLetter"/>
      <w:start w:val="15"/>
    </w:lvl>
    <w:lvl w:ilvl="1">
      <w:lvlJc w:val="left"/>
      <w:lvlText w:val="·"/>
      <w:numFmt w:val="bullet"/>
      <w:start w:val="1"/>
    </w:lvl>
  </w:abstractNum>
  <w:abstractNum w:abstractNumId="93">
    <w:nsid w:val="46111BA5"/>
    <w:multiLevelType w:val="hybridMultilevel"/>
    <w:lvl w:ilvl="0">
      <w:lvlJc w:val="left"/>
      <w:lvlText w:val="%1."/>
      <w:numFmt w:val="lowerLetter"/>
      <w:start w:val="16"/>
    </w:lvl>
    <w:lvl w:ilvl="1">
      <w:lvlJc w:val="left"/>
      <w:lvlText w:val="%2)"/>
      <w:numFmt w:val="decimal"/>
      <w:start w:val="1"/>
    </w:lvl>
  </w:abstractNum>
  <w:abstractNum w:abstractNumId="94">
    <w:nsid w:val="5E963896"/>
    <w:multiLevelType w:val="hybridMultilevel"/>
    <w:lvl w:ilvl="0">
      <w:lvlJc w:val="left"/>
      <w:lvlText w:val="%1."/>
      <w:numFmt w:val="lowerLetter"/>
      <w:start w:val="16"/>
    </w:lvl>
    <w:lvl w:ilvl="1">
      <w:lvlJc w:val="left"/>
      <w:lvlText w:val="%2)"/>
      <w:numFmt w:val="decimal"/>
      <w:start w:val="2"/>
    </w:lvl>
    <w:lvl w:ilvl="2">
      <w:lvlJc w:val="left"/>
      <w:lvlText w:val="·"/>
      <w:numFmt w:val="bullet"/>
      <w:start w:val="1"/>
    </w:lvl>
  </w:abstractNum>
  <w:abstractNum w:abstractNumId="95">
    <w:nsid w:val="775BA7C1"/>
    <w:multiLevelType w:val="hybridMultilevel"/>
    <w:lvl w:ilvl="0">
      <w:lvlJc w:val="left"/>
      <w:lvlText w:val="%1."/>
      <w:numFmt w:val="lowerLetter"/>
      <w:start w:val="17"/>
    </w:lvl>
    <w:lvl w:ilvl="1">
      <w:lvlJc w:val="left"/>
      <w:lvlText w:val="%2)"/>
      <w:numFmt w:val="decimal"/>
      <w:start w:val="1"/>
    </w:lvl>
  </w:abstractNum>
  <w:abstractNum w:abstractNumId="96">
    <w:nsid w:val="1DD6D6F4"/>
    <w:multiLevelType w:val="hybridMultilevel"/>
    <w:lvl w:ilvl="0">
      <w:lvlJc w:val="left"/>
      <w:lvlText w:val="%1."/>
      <w:numFmt w:val="lowerLetter"/>
      <w:start w:val="18"/>
    </w:lvl>
  </w:abstractNum>
  <w:abstractNum w:abstractNumId="97">
    <w:nsid w:val="769A091F"/>
    <w:multiLevelType w:val="hybridMultilevel"/>
    <w:lvl w:ilvl="0">
      <w:lvlJc w:val="left"/>
      <w:lvlText w:val="%1."/>
      <w:numFmt w:val="lowerLetter"/>
      <w:start w:val="1"/>
    </w:lvl>
    <w:lvl w:ilvl="1">
      <w:lvlJc w:val="left"/>
      <w:lvlText w:val="%2)"/>
      <w:numFmt w:val="decimal"/>
      <w:start w:val="1"/>
    </w:lvl>
  </w:abstractNum>
  <w:abstractNum w:abstractNumId="98">
    <w:nsid w:val="4695AE95"/>
    <w:multiLevelType w:val="hybridMultilevel"/>
    <w:lvl w:ilvl="0">
      <w:lvlJc w:val="left"/>
      <w:lvlText w:val="%1."/>
      <w:numFmt w:val="lowerLetter"/>
      <w:start w:val="1"/>
    </w:lvl>
    <w:lvl w:ilvl="1">
      <w:lvlJc w:val="left"/>
      <w:lvlText w:val="%2)"/>
      <w:numFmt w:val="decimal"/>
      <w:start w:val="1"/>
    </w:lvl>
  </w:abstractNum>
  <w:abstractNum w:abstractNumId="99">
    <w:nsid w:val="777A4EAA"/>
    <w:multiLevelType w:val="hybridMultilevel"/>
    <w:lvl w:ilvl="0">
      <w:lvlJc w:val="left"/>
      <w:lvlText w:val="%1."/>
      <w:numFmt w:val="lowerLetter"/>
      <w:start w:val="1"/>
    </w:lvl>
    <w:lvl w:ilvl="1">
      <w:lvlJc w:val="left"/>
      <w:lvlText w:val="%2)"/>
      <w:numFmt w:val="decimal"/>
      <w:start w:val="2"/>
    </w:lvl>
  </w:abstractNum>
  <w:abstractNum w:abstractNumId="100">
    <w:nsid w:val="3F48B982"/>
    <w:multiLevelType w:val="hybridMultilevel"/>
    <w:lvl w:ilvl="0">
      <w:lvlJc w:val="left"/>
      <w:lvlText w:val="%1."/>
      <w:numFmt w:val="lowerLetter"/>
      <w:start w:val="3"/>
    </w:lvl>
  </w:abstractNum>
  <w:abstractNum w:abstractNumId="101">
    <w:nsid w:val="46BA8FCA"/>
    <w:multiLevelType w:val="hybridMultilevel"/>
    <w:lvl w:ilvl="0">
      <w:lvlJc w:val="left"/>
      <w:lvlText w:val="%1."/>
      <w:numFmt w:val="lowerLetter"/>
      <w:start w:val="3"/>
    </w:lvl>
  </w:abstractNum>
  <w:abstractNum w:abstractNumId="102">
    <w:nsid w:val="7835626C"/>
    <w:multiLevelType w:val="hybridMultilevel"/>
    <w:lvl w:ilvl="0">
      <w:lvlJc w:val="left"/>
      <w:lvlText w:val="%1."/>
      <w:numFmt w:val="lowerLetter"/>
      <w:start w:val="2"/>
    </w:lvl>
  </w:abstractNum>
  <w:abstractNum w:abstractNumId="103">
    <w:nsid w:val="665ACA49"/>
    <w:multiLevelType w:val="hybridMultilevel"/>
    <w:lvl w:ilvl="0">
      <w:lvlJc w:val="left"/>
      <w:lvlText w:val="%1."/>
      <w:numFmt w:val="lowerLetter"/>
      <w:start w:val="1"/>
    </w:lvl>
  </w:abstractNum>
  <w:abstractNum w:abstractNumId="104">
    <w:nsid w:val="6835B2AE"/>
    <w:multiLevelType w:val="hybridMultilevel"/>
    <w:lvl w:ilvl="0">
      <w:lvlJc w:val="left"/>
      <w:lvlText w:val="%1."/>
      <w:numFmt w:val="lowerLetter"/>
      <w:start w:val="2"/>
    </w:lvl>
    <w:lvl w:ilvl="1">
      <w:lvlJc w:val="left"/>
      <w:lvlText w:val="%2)"/>
      <w:numFmt w:val="decimal"/>
      <w:start w:val="1"/>
    </w:lvl>
  </w:abstractNum>
  <w:abstractNum w:abstractNumId="105">
    <w:nsid w:val="4C187C90"/>
    <w:multiLevelType w:val="hybridMultilevel"/>
    <w:lvl w:ilvl="0">
      <w:lvlJc w:val="left"/>
      <w:lvlText w:val="%1."/>
      <w:numFmt w:val="lowerLetter"/>
      <w:start w:val="4"/>
    </w:lvl>
  </w:abstractNum>
  <w:abstractNum w:abstractNumId="106">
    <w:nsid w:val="541F28CD"/>
    <w:multiLevelType w:val="hybridMultilevel"/>
    <w:lvl w:ilvl="0">
      <w:lvlJc w:val="left"/>
      <w:lvlText w:val="%1."/>
      <w:numFmt w:val="lowerLetter"/>
      <w:start w:val="4"/>
    </w:lvl>
    <w:lvl w:ilvl="1">
      <w:lvlJc w:val="left"/>
      <w:lvlText w:val="%2)"/>
      <w:numFmt w:val="decimal"/>
      <w:start w:val="1"/>
    </w:lvl>
  </w:abstractNum>
  <w:abstractNum w:abstractNumId="107">
    <w:nsid w:val="7F65FD16"/>
    <w:multiLevelType w:val="hybridMultilevel"/>
    <w:lvl w:ilvl="0">
      <w:lvlJc w:val="left"/>
      <w:lvlText w:val="%1."/>
      <w:numFmt w:val="lowerLetter"/>
      <w:start w:val="5"/>
    </w:lvl>
    <w:lvl w:ilvl="1">
      <w:lvlJc w:val="left"/>
      <w:lvlText w:val="%2)"/>
      <w:numFmt w:val="decimal"/>
      <w:start w:val="2"/>
    </w:lvl>
  </w:abstractNum>
  <w:abstractNum w:abstractNumId="108">
    <w:nsid w:val="77C9FD68"/>
    <w:multiLevelType w:val="hybridMultilevel"/>
    <w:lvl w:ilvl="0">
      <w:lvlJc w:val="left"/>
      <w:lvlText w:val="*"/>
      <w:numFmt w:val="bullet"/>
      <w:start w:val="1"/>
    </w:lvl>
  </w:abstractNum>
  <w:abstractNum w:abstractNumId="109">
    <w:nsid w:val="298A92BA"/>
    <w:multiLevelType w:val="hybridMultilevel"/>
    <w:lvl w:ilvl="0">
      <w:lvlJc w:val="left"/>
      <w:lvlText w:val="%1."/>
      <w:numFmt w:val="lowerLetter"/>
      <w:start w:val="5"/>
    </w:lvl>
  </w:abstractNum>
  <w:abstractNum w:abstractNumId="110">
    <w:nsid w:val="6FE95EAC"/>
    <w:multiLevelType w:val="hybridMultilevel"/>
    <w:lvl w:ilvl="0">
      <w:lvlJc w:val="left"/>
      <w:lvlText w:val="%1."/>
      <w:numFmt w:val="lowerLetter"/>
      <w:start w:val="5"/>
    </w:lvl>
    <w:lvl w:ilvl="1">
      <w:lvlJc w:val="left"/>
      <w:lvlText w:val="%2)"/>
      <w:numFmt w:val="decimal"/>
      <w:start w:val="3"/>
    </w:lvl>
  </w:abstractNum>
  <w:abstractNum w:abstractNumId="111">
    <w:nsid w:val="4B697C7A"/>
    <w:multiLevelType w:val="hybridMultilevel"/>
    <w:lvl w:ilvl="0">
      <w:lvlJc w:val="left"/>
      <w:lvlText w:val="%1."/>
      <w:numFmt w:val="lowerLetter"/>
      <w:start w:val="1"/>
    </w:lvl>
  </w:abstractNum>
  <w:abstractNum w:abstractNumId="112">
    <w:nsid w:val="51A27AA6"/>
    <w:multiLevelType w:val="hybridMultilevel"/>
    <w:lvl w:ilvl="0">
      <w:lvlJc w:val="left"/>
      <w:lvlText w:val="%1."/>
      <w:numFmt w:val="lowerLetter"/>
      <w:start w:val="3"/>
    </w:lvl>
  </w:abstractNum>
  <w:abstractNum w:abstractNumId="113">
    <w:nsid w:val="613183F2"/>
    <w:multiLevelType w:val="hybridMultilevel"/>
    <w:lvl w:ilvl="0">
      <w:lvlJc w:val="left"/>
      <w:lvlText w:val="%1."/>
      <w:numFmt w:val="lowerLetter"/>
      <w:start w:val="4"/>
    </w:lvl>
  </w:abstractNum>
  <w:abstractNum w:abstractNumId="114">
    <w:nsid w:val="634102B4"/>
    <w:multiLevelType w:val="hybridMultilevel"/>
    <w:lvl w:ilvl="0">
      <w:lvlJc w:val="left"/>
      <w:lvlText w:val="%1."/>
      <w:numFmt w:val="lowerLetter"/>
      <w:start w:val="1"/>
    </w:lvl>
    <w:lvl w:ilvl="1">
      <w:lvlJc w:val="left"/>
      <w:lvlText w:val="%2)"/>
      <w:numFmt w:val="decimal"/>
      <w:start w:val="1"/>
    </w:lvl>
  </w:abstractNum>
  <w:abstractNum w:abstractNumId="115">
    <w:nsid w:val="65BF9DA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16">
    <w:nsid w:val="21A2ECCA"/>
    <w:multiLevelType w:val="hybridMultilevel"/>
    <w:lvl w:ilvl="0">
      <w:lvlJc w:val="left"/>
      <w:lvlText w:val="%1."/>
      <w:numFmt w:val="lowerLetter"/>
      <w:start w:val="1"/>
    </w:lvl>
    <w:lvl w:ilvl="1">
      <w:lvlJc w:val="left"/>
      <w:lvlText w:val="%2)"/>
      <w:numFmt w:val="decimal"/>
      <w:start w:val="2"/>
    </w:lvl>
  </w:abstractNum>
  <w:abstractNum w:abstractNumId="117">
    <w:nsid w:val="4D5C4899"/>
    <w:multiLevelType w:val="hybridMultilevel"/>
    <w:lvl w:ilvl="0">
      <w:lvlJc w:val="left"/>
      <w:lvlText w:val="(%1)"/>
      <w:numFmt w:val="lowerLetter"/>
      <w:start w:val="1"/>
    </w:lvl>
  </w:abstractNum>
  <w:abstractNum w:abstractNumId="118">
    <w:nsid w:val="3C3B72B2"/>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9">
    <w:nsid w:val="155EC4C2"/>
    <w:multiLevelType w:val="hybridMultilevel"/>
    <w:lvl w:ilvl="0">
      <w:lvlJc w:val="left"/>
      <w:lvlText w:val="%1."/>
      <w:numFmt w:val="lowerLetter"/>
      <w:start w:val="1"/>
    </w:lvl>
  </w:abstractNum>
  <w:abstractNum w:abstractNumId="120">
    <w:nsid w:val="65D2A137"/>
    <w:multiLevelType w:val="hybridMultilevel"/>
    <w:lvl w:ilvl="0">
      <w:lvlJc w:val="left"/>
      <w:lvlText w:val="%1."/>
      <w:numFmt w:val="lowerLetter"/>
      <w:start w:val="2"/>
    </w:lvl>
  </w:abstractNum>
  <w:abstractNum w:abstractNumId="121">
    <w:nsid w:val="6EBB1F2A"/>
    <w:multiLevelType w:val="hybridMultilevel"/>
    <w:lvl w:ilvl="0">
      <w:lvlJc w:val="left"/>
      <w:lvlText w:val="%1."/>
      <w:numFmt w:val="lowerLetter"/>
      <w:start w:val="6"/>
    </w:lvl>
  </w:abstractNum>
  <w:abstractNum w:abstractNumId="122">
    <w:nsid w:val="6FBF29CB"/>
    <w:multiLevelType w:val="hybridMultilevel"/>
    <w:lvl w:ilvl="0">
      <w:lvlJc w:val="left"/>
      <w:lvlText w:val="%1."/>
      <w:numFmt w:val="decimal"/>
      <w:start w:val="1"/>
    </w:lvl>
  </w:abstractNum>
  <w:abstractNum w:abstractNumId="123">
    <w:nsid w:val="550B8808"/>
    <w:multiLevelType w:val="hybridMultilevel"/>
    <w:lvl w:ilvl="0">
      <w:lvlJc w:val="left"/>
      <w:lvlText w:val="%1."/>
      <w:numFmt w:val="decimal"/>
      <w:start w:val="2"/>
    </w:lvl>
  </w:abstractNum>
  <w:abstractNum w:abstractNumId="124">
    <w:nsid w:val="34CC3ACF"/>
    <w:multiLevelType w:val="hybridMultilevel"/>
    <w:lvl w:ilvl="0">
      <w:lvlJc w:val="left"/>
      <w:lvlText w:val="%1."/>
      <w:numFmt w:val="decimal"/>
      <w:start w:val="6"/>
    </w:lvl>
  </w:abstractNum>
  <w:abstractNum w:abstractNumId="125">
    <w:nsid w:val="4E556261"/>
    <w:multiLevelType w:val="hybridMultilevel"/>
    <w:lvl w:ilvl="0">
      <w:lvlJc w:val="left"/>
      <w:lvlText w:val="%1."/>
      <w:numFmt w:val="decimal"/>
      <w:start w:val="8"/>
    </w:lvl>
  </w:abstractNum>
  <w:abstractNum w:abstractNumId="126">
    <w:nsid w:val="4C672FC9"/>
    <w:multiLevelType w:val="hybridMultilevel"/>
    <w:lvl w:ilvl="0">
      <w:lvlJc w:val="left"/>
      <w:lvlText w:val="%1."/>
      <w:numFmt w:val="decimal"/>
      <w:start w:val="11"/>
    </w:lvl>
  </w:abstractNum>
  <w:abstractNum w:abstractNumId="127">
    <w:nsid w:val="52A311C3"/>
    <w:multiLevelType w:val="hybridMultilevel"/>
    <w:lvl w:ilvl="0">
      <w:lvlJc w:val="left"/>
      <w:lvlText w:val="%1."/>
      <w:numFmt w:val="decimal"/>
      <w:start w:val="1"/>
    </w:lvl>
  </w:abstractNum>
  <w:abstractNum w:abstractNumId="128">
    <w:nsid w:val="44EF6B80"/>
    <w:multiLevelType w:val="hybridMultilevel"/>
    <w:lvl w:ilvl="0">
      <w:lvlJc w:val="left"/>
      <w:lvlText w:val="%1."/>
      <w:numFmt w:val="decimal"/>
      <w:start w:val="4"/>
    </w:lvl>
  </w:abstractNum>
  <w:abstractNum w:abstractNumId="129">
    <w:nsid w:val="12FCDE5E"/>
    <w:multiLevelType w:val="hybridMultilevel"/>
    <w:lvl w:ilvl="0">
      <w:lvlJc w:val="left"/>
      <w:lvlText w:val="%1."/>
      <w:numFmt w:val="decimal"/>
      <w:start w:val="8"/>
    </w:lvl>
  </w:abstractNum>
  <w:abstractNum w:abstractNumId="130">
    <w:nsid w:val="4A1D606E"/>
    <w:multiLevelType w:val="hybridMultilevel"/>
    <w:lvl w:ilvl="0">
      <w:lvlJc w:val="left"/>
      <w:lvlText w:val="%1."/>
      <w:numFmt w:val="decimal"/>
      <w:start w:val="13"/>
    </w:lvl>
  </w:abstractNum>
  <w:abstractNum w:abstractNumId="131">
    <w:nsid w:val="4382503"/>
    <w:multiLevelType w:val="hybridMultilevel"/>
    <w:lvl w:ilvl="0">
      <w:lvlJc w:val="left"/>
      <w:lvlText w:val="(%1)"/>
      <w:numFmt w:val="lowerLetter"/>
      <w:start w:val="1"/>
    </w:lvl>
  </w:abstractNum>
  <w:abstractNum w:abstractNumId="132">
    <w:nsid w:val="59B76E28"/>
    <w:multiLevelType w:val="hybridMultilevel"/>
    <w:lvl w:ilvl="0">
      <w:lvlJc w:val="left"/>
      <w:lvlText w:val="(%1)"/>
      <w:numFmt w:val="lowerRoman"/>
      <w:start w:val="1"/>
    </w:lvl>
  </w:abstractNum>
  <w:abstractNum w:abstractNumId="133">
    <w:nsid w:val="4252C2DA"/>
    <w:multiLevelType w:val="hybridMultilevel"/>
    <w:lvl w:ilvl="0">
      <w:lvlJc w:val="left"/>
      <w:lvlText w:val="(%1)"/>
      <w:numFmt w:val="decimal"/>
      <w:start w:val="2"/>
    </w:lvl>
  </w:abstractNum>
  <w:abstractNum w:abstractNumId="134">
    <w:nsid w:val="6A92EF4C"/>
    <w:multiLevelType w:val="hybridMultilevel"/>
    <w:lvl w:ilvl="0">
      <w:lvlJc w:val="left"/>
      <w:lvlText w:val="(%1)"/>
      <w:numFmt w:val="lowerLetter"/>
      <w:start w:val="1"/>
    </w:lvl>
  </w:abstractNum>
  <w:abstractNum w:abstractNumId="135">
    <w:nsid w:val="41ED20D7"/>
    <w:multiLevelType w:val="hybridMultilevel"/>
    <w:lvl w:ilvl="0">
      <w:lvlJc w:val="left"/>
      <w:lvlText w:val="(%1)"/>
      <w:numFmt w:val="decimal"/>
      <w:start w:val="3"/>
    </w:lvl>
  </w:abstractNum>
  <w:abstractNum w:abstractNumId="136">
    <w:nsid w:val="E6B3F6A"/>
    <w:multiLevelType w:val="hybridMultilevel"/>
    <w:lvl w:ilvl="0">
      <w:lvlJc w:val="left"/>
      <w:lvlText w:val="-"/>
      <w:numFmt w:val="bullet"/>
      <w:start w:val="1"/>
    </w:lvl>
  </w:abstractNum>
  <w:abstractNum w:abstractNumId="137">
    <w:nsid w:val="3EB21819"/>
    <w:multiLevelType w:val="hybridMultilevel"/>
    <w:lvl w:ilvl="0">
      <w:lvlJc w:val="left"/>
      <w:lvlText w:val="[*]"/>
      <w:numFmt w:val="bullet"/>
      <w:start w:val="1"/>
    </w:lvl>
  </w:abstractNum>
  <w:abstractNum w:abstractNumId="138">
    <w:nsid w:val="41531DED"/>
    <w:multiLevelType w:val="hybridMultilevel"/>
    <w:lvl w:ilvl="0">
      <w:lvlJc w:val="left"/>
      <w:lvlText w:val="%1."/>
      <w:numFmt w:val="upperLetter"/>
      <w:start w:val="1"/>
    </w:lvl>
  </w:abstractNum>
  <w:abstractNum w:abstractNumId="139">
    <w:nsid w:val="6353CD2"/>
    <w:multiLevelType w:val="hybridMultilevel"/>
    <w:lvl w:ilvl="0">
      <w:lvlJc w:val="left"/>
      <w:lvlText w:val="(%1)"/>
      <w:numFmt w:val="lowerLetter"/>
      <w:start w:val="2"/>
    </w:lvl>
  </w:abstractNum>
  <w:abstractNum w:abstractNumId="140">
    <w:nsid w:val="683CAAD3"/>
    <w:multiLevelType w:val="hybridMultilevel"/>
    <w:lvl w:ilvl="0">
      <w:lvlJc w:val="left"/>
      <w:lvlText w:val="(%1)"/>
      <w:numFmt w:val="lowerLetter"/>
      <w:start w:val="1"/>
    </w:lvl>
    <w:lvl w:ilvl="1">
      <w:lvlJc w:val="left"/>
      <w:lvlText w:val="-"/>
      <w:numFmt w:val="bullet"/>
      <w:start w:val="1"/>
    </w:lvl>
  </w:abstractNum>
  <w:abstractNum w:abstractNumId="141">
    <w:nsid w:val="313C7C99"/>
    <w:multiLevelType w:val="hybridMultilevel"/>
    <w:lvl w:ilvl="0">
      <w:lvlJc w:val="left"/>
      <w:lvlText w:val="(%1)"/>
      <w:numFmt w:val="lowerLetter"/>
      <w:start w:val="3"/>
    </w:lvl>
  </w:abstractNum>
  <w:abstractNum w:abstractNumId="142">
    <w:nsid w:val="519EB94C"/>
    <w:multiLevelType w:val="hybridMultilevel"/>
    <w:lvl w:ilvl="0">
      <w:lvlJc w:val="left"/>
      <w:lvlText w:val="(%1)"/>
      <w:numFmt w:val="lowerLetter"/>
      <w:start w:val="1"/>
    </w:lvl>
    <w:lvl w:ilvl="1">
      <w:lvlJc w:val="left"/>
      <w:lvlText w:val="-"/>
      <w:numFmt w:val="bullet"/>
      <w:start w:val="1"/>
    </w:lvl>
  </w:abstractNum>
  <w:abstractNum w:abstractNumId="143">
    <w:nsid w:val="39DF2579"/>
    <w:multiLevelType w:val="hybridMultilevel"/>
    <w:lvl w:ilvl="0">
      <w:lvlJc w:val="left"/>
      <w:lvlText w:val="(%1)"/>
      <w:numFmt w:val="lowerLetter"/>
      <w:start w:val="3"/>
    </w:lvl>
  </w:abstractNum>
  <w:abstractNum w:abstractNumId="144">
    <w:nsid w:val="126E008B"/>
    <w:multiLevelType w:val="hybridMultilevel"/>
    <w:lvl w:ilvl="0">
      <w:lvlJc w:val="left"/>
      <w:lvlText w:val="(%1)"/>
      <w:numFmt w:val="lowerLetter"/>
      <w:start w:val="4"/>
    </w:lvl>
  </w:abstractNum>
  <w:abstractNum w:abstractNumId="145">
    <w:nsid w:val="34DFBC00"/>
    <w:multiLevelType w:val="hybridMultilevel"/>
    <w:lvl w:ilvl="0">
      <w:lvlJc w:val="left"/>
      <w:lvlText w:val="(%1)"/>
      <w:numFmt w:val="lowerLetter"/>
      <w:start w:val="1"/>
    </w:lvl>
    <w:lvl w:ilvl="1">
      <w:lvlJc w:val="left"/>
      <w:lvlText w:val="-"/>
      <w:numFmt w:val="bullet"/>
      <w:start w:val="1"/>
    </w:lvl>
  </w:abstractNum>
  <w:abstractNum w:abstractNumId="146">
    <w:nsid w:val="1F9EC322"/>
    <w:multiLevelType w:val="hybridMultilevel"/>
    <w:lvl w:ilvl="0">
      <w:lvlJc w:val="left"/>
      <w:lvlText w:val="(%1)"/>
      <w:numFmt w:val="lowerLetter"/>
      <w:start w:val="2"/>
    </w:lvl>
  </w:abstractNum>
  <w:abstractNum w:abstractNumId="147">
    <w:nsid w:val="3410ED56"/>
    <w:multiLevelType w:val="hybridMultilevel"/>
    <w:lvl w:ilvl="0">
      <w:lvlJc w:val="left"/>
      <w:lvlText w:val="(%1)"/>
      <w:numFmt w:val="lowerLetter"/>
      <w:start w:val="1"/>
    </w:lvl>
    <w:lvl w:ilvl="1">
      <w:lvlJc w:val="left"/>
      <w:lvlText w:val="-"/>
      <w:numFmt w:val="bullet"/>
      <w:start w:val="1"/>
    </w:lvl>
  </w:abstractNum>
  <w:abstractNum w:abstractNumId="148">
    <w:nsid w:val="23C049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9">
    <w:nsid w:val="5BDA35D4"/>
    <w:multiLevelType w:val="hybridMultilevel"/>
    <w:lvl w:ilvl="0">
      <w:lvlJc w:val="left"/>
      <w:lvlText w:val="(%1)"/>
      <w:numFmt w:val="lowerLetter"/>
      <w:start w:val="5"/>
    </w:lvl>
  </w:abstractNum>
  <w:abstractNum w:abstractNumId="150">
    <w:nsid w:val="496FB218"/>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51">
    <w:nsid w:val="680EA5D1"/>
    <w:multiLevelType w:val="hybridMultilevel"/>
    <w:lvl w:ilvl="0">
      <w:lvlJc w:val="left"/>
      <w:lvlText w:val="(%1)"/>
      <w:numFmt w:val="lowerLetter"/>
      <w:start w:val="2"/>
    </w:lvl>
    <w:lvl w:ilvl="1">
      <w:lvlJc w:val="left"/>
      <w:lvlText w:val="(%2)"/>
      <w:numFmt w:val="lowerRoman"/>
      <w:start w:val="1"/>
    </w:lvl>
  </w:abstractNum>
  <w:abstractNum w:abstractNumId="152">
    <w:nsid w:val="4A9554FE"/>
    <w:multiLevelType w:val="hybridMultilevel"/>
    <w:lvl w:ilvl="0">
      <w:lvlJc w:val="left"/>
      <w:lvlText w:val="(%1)"/>
      <w:numFmt w:val="lowerLetter"/>
      <w:start w:val="1"/>
    </w:lvl>
    <w:lvl w:ilvl="1">
      <w:lvlJc w:val="left"/>
      <w:lvlText w:val="-"/>
      <w:numFmt w:val="bullet"/>
      <w:start w:val="1"/>
    </w:lvl>
  </w:abstractNum>
  <w:abstractNum w:abstractNumId="153">
    <w:nsid w:val="392EDBE4"/>
    <w:multiLevelType w:val="hybridMultilevel"/>
    <w:lvl w:ilvl="0">
      <w:lvlJc w:val="left"/>
      <w:lvlText w:val="%1"/>
      <w:numFmt w:val="lowerLetter"/>
      <w:start w:val="1"/>
    </w:lvl>
    <w:lvl w:ilvl="1">
      <w:lvlJc w:val="left"/>
      <w:lvlText w:val="(%2)"/>
      <w:numFmt w:val="lowerLetter"/>
      <w:start w:val="2"/>
    </w:lvl>
  </w:abstractNum>
  <w:abstractNum w:abstractNumId="154">
    <w:nsid w:val="3D1A2DD9"/>
    <w:multiLevelType w:val="hybridMultilevel"/>
    <w:lvl w:ilvl="0">
      <w:lvlJc w:val="left"/>
      <w:lvlText w:val="(%1)"/>
      <w:numFmt w:val="lowerLetter"/>
      <w:start w:val="9"/>
    </w:lvl>
    <w:lvl w:ilvl="1">
      <w:lvlJc w:val="left"/>
      <w:lvlText w:val="(%2)"/>
      <w:numFmt w:val="lowerLetter"/>
      <w:start w:val="3"/>
    </w:lvl>
  </w:abstractNum>
  <w:abstractNum w:abstractNumId="155">
    <w:nsid w:val="7F618FCD"/>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56">
    <w:nsid w:val="7843E45"/>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57">
    <w:nsid w:val="9815DA3"/>
    <w:multiLevelType w:val="hybridMultilevel"/>
    <w:lvl w:ilvl="0">
      <w:lvlJc w:val="left"/>
      <w:lvlText w:val="(%1)"/>
      <w:numFmt w:val="lowerLetter"/>
      <w:start w:val="1"/>
    </w:lvl>
    <w:lvl w:ilvl="1">
      <w:lvlJc w:val="left"/>
      <w:lvlText w:val="-"/>
      <w:numFmt w:val="bullet"/>
      <w:start w:val="1"/>
    </w:lvl>
  </w:abstractNum>
  <w:abstractNum w:abstractNumId="158">
    <w:nsid w:val="5204A191"/>
    <w:multiLevelType w:val="hybridMultilevel"/>
    <w:lvl w:ilvl="0">
      <w:lvlJc w:val="left"/>
      <w:lvlText w:val="(%1)"/>
      <w:numFmt w:val="lowerLetter"/>
      <w:start w:val="2"/>
    </w:lvl>
  </w:abstractNum>
  <w:abstractNum w:abstractNumId="159">
    <w:nsid w:val="4C73A9C6"/>
    <w:multiLevelType w:val="hybridMultilevel"/>
    <w:lvl w:ilvl="0">
      <w:lvlJc w:val="left"/>
      <w:lvlText w:val="(%1)"/>
      <w:numFmt w:val="lowerLetter"/>
      <w:start w:val="1"/>
    </w:lvl>
  </w:abstractNum>
  <w:abstractNum w:abstractNumId="160">
    <w:nsid w:val="1C7E3C01"/>
    <w:multiLevelType w:val="hybridMultilevel"/>
    <w:lvl w:ilvl="0">
      <w:lvlJc w:val="left"/>
      <w:lvlText w:val="(%1)"/>
      <w:numFmt w:val="lowerLetter"/>
      <w:start w:val="1"/>
    </w:lvl>
    <w:lvl w:ilvl="1">
      <w:lvlJc w:val="left"/>
      <w:lvlText w:val="-"/>
      <w:numFmt w:val="bullet"/>
      <w:start w:val="1"/>
    </w:lvl>
  </w:abstractNum>
  <w:abstractNum w:abstractNumId="161">
    <w:nsid w:val="1C2201FF"/>
    <w:multiLevelType w:val="hybridMultilevel"/>
    <w:lvl w:ilvl="0">
      <w:lvlJc w:val="left"/>
      <w:lvlText w:val="(%1)"/>
      <w:numFmt w:val="lowerLetter"/>
      <w:start w:val="3"/>
    </w:lvl>
  </w:abstractNum>
  <w:abstractNum w:abstractNumId="162">
    <w:nsid w:val="50ABCEC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3">
    <w:nsid w:val="7635AA2A"/>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64">
    <w:nsid w:val="5E74C4D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5">
    <w:nsid w:val="3B3EBE15"/>
    <w:multiLevelType w:val="hybridMultilevel"/>
    <w:lvl w:ilvl="0">
      <w:lvlJc w:val="left"/>
      <w:lvlText w:val="(%1)"/>
      <w:numFmt w:val="lowerLetter"/>
      <w:start w:val="1"/>
    </w:lvl>
  </w:abstractNum>
  <w:abstractNum w:abstractNumId="166">
    <w:nsid w:val="3822CB0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7">
    <w:nsid w:val="6CE0044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8">
    <w:nsid w:val="79F0D62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69">
    <w:nsid w:val="7975E8E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4"/>
    </w:lvl>
    <w:lvl w:ilvl="3">
      <w:lvlJc w:val="left"/>
      <w:lvlText w:val="-"/>
      <w:numFmt w:val="bullet"/>
      <w:start w:val="1"/>
    </w:lvl>
  </w:abstractNum>
  <w:abstractNum w:abstractNumId="170">
    <w:nsid w:val="731541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1">
    <w:nsid w:val="622D810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2">
    <w:nsid w:val="2AB26587"/>
    <w:multiLevelType w:val="hybridMultilevel"/>
    <w:lvl w:ilvl="0">
      <w:lvlJc w:val="left"/>
      <w:lvlText w:val="(%1)"/>
      <w:numFmt w:val="lowerLetter"/>
      <w:start w:val="1"/>
    </w:lvl>
    <w:lvl w:ilvl="1">
      <w:lvlJc w:val="left"/>
      <w:lvlText w:val="-"/>
      <w:numFmt w:val="bullet"/>
      <w:start w:val="1"/>
    </w:lvl>
  </w:abstractNum>
  <w:abstractNum w:abstractNumId="173">
    <w:nsid w:val="44B3FA61"/>
    <w:multiLevelType w:val="hybridMultilevel"/>
    <w:lvl w:ilvl="0">
      <w:lvlJc w:val="left"/>
      <w:lvlText w:val="(%1)"/>
      <w:numFmt w:val="lowerLetter"/>
      <w:start w:val="1"/>
    </w:lvl>
    <w:lvl w:ilvl="1">
      <w:lvlJc w:val="left"/>
      <w:lvlText w:val="-"/>
      <w:numFmt w:val="bullet"/>
      <w:start w:val="1"/>
    </w:lvl>
  </w:abstractNum>
  <w:abstractNum w:abstractNumId="174">
    <w:nsid w:val="1C0CA67C"/>
    <w:multiLevelType w:val="hybridMultilevel"/>
    <w:lvl w:ilvl="0">
      <w:lvlJc w:val="left"/>
      <w:lvlText w:val="(%1)"/>
      <w:numFmt w:val="lowerLetter"/>
      <w:start w:val="1"/>
    </w:lvl>
  </w:abstractNum>
  <w:abstractNum w:abstractNumId="175">
    <w:nsid w:val="3D206613"/>
    <w:multiLevelType w:val="hybridMultilevel"/>
    <w:lvl w:ilvl="0">
      <w:lvlJc w:val="left"/>
      <w:lvlText w:val="(%1)"/>
      <w:numFmt w:val="lowerLetter"/>
      <w:start w:val="1"/>
    </w:lvl>
    <w:lvl w:ilvl="1">
      <w:lvlJc w:val="left"/>
      <w:lvlText w:val="-"/>
      <w:numFmt w:val="bullet"/>
      <w:start w:val="1"/>
    </w:lvl>
  </w:abstractNum>
  <w:abstractNum w:abstractNumId="176">
    <w:nsid w:val="7993B662"/>
    <w:multiLevelType w:val="hybridMultilevel"/>
    <w:lvl w:ilvl="0">
      <w:lvlJc w:val="left"/>
      <w:lvlText w:val="(%1)"/>
      <w:numFmt w:val="lowerLetter"/>
      <w:start w:val="1"/>
    </w:lvl>
  </w:abstractNum>
  <w:abstractNum w:abstractNumId="177">
    <w:nsid w:val="3BAB699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8">
    <w:nsid w:val="71315369"/>
    <w:multiLevelType w:val="hybridMultilevel"/>
    <w:lvl w:ilvl="0">
      <w:lvlJc w:val="left"/>
      <w:lvlText w:val="(%1)"/>
      <w:numFmt w:val="lowerRoman"/>
      <w:start w:val="2"/>
    </w:lvl>
  </w:abstractNum>
  <w:abstractNum w:abstractNumId="179">
    <w:nsid w:val="7BCFBAFC"/>
    <w:multiLevelType w:val="hybridMultilevel"/>
    <w:lvl w:ilvl="0">
      <w:lvlJc w:val="left"/>
      <w:lvlText w:val="%1"/>
      <w:numFmt w:val="lowerLetter"/>
      <w:start w:val="1"/>
    </w:lvl>
    <w:lvl w:ilvl="1">
      <w:lvlJc w:val="left"/>
      <w:lvlText w:val="(%2)"/>
      <w:numFmt w:val="lowerLetter"/>
      <w:start w:val="61"/>
    </w:lvl>
  </w:abstractNum>
  <w:abstractNum w:abstractNumId="180">
    <w:nsid w:val="17859F72"/>
    <w:multiLevelType w:val="hybridMultilevel"/>
    <w:lvl w:ilvl="0">
      <w:lvlJc w:val="left"/>
      <w:lvlText w:val="(%1)"/>
      <w:numFmt w:val="lowerLetter"/>
      <w:start w:val="2"/>
    </w:lvl>
    <w:lvl w:ilvl="1">
      <w:lvlJc w:val="left"/>
      <w:lvlText w:val="(%2)"/>
      <w:numFmt w:val="lowerLetter"/>
      <w:start w:val="9"/>
    </w:lvl>
  </w:abstractNum>
  <w:abstractNum w:abstractNumId="181">
    <w:nsid w:val="3AA1058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182">
    <w:nsid w:val="63DE60CD"/>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lvl w:ilvl="3">
      <w:lvlJc w:val="left"/>
      <w:lvlText w:val="-"/>
      <w:numFmt w:val="bullet"/>
      <w:start w:val="1"/>
    </w:lvl>
  </w:abstractNum>
  <w:abstractNum w:abstractNumId="183">
    <w:nsid w:val="621AF471"/>
    <w:multiLevelType w:val="hybridMultilevel"/>
    <w:lvl w:ilvl="0">
      <w:lvlJc w:val="left"/>
      <w:lvlText w:val="%1"/>
      <w:numFmt w:val="lowerLetter"/>
      <w:start w:val="1"/>
    </w:lvl>
    <w:lvl w:ilvl="1">
      <w:lvlJc w:val="left"/>
      <w:lvlText w:val="(%2)"/>
      <w:numFmt w:val="lowerLetter"/>
      <w:start w:val="35"/>
    </w:lvl>
  </w:abstractNum>
  <w:abstractNum w:abstractNumId="184">
    <w:nsid w:val="73CFE165"/>
    <w:multiLevelType w:val="hybridMultilevel"/>
    <w:lvl w:ilvl="0">
      <w:lvlJc w:val="left"/>
      <w:lvlText w:val="(%1)"/>
      <w:numFmt w:val="lowerLetter"/>
      <w:start w:val="4"/>
    </w:lvl>
    <w:lvl w:ilvl="1">
      <w:lvlJc w:val="left"/>
      <w:lvlText w:val="%2"/>
      <w:numFmt w:val="lowerLetter"/>
      <w:start w:val="1"/>
    </w:lvl>
  </w:abstractNum>
  <w:abstractNum w:abstractNumId="185">
    <w:nsid w:val="20F88EA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6">
    <w:nsid w:val="617C843E"/>
    <w:multiLevelType w:val="hybridMultilevel"/>
    <w:lvl w:ilvl="0">
      <w:lvlJc w:val="left"/>
      <w:lvlText w:val="%1"/>
      <w:numFmt w:val="lowerLetter"/>
      <w:start w:val="1"/>
    </w:lvl>
    <w:lvl w:ilvl="1">
      <w:lvlJc w:val="left"/>
      <w:lvlText w:val="(%2)"/>
      <w:numFmt w:val="lowerLetter"/>
      <w:start w:val="35"/>
    </w:lvl>
  </w:abstractNum>
  <w:abstractNum w:abstractNumId="187">
    <w:nsid w:val="7B541FAB"/>
    <w:multiLevelType w:val="hybridMultilevel"/>
    <w:lvl w:ilvl="0">
      <w:lvlJc w:val="left"/>
      <w:lvlText w:val="(%1)"/>
      <w:numFmt w:val="lowerLetter"/>
      <w:start w:val="2"/>
    </w:lvl>
    <w:lvl w:ilvl="1">
      <w:lvlJc w:val="left"/>
      <w:lvlText w:val="%2"/>
      <w:numFmt w:val="lowerLetter"/>
      <w:start w:val="1"/>
    </w:lvl>
  </w:abstractNum>
  <w:abstractNum w:abstractNumId="188">
    <w:nsid w:val="2A79EC49"/>
    <w:multiLevelType w:val="hybridMultilevel"/>
    <w:lvl w:ilvl="0">
      <w:lvlJc w:val="left"/>
      <w:lvlText w:val="(%1)"/>
      <w:numFmt w:val="lowerLetter"/>
      <w:start w:val="4"/>
    </w:lvl>
    <w:lvl w:ilvl="1">
      <w:lvlJc w:val="left"/>
      <w:lvlText w:val="-"/>
      <w:numFmt w:val="bullet"/>
      <w:start w:val="1"/>
    </w:lvl>
  </w:abstractNum>
  <w:abstractNum w:abstractNumId="189">
    <w:nsid w:val="338125CF"/>
    <w:multiLevelType w:val="hybridMultilevel"/>
    <w:lvl w:ilvl="0">
      <w:lvlJc w:val="left"/>
      <w:lvlText w:val="(%1)"/>
      <w:numFmt w:val="lowerLetter"/>
      <w:start w:val="1"/>
    </w:lvl>
  </w:abstractNum>
  <w:abstractNum w:abstractNumId="190">
    <w:nsid w:val="47C7C971"/>
    <w:multiLevelType w:val="hybridMultilevel"/>
    <w:lvl w:ilvl="0">
      <w:lvlJc w:val="left"/>
      <w:lvlText w:val="(%1)"/>
      <w:numFmt w:val="lowerLetter"/>
      <w:start w:val="1"/>
    </w:lvl>
    <w:lvl w:ilvl="1">
      <w:lvlJc w:val="left"/>
      <w:lvlText w:val="-"/>
      <w:numFmt w:val="bullet"/>
      <w:start w:val="1"/>
    </w:lvl>
  </w:abstractNum>
  <w:abstractNum w:abstractNumId="191">
    <w:nsid w:val="46F8284B"/>
    <w:multiLevelType w:val="hybridMultilevel"/>
    <w:lvl w:ilvl="0">
      <w:lvlJc w:val="left"/>
      <w:lvlText w:val="[*]"/>
      <w:numFmt w:val="bullet"/>
      <w:start w:val="1"/>
    </w:lvl>
    <w:lvl w:ilvl="1">
      <w:lvlJc w:val="left"/>
      <w:lvlText w:val="(%2)"/>
      <w:numFmt w:val="lowerLetter"/>
      <w:start w:val="2"/>
    </w:lvl>
  </w:abstractNum>
  <w:abstractNum w:abstractNumId="192">
    <w:nsid w:val="4FA327CE"/>
    <w:multiLevelType w:val="hybridMultilevel"/>
    <w:lvl w:ilvl="0">
      <w:lvlJc w:val="left"/>
      <w:lvlText w:val="%1."/>
      <w:numFmt w:val="decimal"/>
      <w:start w:val="1"/>
    </w:lvl>
    <w:lvl w:ilvl="1">
      <w:lvlJc w:val="left"/>
      <w:lvlText w:val="%2."/>
      <w:numFmt w:val="upperLetter"/>
      <w:start w:val="13"/>
    </w:lvl>
  </w:abstractNum>
  <w:abstractNum w:abstractNumId="193">
    <w:nsid w:val="1873983A"/>
    <w:multiLevelType w:val="hybridMultilevel"/>
    <w:lvl w:ilvl="0">
      <w:lvlJc w:val="left"/>
      <w:lvlText w:val="%1."/>
      <w:numFmt w:val="decimal"/>
      <w:start w:val="2"/>
    </w:lvl>
    <w:lvl w:ilvl="1">
      <w:lvlJc w:val="left"/>
      <w:lvlText w:val="%2."/>
      <w:numFmt w:val="upperLetter"/>
      <w:start w:val="13"/>
    </w:lvl>
  </w:abstractNum>
  <w:abstractNum w:abstractNumId="194">
    <w:nsid w:val="3D2DD275"/>
    <w:multiLevelType w:val="hybridMultilevel"/>
    <w:lvl w:ilvl="0">
      <w:lvlJc w:val="left"/>
      <w:lvlText w:val="%1."/>
      <w:numFmt w:val="decimal"/>
      <w:start w:val="6"/>
    </w:lvl>
    <w:lvl w:ilvl="1">
      <w:lvlJc w:val="left"/>
      <w:lvlText w:val="%2."/>
      <w:numFmt w:val="upperLetter"/>
      <w:start w:val="13"/>
    </w:lvl>
  </w:abstractNum>
  <w:abstractNum w:abstractNumId="195">
    <w:nsid w:val="2E17ECA7"/>
    <w:multiLevelType w:val="hybridMultilevel"/>
    <w:lvl w:ilvl="0">
      <w:lvlJc w:val="left"/>
      <w:lvlText w:val="%1."/>
      <w:numFmt w:val="decimal"/>
      <w:start w:val="8"/>
    </w:lvl>
    <w:lvl w:ilvl="1">
      <w:lvlJc w:val="left"/>
      <w:lvlText w:val="%2."/>
      <w:numFmt w:val="upperLetter"/>
      <w:start w:val="13"/>
    </w:lvl>
  </w:abstractNum>
  <w:abstractNum w:abstractNumId="196">
    <w:nsid w:val="53B2564F"/>
    <w:multiLevelType w:val="hybridMultilevel"/>
    <w:lvl w:ilvl="0">
      <w:lvlJc w:val="left"/>
      <w:lvlText w:val="%1."/>
      <w:numFmt w:val="decimal"/>
      <w:start w:val="11"/>
    </w:lvl>
  </w:abstractNum>
  <w:abstractNum w:abstractNumId="197">
    <w:nsid w:val="75509D76"/>
    <w:multiLevelType w:val="hybridMultilevel"/>
    <w:lvl w:ilvl="0">
      <w:lvlJc w:val="left"/>
      <w:lvlText w:val="%1."/>
      <w:numFmt w:val="decimal"/>
      <w:start w:val="1"/>
    </w:lvl>
    <w:lvl w:ilvl="1">
      <w:lvlJc w:val="left"/>
      <w:lvlText w:val="%2."/>
      <w:numFmt w:val="upperLetter"/>
      <w:start w:val="13"/>
    </w:lvl>
  </w:abstractNum>
  <w:abstractNum w:abstractNumId="198">
    <w:nsid w:val="1AF7F0EA"/>
    <w:multiLevelType w:val="hybridMultilevel"/>
    <w:lvl w:ilvl="0">
      <w:lvlJc w:val="left"/>
      <w:lvlText w:val="%1."/>
      <w:numFmt w:val="decimal"/>
      <w:start w:val="4"/>
    </w:lvl>
    <w:lvl w:ilvl="1">
      <w:lvlJc w:val="left"/>
      <w:lvlText w:val="(%2)"/>
      <w:numFmt w:val="lowerRoman"/>
      <w:start w:val="3"/>
    </w:lvl>
    <w:lvl w:ilvl="2">
      <w:lvlJc w:val="left"/>
      <w:lvlText w:val="%3."/>
      <w:numFmt w:val="upperLetter"/>
      <w:start w:val="13"/>
    </w:lvl>
  </w:abstractNum>
  <w:abstractNum w:abstractNumId="199">
    <w:nsid w:val="4DA32C7E"/>
    <w:multiLevelType w:val="hybridMultilevel"/>
    <w:lvl w:ilvl="0">
      <w:lvlJc w:val="left"/>
      <w:lvlText w:val="%1."/>
      <w:numFmt w:val="decimal"/>
      <w:start w:val="8"/>
    </w:lvl>
  </w:abstractNum>
  <w:abstractNum w:abstractNumId="200">
    <w:nsid w:val="6EC68664"/>
    <w:multiLevelType w:val="hybridMultilevel"/>
    <w:lvl w:ilvl="0">
      <w:lvlJc w:val="left"/>
      <w:lvlText w:val="%1."/>
      <w:numFmt w:val="decimal"/>
      <w:start w:val="13"/>
    </w:lvl>
  </w:abstractNum>
  <w:abstractNum w:abstractNumId="201">
    <w:nsid w:val="E0D31FF"/>
    <w:multiLevelType w:val="hybridMultilevel"/>
    <w:lvl w:ilvl="0">
      <w:lvlJc w:val="left"/>
      <w:lvlText w:val="(%1)"/>
      <w:numFmt w:val="decimal"/>
      <w:start w:val="1"/>
    </w:lvl>
  </w:abstractNum>
  <w:abstractNum w:abstractNumId="202">
    <w:nsid w:val="2FD0AD81"/>
    <w:multiLevelType w:val="hybridMultilevel"/>
    <w:lvl w:ilvl="0">
      <w:lvlJc w:val="left"/>
      <w:lvlText w:val="(%1)"/>
      <w:numFmt w:val="lowerLetter"/>
      <w:start w:val="1"/>
    </w:lvl>
  </w:abstractNum>
  <w:abstractNum w:abstractNumId="203">
    <w:nsid w:val="1978EBEB"/>
    <w:multiLevelType w:val="hybridMultilevel"/>
    <w:lvl w:ilvl="0">
      <w:lvlJc w:val="left"/>
      <w:lvlText w:val="(%1)"/>
      <w:numFmt w:val="lowerRoman"/>
      <w:start w:val="1"/>
    </w:lvl>
  </w:abstractNum>
  <w:abstractNum w:abstractNumId="204">
    <w:nsid w:val="52C12C61"/>
    <w:multiLevelType w:val="hybridMultilevel"/>
    <w:lvl w:ilvl="0">
      <w:lvlJc w:val="left"/>
      <w:lvlText w:val="(%1)"/>
      <w:numFmt w:val="decimal"/>
      <w:start w:val="2"/>
    </w:lvl>
  </w:abstractNum>
  <w:abstractNum w:abstractNumId="205">
    <w:nsid w:val="4BDD53FD"/>
    <w:multiLevelType w:val="hybridMultilevel"/>
    <w:lvl w:ilvl="0">
      <w:lvlJc w:val="left"/>
      <w:lvlText w:val="(%1)"/>
      <w:numFmt w:val="lowerLetter"/>
      <w:start w:val="1"/>
    </w:lvl>
  </w:abstractNum>
  <w:abstractNum w:abstractNumId="206">
    <w:nsid w:val="569951FE"/>
    <w:multiLevelType w:val="hybridMultilevel"/>
    <w:lvl w:ilvl="0">
      <w:lvlJc w:val="left"/>
      <w:lvlText w:val="(%1)"/>
      <w:numFmt w:val="decimal"/>
      <w:start w:val="3"/>
    </w:lvl>
  </w:abstractNum>
  <w:abstractNum w:abstractNumId="207">
    <w:nsid w:val="4C54E2C3"/>
    <w:multiLevelType w:val="hybridMultilevel"/>
    <w:lvl w:ilvl="0">
      <w:lvlJc w:val="left"/>
      <w:lvlText w:val="-"/>
      <w:numFmt w:val="bullet"/>
      <w:start w:val="1"/>
    </w:lvl>
  </w:abstractNum>
  <w:abstractNum w:abstractNumId="208">
    <w:nsid w:val="788BD9B"/>
    <w:multiLevelType w:val="hybridMultilevel"/>
    <w:lvl w:ilvl="0">
      <w:lvlJc w:val="left"/>
      <w:lvlText w:val="%1."/>
      <w:numFmt w:val="decimal"/>
      <w:start w:val="1"/>
    </w:lvl>
  </w:abstractNum>
  <w:abstractNum w:abstractNumId="209">
    <w:nsid w:val="47CAA567"/>
    <w:multiLevelType w:val="hybridMultilevel"/>
    <w:lvl w:ilvl="0">
      <w:lvlJc w:val="left"/>
      <w:lvlText w:val="%1."/>
      <w:numFmt w:val="decimal"/>
      <w:start w:val="4"/>
    </w:lvl>
  </w:abstractNum>
  <w:abstractNum w:abstractNumId="210">
    <w:nsid w:val="48249DBF"/>
    <w:multiLevelType w:val="hybridMultilevel"/>
    <w:lvl w:ilvl="0">
      <w:lvlJc w:val="left"/>
      <w:lvlText w:val="%1."/>
      <w:numFmt w:val="decimal"/>
      <w:start w:val="5"/>
    </w:lvl>
  </w:abstractNum>
  <w:abstractNum w:abstractNumId="211">
    <w:nsid w:val="1F0E5D0D"/>
    <w:multiLevelType w:val="hybridMultilevel"/>
    <w:lvl w:ilvl="0">
      <w:lvlJc w:val="left"/>
      <w:lvlText w:val="%1."/>
      <w:numFmt w:val="decimal"/>
      <w:start w:val="6"/>
    </w:lvl>
  </w:abstractNum>
  <w:abstractNum w:abstractNumId="212">
    <w:nsid w:val="26BAAE9"/>
    <w:multiLevelType w:val="hybridMultilevel"/>
    <w:lvl w:ilvl="0">
      <w:lvlJc w:val="left"/>
      <w:lvlText w:val="%1."/>
      <w:numFmt w:val="decimal"/>
      <w:start w:val="7"/>
    </w:lvl>
  </w:abstractNum>
  <w:abstractNum w:abstractNumId="213">
    <w:nsid w:val="2C02FE8C"/>
    <w:multiLevelType w:val="hybridMultilevel"/>
    <w:lvl w:ilvl="0">
      <w:lvlJc w:val="left"/>
      <w:lvlText w:val="%1."/>
      <w:numFmt w:val="decimal"/>
      <w:start w:val="8"/>
    </w:lvl>
  </w:abstractNum>
  <w:abstractNum w:abstractNumId="214">
    <w:nsid w:val="129517E"/>
    <w:multiLevelType w:val="hybridMultilevel"/>
    <w:lvl w:ilvl="0">
      <w:lvlJc w:val="left"/>
      <w:lvlText w:val="%1."/>
      <w:numFmt w:val="decimal"/>
      <w:start w:val="1"/>
    </w:lvl>
  </w:abstractNum>
  <w:abstractNum w:abstractNumId="215">
    <w:nsid w:val="763B8C4E"/>
    <w:multiLevelType w:val="hybridMultilevel"/>
    <w:lvl w:ilvl="0">
      <w:lvlJc w:val="left"/>
      <w:lvlText w:val="%1."/>
      <w:numFmt w:val="decimal"/>
      <w:start w:val="5"/>
    </w:lvl>
  </w:abstractNum>
  <w:abstractNum w:abstractNumId="216">
    <w:nsid w:val="4CFB8D32"/>
    <w:multiLevelType w:val="hybridMultilevel"/>
    <w:lvl w:ilvl="0">
      <w:lvlJc w:val="left"/>
      <w:lvlText w:val="%1."/>
      <w:numFmt w:val="decimal"/>
      <w:start w:val="8"/>
    </w:lvl>
  </w:abstractNum>
  <w:abstractNum w:abstractNumId="217">
    <w:nsid w:val="62A5D5BD"/>
    <w:multiLevelType w:val="hybridMultilevel"/>
    <w:lvl w:ilvl="0">
      <w:lvlJc w:val="left"/>
      <w:lvlText w:val="%1."/>
      <w:numFmt w:val="decimal"/>
      <w:start w:val="13"/>
    </w:lvl>
  </w:abstractNum>
  <w:abstractNum w:abstractNumId="218">
    <w:nsid w:val="718FABF9"/>
    <w:multiLevelType w:val="hybridMultilevel"/>
    <w:lvl w:ilvl="0">
      <w:lvlJc w:val="left"/>
      <w:lvlText w:val="%1."/>
      <w:numFmt w:val="decimal"/>
      <w:start w:val="14"/>
    </w:lvl>
  </w:abstractNum>
  <w:abstractNum w:abstractNumId="219">
    <w:nsid w:val="7775797C"/>
    <w:multiLevelType w:val="hybridMultilevel"/>
    <w:lvl w:ilvl="0">
      <w:lvlJc w:val="left"/>
      <w:lvlText w:val="%1."/>
      <w:numFmt w:val="decimal"/>
      <w:start w:val="18"/>
    </w:lvl>
  </w:abstractNum>
  <w:abstractNum w:abstractNumId="220">
    <w:nsid w:val="1626FB8C"/>
    <w:multiLevelType w:val="hybridMultilevel"/>
    <w:lvl w:ilvl="0">
      <w:lvlJc w:val="left"/>
      <w:lvlText w:val="(%1)"/>
      <w:numFmt w:val="lowerLetter"/>
      <w:start w:val="1"/>
    </w:lvl>
  </w:abstractNum>
  <w:abstractNum w:abstractNumId="221">
    <w:nsid w:val="3957756A"/>
    <w:multiLevelType w:val="hybridMultilevel"/>
    <w:lvl w:ilvl="0">
      <w:lvlJc w:val="left"/>
      <w:lvlText w:val="(%1)"/>
      <w:numFmt w:val="lowerRoman"/>
      <w:start w:val="1"/>
    </w:lvl>
  </w:abstractNum>
  <w:abstractNum w:abstractNumId="222">
    <w:nsid w:val="3E6DA1C7"/>
    <w:multiLevelType w:val="hybridMultilevel"/>
    <w:lvl w:ilvl="0">
      <w:lvlJc w:val="left"/>
      <w:lvlText w:val="(%1)"/>
      <w:numFmt w:val="decimal"/>
      <w:start w:val="2"/>
    </w:lvl>
  </w:abstractNum>
  <w:abstractNum w:abstractNumId="223">
    <w:nsid w:val="65CA235B"/>
    <w:multiLevelType w:val="hybridMultilevel"/>
    <w:lvl w:ilvl="0">
      <w:lvlJc w:val="left"/>
      <w:lvlText w:val="(%1)"/>
      <w:numFmt w:val="lowerLetter"/>
      <w:start w:val="1"/>
    </w:lvl>
  </w:abstractNum>
  <w:abstractNum w:abstractNumId="224">
    <w:nsid w:val="51CB0DA4"/>
    <w:multiLevelType w:val="hybridMultilevel"/>
    <w:lvl w:ilvl="0">
      <w:lvlJc w:val="left"/>
      <w:lvlText w:val="(%1)"/>
      <w:numFmt w:val="decimal"/>
      <w:start w:val="3"/>
    </w:lvl>
  </w:abstractNum>
  <w:abstractNum w:abstractNumId="225">
    <w:nsid w:val="7B9B743C"/>
    <w:multiLevelType w:val="hybridMultilevel"/>
    <w:lvl w:ilvl="0">
      <w:lvlJc w:val="left"/>
      <w:lvlText w:val="·"/>
      <w:numFmt w:val="bullet"/>
      <w:start w:val="1"/>
    </w:lvl>
  </w:abstractNum>
  <w:abstractNum w:abstractNumId="226">
    <w:nsid w:val="13E21002"/>
    <w:multiLevelType w:val="hybridMultilevel"/>
    <w:lvl w:ilvl="0">
      <w:lvlJc w:val="left"/>
      <w:lvlText w:val="•"/>
      <w:numFmt w:val="bullet"/>
      <w:start w:val="1"/>
    </w:lvl>
  </w:abstractNum>
  <w:abstractNum w:abstractNumId="227">
    <w:nsid w:val="257D63F4"/>
    <w:multiLevelType w:val="hybridMultilevel"/>
    <w:lvl w:ilvl="0">
      <w:lvlJc w:val="left"/>
      <w:lvlText w:val="·"/>
      <w:numFmt w:val="bullet"/>
      <w:start w:val="1"/>
    </w:lvl>
  </w:abstractNum>
  <w:abstractNum w:abstractNumId="228">
    <w:nsid w:val="70EC11B2"/>
    <w:multiLevelType w:val="hybridMultilevel"/>
    <w:lvl w:ilvl="0">
      <w:lvlJc w:val="left"/>
      <w:lvlText w:val="·"/>
      <w:numFmt w:val="bullet"/>
      <w:start w:val="1"/>
    </w:lvl>
  </w:abstractNum>
  <w:abstractNum w:abstractNumId="229">
    <w:nsid w:val="2EDA00ED"/>
    <w:multiLevelType w:val="hybridMultilevel"/>
    <w:lvl w:ilvl="0">
      <w:lvlJc w:val="left"/>
      <w:lvlText w:val="·"/>
      <w:numFmt w:val="bullet"/>
      <w:start w:val="1"/>
    </w:lvl>
  </w:abstractNum>
  <w:abstractNum w:abstractNumId="230">
    <w:nsid w:val="73209072"/>
    <w:multiLevelType w:val="hybridMultilevel"/>
    <w:lvl w:ilvl="0">
      <w:lvlJc w:val="left"/>
      <w:lvlText w:val="·"/>
      <w:numFmt w:val="bullet"/>
      <w:start w:val="1"/>
    </w:lvl>
  </w:abstractNum>
  <w:abstractNum w:abstractNumId="231">
    <w:nsid w:val="5FB29816"/>
    <w:multiLevelType w:val="hybridMultilevel"/>
    <w:lvl w:ilvl="0">
      <w:lvlJc w:val="left"/>
      <w:lvlText w:val="·"/>
      <w:numFmt w:val="bullet"/>
      <w:start w:val="1"/>
    </w:lvl>
  </w:abstractNum>
  <w:abstractNum w:abstractNumId="232">
    <w:nsid w:val="3CE732EC"/>
    <w:multiLevelType w:val="hybridMultilevel"/>
    <w:lvl w:ilvl="0">
      <w:lvlJc w:val="left"/>
      <w:lvlText w:val="·"/>
      <w:numFmt w:val="bullet"/>
      <w:start w:val="1"/>
    </w:lvl>
  </w:abstractNum>
  <w:abstractNum w:abstractNumId="233">
    <w:nsid w:val="22F13DF3"/>
    <w:multiLevelType w:val="hybridMultilevel"/>
    <w:lvl w:ilvl="0">
      <w:lvlJc w:val="left"/>
      <w:lvlText w:val="·"/>
      <w:numFmt w:val="bullet"/>
      <w:start w:val="1"/>
    </w:lvl>
  </w:abstractNum>
  <w:abstractNum w:abstractNumId="234">
    <w:nsid w:val="792B8401"/>
    <w:multiLevelType w:val="hybridMultilevel"/>
    <w:lvl w:ilvl="0">
      <w:lvlJc w:val="left"/>
      <w:lvlText w:val="·"/>
      <w:numFmt w:val="bullet"/>
      <w:start w:val="1"/>
    </w:lvl>
  </w:abstractNum>
  <w:abstractNum w:abstractNumId="235">
    <w:nsid w:val="FA85F4D"/>
    <w:multiLevelType w:val="hybridMultilevel"/>
    <w:lvl w:ilvl="0">
      <w:lvlJc w:val="left"/>
      <w:lvlText w:val="%1."/>
      <w:numFmt w:val="decimal"/>
      <w:start w:val="1"/>
    </w:lvl>
  </w:abstractNum>
  <w:abstractNum w:abstractNumId="236">
    <w:nsid w:val="6ECE91F0"/>
    <w:multiLevelType w:val="hybridMultilevel"/>
    <w:lvl w:ilvl="0">
      <w:lvlJc w:val="left"/>
      <w:lvlText w:val="%1."/>
      <w:numFmt w:val="decimal"/>
      <w:start w:val="2"/>
    </w:lvl>
  </w:abstractNum>
  <w:abstractNum w:abstractNumId="237">
    <w:nsid w:val="4FC4D600"/>
    <w:multiLevelType w:val="hybridMultilevel"/>
    <w:lvl w:ilvl="0">
      <w:lvlJc w:val="left"/>
      <w:lvlText w:val="%1."/>
      <w:numFmt w:val="decimal"/>
      <w:start w:val="3"/>
    </w:lvl>
  </w:abstractNum>
  <w:abstractNum w:abstractNumId="238">
    <w:nsid w:val="5BFD4210"/>
    <w:multiLevelType w:val="hybridMultilevel"/>
    <w:lvl w:ilvl="0">
      <w:lvlJc w:val="left"/>
      <w:lvlText w:val="(%1)"/>
      <w:numFmt w:val="lowerLetter"/>
      <w:start w:val="1"/>
    </w:lvl>
  </w:abstractNum>
  <w:abstractNum w:abstractNumId="239">
    <w:nsid w:val="76574F8B"/>
    <w:multiLevelType w:val="hybridMultilevel"/>
    <w:lvl w:ilvl="0">
      <w:lvlJc w:val="left"/>
      <w:lvlText w:val="ü"/>
      <w:numFmt w:val="bullet"/>
      <w:start w:val="1"/>
    </w:lvl>
  </w:abstractNum>
  <w:abstractNum w:abstractNumId="240">
    <w:nsid w:val="178F7B67"/>
    <w:multiLevelType w:val="hybridMultilevel"/>
    <w:lvl w:ilvl="0">
      <w:lvlJc w:val="left"/>
      <w:lvlText w:val="%1."/>
      <w:numFmt w:val="decimal"/>
      <w:start w:val="4"/>
    </w:lvl>
  </w:abstractNum>
  <w:abstractNum w:abstractNumId="241">
    <w:nsid w:val="2421DFCF"/>
    <w:multiLevelType w:val="hybridMultilevel"/>
    <w:lvl w:ilvl="0">
      <w:lvlJc w:val="left"/>
      <w:lvlText w:val="%1."/>
      <w:numFmt w:val="decimal"/>
      <w:start w:val="1"/>
    </w:lvl>
  </w:abstractNum>
  <w:abstractNum w:abstractNumId="242">
    <w:nsid w:val="1565AC99"/>
    <w:multiLevelType w:val="hybridMultilevel"/>
    <w:lvl w:ilvl="0">
      <w:lvlJc w:val="left"/>
      <w:lvlText w:val="·"/>
      <w:numFmt w:val="bullet"/>
      <w:start w:val="1"/>
    </w:lvl>
  </w:abstractNum>
  <w:abstractNum w:abstractNumId="243">
    <w:nsid w:val="19FB2650"/>
    <w:multiLevelType w:val="hybridMultilevel"/>
    <w:lvl w:ilvl="0">
      <w:lvlJc w:val="left"/>
      <w:lvlText w:val="%1."/>
      <w:numFmt w:val="decimal"/>
      <w:start w:val="5"/>
    </w:lvl>
  </w:abstractNum>
  <w:abstractNum w:abstractNumId="244">
    <w:nsid w:val="5024DE5B"/>
    <w:multiLevelType w:val="hybridMultilevel"/>
    <w:lvl w:ilvl="0">
      <w:lvlJc w:val="left"/>
      <w:lvlText w:val="%1."/>
      <w:numFmt w:val="decimal"/>
      <w:start w:val="6"/>
    </w:lvl>
  </w:abstractNum>
  <w:abstractNum w:abstractNumId="245">
    <w:nsid w:val="168EFE17"/>
    <w:multiLevelType w:val="hybridMultilevel"/>
    <w:lvl w:ilvl="0">
      <w:lvlJc w:val="left"/>
      <w:lvlText w:val="%1."/>
      <w:numFmt w:val="decimal"/>
      <w:start w:val="7"/>
    </w:lvl>
  </w:abstractNum>
  <w:abstractNum w:abstractNumId="246">
    <w:nsid w:val="1036B29F"/>
    <w:multiLevelType w:val="hybridMultilevel"/>
    <w:lvl w:ilvl="0">
      <w:lvlJc w:val="left"/>
      <w:lvlText w:val="%1."/>
      <w:numFmt w:val="lowerLetter"/>
      <w:start w:val="1"/>
    </w:lvl>
  </w:abstractNum>
  <w:abstractNum w:abstractNumId="247">
    <w:nsid w:val="1D206B8E"/>
    <w:multiLevelType w:val="hybridMultilevel"/>
    <w:lvl w:ilvl="0">
      <w:lvlJc w:val="left"/>
      <w:lvlText w:val="%1."/>
      <w:numFmt w:val="lowerLetter"/>
      <w:start w:val="2"/>
    </w:lvl>
  </w:abstractNum>
  <w:abstractNum w:abstractNumId="248">
    <w:nsid w:val="7934D3D4"/>
    <w:multiLevelType w:val="hybridMultilevel"/>
    <w:lvl w:ilvl="0">
      <w:lvlJc w:val="left"/>
      <w:lvlText w:val="%1."/>
      <w:numFmt w:val="decimal"/>
      <w:start w:val="8"/>
    </w:lvl>
  </w:abstractNum>
  <w:abstractNum w:abstractNumId="249">
    <w:nsid w:val="1C65E98"/>
    <w:multiLevelType w:val="hybridMultilevel"/>
    <w:lvl w:ilvl="0">
      <w:lvlJc w:val="left"/>
      <w:lvlText w:val="%1."/>
      <w:numFmt w:val="decimal"/>
      <w:start w:val="9"/>
    </w:lvl>
  </w:abstractNum>
  <w:abstractNum w:abstractNumId="250">
    <w:nsid w:val="1495E50A"/>
    <w:multiLevelType w:val="hybridMultilevel"/>
    <w:lvl w:ilvl="0">
      <w:lvlJc w:val="left"/>
      <w:lvlText w:val="%1."/>
      <w:numFmt w:val="decimal"/>
      <w:start w:val="10"/>
    </w:lvl>
  </w:abstractNum>
  <w:abstractNum w:abstractNumId="251">
    <w:nsid w:val="F5BCF61"/>
    <w:multiLevelType w:val="hybridMultilevel"/>
    <w:lvl w:ilvl="0">
      <w:lvlJc w:val="left"/>
      <w:lvlText w:val="%1."/>
      <w:numFmt w:val="decimal"/>
      <w:start w:val="11"/>
    </w:lvl>
  </w:abstractNum>
  <w:abstractNum w:abstractNumId="252">
    <w:nsid w:val="3B1DD403"/>
    <w:multiLevelType w:val="hybridMultilevel"/>
    <w:lvl w:ilvl="0">
      <w:lvlJc w:val="left"/>
      <w:lvlText w:val="%1."/>
      <w:numFmt w:val="lowerLetter"/>
      <w:start w:val="1"/>
    </w:lvl>
  </w:abstractNum>
  <w:abstractNum w:abstractNumId="253">
    <w:nsid w:val="530386D1"/>
    <w:multiLevelType w:val="hybridMultilevel"/>
    <w:lvl w:ilvl="0">
      <w:lvlJc w:val="left"/>
      <w:lvlText w:val="%1."/>
      <w:numFmt w:val="decimal"/>
      <w:start w:val="1"/>
    </w:lvl>
  </w:abstractNum>
  <w:abstractNum w:abstractNumId="254">
    <w:nsid w:val="7525F2BC"/>
    <w:multiLevelType w:val="hybridMultilevel"/>
    <w:lvl w:ilvl="0">
      <w:lvlJc w:val="left"/>
      <w:lvlText w:val="%1."/>
      <w:numFmt w:val="lowerLetter"/>
      <w:start w:val="1"/>
    </w:lvl>
  </w:abstractNum>
  <w:abstractNum w:abstractNumId="255">
    <w:nsid w:val="CE8E1A7"/>
    <w:multiLevelType w:val="hybridMultilevel"/>
    <w:lvl w:ilvl="0">
      <w:lvlJc w:val="left"/>
      <w:lvlText w:val="%1."/>
      <w:numFmt w:val="decimal"/>
      <w:start w:val="3"/>
    </w:lvl>
  </w:abstractNum>
  <w:abstractNum w:abstractNumId="256">
    <w:nsid w:val="4E9EFB0D"/>
    <w:multiLevelType w:val="hybridMultilevel"/>
    <w:lvl w:ilvl="0">
      <w:lvlJc w:val="left"/>
      <w:lvlText w:val="%1."/>
      <w:numFmt w:val="lowerLetter"/>
      <w:start w:val="1"/>
    </w:lvl>
  </w:abstractNum>
  <w:abstractNum w:abstractNumId="257">
    <w:nsid w:val="90802BE"/>
    <w:multiLevelType w:val="hybridMultilevel"/>
    <w:lvl w:ilvl="0">
      <w:lvlJc w:val="left"/>
      <w:lvlText w:val="%1."/>
      <w:numFmt w:val="decimal"/>
      <w:start w:val="4"/>
    </w:lvl>
  </w:abstractNum>
  <w:abstractNum w:abstractNumId="258">
    <w:nsid w:val="3266459B"/>
    <w:multiLevelType w:val="hybridMultilevel"/>
    <w:lvl w:ilvl="0">
      <w:lvlJc w:val="left"/>
      <w:lvlText w:val="%1."/>
      <w:numFmt w:val="decimal"/>
      <w:start w:val="5"/>
    </w:lvl>
  </w:abstractNum>
  <w:abstractNum w:abstractNumId="259">
    <w:nsid w:val="3F8B0CBF"/>
    <w:multiLevelType w:val="hybridMultilevel"/>
    <w:lvl w:ilvl="0">
      <w:lvlJc w:val="left"/>
      <w:lvlText w:val="(%1)"/>
      <w:numFmt w:val="lowerLetter"/>
      <w:start w:val="2"/>
    </w:lvl>
  </w:abstractNum>
  <w:abstractNum w:abstractNumId="260">
    <w:nsid w:val="37E203AB"/>
    <w:multiLevelType w:val="hybridMultilevel"/>
    <w:lvl w:ilvl="0">
      <w:lvlJc w:val="left"/>
      <w:lvlText w:val="(%1)"/>
      <w:numFmt w:val="lowerLetter"/>
      <w:start w:val="4"/>
    </w:lvl>
  </w:abstractNum>
  <w:abstractNum w:abstractNumId="261">
    <w:nsid w:val="2586D60E"/>
    <w:multiLevelType w:val="hybridMultilevel"/>
    <w:lvl w:ilvl="0">
      <w:lvlJc w:val="left"/>
      <w:lvlText w:val="%1."/>
      <w:numFmt w:val="decimal"/>
      <w:start w:val="6"/>
    </w:lvl>
  </w:abstractNum>
  <w:abstractNum w:abstractNumId="262">
    <w:nsid w:val="1F3DA4D5"/>
    <w:multiLevelType w:val="hybridMultilevel"/>
    <w:lvl w:ilvl="0">
      <w:lvlJc w:val="left"/>
      <w:lvlText w:val="%1."/>
      <w:numFmt w:val="decimal"/>
      <w:start w:val="7"/>
    </w:lvl>
  </w:abstractNum>
  <w:abstractNum w:abstractNumId="263">
    <w:nsid w:val="74C93698"/>
    <w:multiLevelType w:val="hybridMultilevel"/>
    <w:lvl w:ilvl="0">
      <w:lvlJc w:val="left"/>
      <w:lvlText w:val="%1."/>
      <w:numFmt w:val="decimal"/>
      <w:start w:val="1"/>
    </w:lvl>
  </w:abstractNum>
  <w:abstractNum w:abstractNumId="264">
    <w:nsid w:val="48781401"/>
    <w:multiLevelType w:val="hybridMultilevel"/>
    <w:lvl w:ilvl="0">
      <w:lvlJc w:val="left"/>
      <w:lvlText w:val="%1."/>
      <w:numFmt w:val="decimal"/>
      <w:start w:val="1"/>
    </w:lvl>
    <w:lvl w:ilvl="1">
      <w:lvlJc w:val="left"/>
      <w:lvlText w:val="·"/>
      <w:numFmt w:val="bullet"/>
      <w:start w:val="1"/>
    </w:lvl>
  </w:abstractNum>
  <w:abstractNum w:abstractNumId="265">
    <w:nsid w:val="186928D6"/>
    <w:multiLevelType w:val="hybridMultilevel"/>
    <w:lvl w:ilvl="0">
      <w:lvlJc w:val="left"/>
      <w:lvlText w:val="%1."/>
      <w:numFmt w:val="decimal"/>
      <w:start w:val="1"/>
    </w:lvl>
  </w:abstractNum>
  <w:abstractNum w:abstractNumId="266">
    <w:nsid w:val="47195E5"/>
    <w:multiLevelType w:val="hybridMultilevel"/>
    <w:lvl w:ilvl="0">
      <w:lvlJc w:val="left"/>
      <w:lvlText w:val="%1."/>
      <w:numFmt w:val="decimal"/>
      <w:start w:val="1"/>
    </w:lvl>
  </w:abstractNum>
  <w:abstractNum w:abstractNumId="267">
    <w:nsid w:val="3746A5F2"/>
    <w:multiLevelType w:val="hybridMultilevel"/>
    <w:lvl w:ilvl="0">
      <w:lvlJc w:val="left"/>
      <w:lvlText w:val="%1."/>
      <w:numFmt w:val="decimal"/>
      <w:start w:val="3"/>
    </w:lvl>
  </w:abstractNum>
  <w:abstractNum w:abstractNumId="268">
    <w:nsid w:val="682DFED6"/>
    <w:multiLevelType w:val="hybridMultilevel"/>
    <w:lvl w:ilvl="0">
      <w:lvlJc w:val="left"/>
      <w:lvlText w:val="%1."/>
      <w:numFmt w:val="decimal"/>
      <w:start w:val="6"/>
    </w:lvl>
  </w:abstractNum>
  <w:abstractNum w:abstractNumId="269">
    <w:nsid w:val="606ED7F6"/>
    <w:multiLevelType w:val="hybridMultilevel"/>
    <w:lvl w:ilvl="0">
      <w:lvlJc w:val="left"/>
      <w:lvlText w:val="%1."/>
      <w:numFmt w:val="decimal"/>
      <w:start w:val="7"/>
    </w:lvl>
  </w:abstractNum>
  <w:abstractNum w:abstractNumId="270">
    <w:nsid w:val="2D9DF57D"/>
    <w:multiLevelType w:val="hybridMultilevel"/>
    <w:lvl w:ilvl="0">
      <w:lvlJc w:val="left"/>
      <w:lvlText w:val="%1."/>
      <w:numFmt w:val="decimal"/>
      <w:start w:val="8"/>
    </w:lvl>
  </w:abstractNum>
  <w:abstractNum w:abstractNumId="271">
    <w:nsid w:val="7FBD7A3E"/>
    <w:multiLevelType w:val="hybridMultilevel"/>
    <w:lvl w:ilvl="0">
      <w:lvlJc w:val="left"/>
      <w:lvlText w:val="%1."/>
      <w:numFmt w:val="decimal"/>
      <w:start w:val="9"/>
    </w:lvl>
  </w:abstractNum>
  <w:abstractNum w:abstractNumId="272">
    <w:nsid w:val="490B7C5"/>
    <w:multiLevelType w:val="hybridMultilevel"/>
    <w:lvl w:ilvl="0">
      <w:lvlJc w:val="left"/>
      <w:lvlText w:val="%1."/>
      <w:numFmt w:val="decimal"/>
      <w:start w:val="1"/>
    </w:lvl>
  </w:abstractNum>
  <w:abstractNum w:abstractNumId="273">
    <w:nsid w:val="4303A216"/>
    <w:multiLevelType w:val="hybridMultilevel"/>
    <w:lvl w:ilvl="0">
      <w:lvlJc w:val="left"/>
      <w:lvlText w:val="%1."/>
      <w:numFmt w:val="decimal"/>
      <w:start w:val="5"/>
    </w:lvl>
  </w:abstractNum>
  <w:abstractNum w:abstractNumId="274">
    <w:nsid w:val="19B8A08E"/>
    <w:multiLevelType w:val="hybridMultilevel"/>
    <w:lvl w:ilvl="0">
      <w:lvlJc w:val="left"/>
      <w:lvlText w:val="%1."/>
      <w:numFmt w:val="decimal"/>
      <w:start w:val="8"/>
    </w:lvl>
  </w:abstractNum>
  <w:abstractNum w:abstractNumId="275">
    <w:nsid w:val="54B59621"/>
    <w:multiLevelType w:val="hybridMultilevel"/>
    <w:lvl w:ilvl="0">
      <w:lvlJc w:val="left"/>
      <w:lvlText w:val="%1."/>
      <w:numFmt w:val="decimal"/>
      <w:start w:val="13"/>
    </w:lvl>
  </w:abstractNum>
  <w:abstractNum w:abstractNumId="276">
    <w:nsid w:val="5992A02E"/>
    <w:multiLevelType w:val="hybridMultilevel"/>
    <w:lvl w:ilvl="0">
      <w:lvlJc w:val="left"/>
      <w:lvlText w:val="%1"/>
      <w:numFmt w:val="decimal"/>
      <w:start w:val="1"/>
    </w:lvl>
    <w:lvl w:ilvl="1">
      <w:lvlJc w:val="left"/>
      <w:lvlText w:val="(%2)"/>
      <w:numFmt w:val="lowerRoman"/>
      <w:start w:val="2"/>
    </w:lvl>
  </w:abstractNum>
  <w:abstractNum w:abstractNumId="277">
    <w:nsid w:val="29EF532D"/>
    <w:multiLevelType w:val="hybridMultilevel"/>
    <w:lvl w:ilvl="0">
      <w:lvlJc w:val="left"/>
      <w:lvlText w:val="%1."/>
      <w:numFmt w:val="decimal"/>
      <w:start w:val="14"/>
    </w:lvl>
    <w:lvl w:ilvl="1">
      <w:lvlJc w:val="left"/>
      <w:lvlText w:val="%2"/>
      <w:numFmt w:val="lowerRoman"/>
      <w:start w:val="1"/>
    </w:lvl>
  </w:abstractNum>
  <w:abstractNum w:abstractNumId="278">
    <w:nsid w:val="71D601AF"/>
    <w:multiLevelType w:val="hybridMultilevel"/>
    <w:lvl w:ilvl="0">
      <w:lvlJc w:val="left"/>
      <w:lvlText w:val="%1."/>
      <w:numFmt w:val="decimal"/>
      <w:start w:val="19"/>
    </w:lvl>
  </w:abstractNum>
  <w:abstractNum w:abstractNumId="279">
    <w:nsid w:val="52C77402"/>
    <w:multiLevelType w:val="hybridMultilevel"/>
    <w:lvl w:ilvl="0">
      <w:lvlJc w:val="left"/>
      <w:lvlText w:val="(%1)"/>
      <w:numFmt w:val="lowerLetter"/>
      <w:start w:val="1"/>
    </w:lvl>
  </w:abstractNum>
  <w:abstractNum w:abstractNumId="280">
    <w:nsid w:val="2BB5B1C6"/>
    <w:multiLevelType w:val="hybridMultilevel"/>
    <w:lvl w:ilvl="0">
      <w:lvlJc w:val="left"/>
      <w:lvlText w:val="(%1)"/>
      <w:numFmt w:val="lowerRoman"/>
      <w:start w:val="1"/>
    </w:lvl>
  </w:abstractNum>
  <w:abstractNum w:abstractNumId="281">
    <w:nsid w:val="66BE6B9"/>
    <w:multiLevelType w:val="hybridMultilevel"/>
    <w:lvl w:ilvl="0">
      <w:lvlJc w:val="left"/>
      <w:lvlText w:val="(%1)"/>
      <w:numFmt w:val="decimal"/>
      <w:start w:val="2"/>
    </w:lvl>
  </w:abstractNum>
  <w:abstractNum w:abstractNumId="282">
    <w:nsid w:val="62234363"/>
    <w:multiLevelType w:val="hybridMultilevel"/>
    <w:lvl w:ilvl="0">
      <w:lvlJc w:val="left"/>
      <w:lvlText w:val="(%1)"/>
      <w:numFmt w:val="lowerLetter"/>
      <w:start w:val="1"/>
    </w:lvl>
  </w:abstractNum>
  <w:abstractNum w:abstractNumId="283">
    <w:nsid w:val="66D385C9"/>
    <w:multiLevelType w:val="hybridMultilevel"/>
    <w:lvl w:ilvl="0">
      <w:lvlJc w:val="left"/>
      <w:lvlText w:val="(%1)"/>
      <w:numFmt w:val="decimal"/>
      <w:start w:val="3"/>
    </w:lvl>
  </w:abstractNum>
  <w:abstractNum w:abstractNumId="284">
    <w:nsid w:val="596F6D8A"/>
    <w:multiLevelType w:val="hybridMultilevel"/>
    <w:lvl w:ilvl="0">
      <w:lvlJc w:val="left"/>
      <w:lvlText w:val="·"/>
      <w:numFmt w:val="bullet"/>
      <w:start w:val="1"/>
    </w:lvl>
  </w:abstractNum>
  <w:abstractNum w:abstractNumId="285">
    <w:nsid w:val="5749361F"/>
    <w:multiLevelType w:val="hybridMultilevel"/>
    <w:lvl w:ilvl="0">
      <w:lvlJc w:val="left"/>
      <w:lvlText w:val="•"/>
      <w:numFmt w:val="bullet"/>
      <w:start w:val="1"/>
    </w:lvl>
  </w:abstractNum>
  <w:abstractNum w:abstractNumId="286">
    <w:nsid w:val="73BC6770"/>
    <w:multiLevelType w:val="hybridMultilevel"/>
    <w:lvl w:ilvl="0">
      <w:lvlJc w:val="left"/>
      <w:lvlText w:val="·"/>
      <w:numFmt w:val="bullet"/>
      <w:start w:val="1"/>
    </w:lvl>
  </w:abstractNum>
  <w:abstractNum w:abstractNumId="287">
    <w:nsid w:val="280E6897"/>
    <w:multiLevelType w:val="hybridMultilevel"/>
    <w:lvl w:ilvl="0">
      <w:lvlJc w:val="left"/>
      <w:lvlText w:val="·"/>
      <w:numFmt w:val="bullet"/>
      <w:start w:val="1"/>
    </w:lvl>
  </w:abstractNum>
  <w:abstractNum w:abstractNumId="288">
    <w:nsid w:val="605138DE"/>
    <w:multiLevelType w:val="hybridMultilevel"/>
    <w:lvl w:ilvl="0">
      <w:lvlJc w:val="left"/>
      <w:lvlText w:val="·"/>
      <w:numFmt w:val="bullet"/>
      <w:start w:val="1"/>
    </w:lvl>
  </w:abstractNum>
  <w:abstractNum w:abstractNumId="289">
    <w:nsid w:val="2622AD0C"/>
    <w:multiLevelType w:val="hybridMultilevel"/>
    <w:lvl w:ilvl="0">
      <w:lvlJc w:val="left"/>
      <w:lvlText w:val="·"/>
      <w:numFmt w:val="bullet"/>
      <w:start w:val="1"/>
    </w:lvl>
  </w:abstractNum>
  <w:abstractNum w:abstractNumId="290">
    <w:nsid w:val="67997556"/>
    <w:multiLevelType w:val="hybridMultilevel"/>
    <w:lvl w:ilvl="0">
      <w:lvlJc w:val="left"/>
      <w:lvlText w:val="·"/>
      <w:numFmt w:val="bullet"/>
      <w:start w:val="1"/>
    </w:lvl>
  </w:abstractNum>
  <w:abstractNum w:abstractNumId="291">
    <w:nsid w:val="18333C89"/>
    <w:multiLevelType w:val="hybridMultilevel"/>
    <w:lvl w:ilvl="0">
      <w:lvlJc w:val="left"/>
      <w:lvlText w:val="·"/>
      <w:numFmt w:val="bullet"/>
      <w:start w:val="1"/>
    </w:lvl>
  </w:abstractNum>
  <w:abstractNum w:abstractNumId="292">
    <w:nsid w:val="4BA9831A"/>
    <w:multiLevelType w:val="hybridMultilevel"/>
    <w:lvl w:ilvl="0">
      <w:lvlJc w:val="left"/>
      <w:lvlText w:val="·"/>
      <w:numFmt w:val="bullet"/>
      <w:start w:val="1"/>
    </w:lvl>
  </w:abstractNum>
  <w:abstractNum w:abstractNumId="293">
    <w:nsid w:val="6D71A2B"/>
    <w:multiLevelType w:val="hybridMultilevel"/>
    <w:lvl w:ilvl="0">
      <w:lvlJc w:val="left"/>
      <w:lvlText w:val="·"/>
      <w:numFmt w:val="bullet"/>
      <w:start w:val="1"/>
    </w:lvl>
  </w:abstractNum>
  <w:abstractNum w:abstractNumId="294">
    <w:nsid w:val="CFC7321"/>
    <w:multiLevelType w:val="hybridMultilevel"/>
    <w:lvl w:ilvl="0">
      <w:lvlJc w:val="left"/>
      <w:lvlText w:val="%1."/>
      <w:numFmt w:val="decimal"/>
      <w:start w:val="1"/>
    </w:lvl>
  </w:abstractNum>
  <w:abstractNum w:abstractNumId="295">
    <w:nsid w:val="1421971B"/>
    <w:multiLevelType w:val="hybridMultilevel"/>
    <w:lvl w:ilvl="0">
      <w:lvlJc w:val="left"/>
      <w:lvlText w:val="%1."/>
      <w:numFmt w:val="decimal"/>
      <w:start w:val="2"/>
    </w:lvl>
  </w:abstractNum>
  <w:abstractNum w:abstractNumId="296">
    <w:nsid w:val="1F404301"/>
    <w:multiLevelType w:val="hybridMultilevel"/>
    <w:lvl w:ilvl="0">
      <w:lvlJc w:val="left"/>
      <w:lvlText w:val="%1."/>
      <w:numFmt w:val="decimal"/>
      <w:start w:val="3"/>
    </w:lvl>
  </w:abstractNum>
  <w:abstractNum w:abstractNumId="297">
    <w:nsid w:val="116E0907"/>
    <w:multiLevelType w:val="hybridMultilevel"/>
    <w:lvl w:ilvl="0">
      <w:lvlJc w:val="left"/>
      <w:lvlText w:val="(%1)"/>
      <w:numFmt w:val="lowerLetter"/>
      <w:start w:val="1"/>
    </w:lvl>
  </w:abstractNum>
  <w:abstractNum w:abstractNumId="298">
    <w:nsid w:val="4B683D0D"/>
    <w:multiLevelType w:val="hybridMultilevel"/>
    <w:lvl w:ilvl="0">
      <w:lvlJc w:val="left"/>
      <w:lvlText w:val="ü"/>
      <w:numFmt w:val="bullet"/>
      <w:start w:val="1"/>
    </w:lvl>
  </w:abstractNum>
  <w:abstractNum w:abstractNumId="299">
    <w:nsid w:val="76E41D8"/>
    <w:multiLevelType w:val="hybridMultilevel"/>
    <w:lvl w:ilvl="0">
      <w:lvlJc w:val="left"/>
      <w:lvlText w:val="%1."/>
      <w:numFmt w:val="decimal"/>
      <w:start w:val="4"/>
    </w:lvl>
  </w:abstractNum>
  <w:abstractNum w:abstractNumId="300">
    <w:nsid w:val="71DCE0FD"/>
    <w:multiLevelType w:val="hybridMultilevel"/>
    <w:lvl w:ilvl="0">
      <w:lvlJc w:val="left"/>
      <w:lvlText w:val="%1."/>
      <w:numFmt w:val="decimal"/>
      <w:start w:val="1"/>
    </w:lvl>
  </w:abstractNum>
  <w:abstractNum w:abstractNumId="301">
    <w:nsid w:val="7906328B"/>
    <w:multiLevelType w:val="hybridMultilevel"/>
    <w:lvl w:ilvl="0">
      <w:lvlJc w:val="left"/>
      <w:lvlText w:val="·"/>
      <w:numFmt w:val="bullet"/>
      <w:start w:val="1"/>
    </w:lvl>
  </w:abstractNum>
  <w:abstractNum w:abstractNumId="302">
    <w:nsid w:val="72BBC16"/>
    <w:multiLevelType w:val="hybridMultilevel"/>
    <w:lvl w:ilvl="0">
      <w:lvlJc w:val="left"/>
      <w:lvlText w:val="%1."/>
      <w:numFmt w:val="decimal"/>
      <w:start w:val="5"/>
    </w:lvl>
  </w:abstractNum>
  <w:abstractNum w:abstractNumId="303">
    <w:nsid w:val="766D98C2"/>
    <w:multiLevelType w:val="hybridMultilevel"/>
    <w:lvl w:ilvl="0">
      <w:lvlJc w:val="left"/>
      <w:lvlText w:val="%1."/>
      <w:numFmt w:val="decimal"/>
      <w:start w:val="6"/>
    </w:lvl>
  </w:abstractNum>
  <w:abstractNum w:abstractNumId="304">
    <w:nsid w:val="3C09D4A1"/>
    <w:multiLevelType w:val="hybridMultilevel"/>
    <w:lvl w:ilvl="0">
      <w:lvlJc w:val="left"/>
      <w:lvlText w:val="%1."/>
      <w:numFmt w:val="decimal"/>
      <w:start w:val="7"/>
    </w:lvl>
  </w:abstractNum>
  <w:abstractNum w:abstractNumId="305">
    <w:nsid w:val="20E45CA4"/>
    <w:multiLevelType w:val="hybridMultilevel"/>
    <w:lvl w:ilvl="0">
      <w:lvlJc w:val="left"/>
      <w:lvlText w:val="%1."/>
      <w:numFmt w:val="lowerLetter"/>
      <w:start w:val="1"/>
    </w:lvl>
  </w:abstractNum>
  <w:abstractNum w:abstractNumId="306">
    <w:nsid w:val="4B232EE3"/>
    <w:multiLevelType w:val="hybridMultilevel"/>
    <w:lvl w:ilvl="0">
      <w:lvlJc w:val="left"/>
      <w:lvlText w:val="%1."/>
      <w:numFmt w:val="lowerLetter"/>
      <w:start w:val="2"/>
    </w:lvl>
  </w:abstractNum>
  <w:abstractNum w:abstractNumId="307">
    <w:nsid w:val="159C74CF"/>
    <w:multiLevelType w:val="hybridMultilevel"/>
    <w:lvl w:ilvl="0">
      <w:lvlJc w:val="left"/>
      <w:lvlText w:val="%1."/>
      <w:numFmt w:val="decimal"/>
      <w:start w:val="8"/>
    </w:lvl>
  </w:abstractNum>
  <w:abstractNum w:abstractNumId="308">
    <w:nsid w:val="4AD3AFD2"/>
    <w:multiLevelType w:val="hybridMultilevel"/>
    <w:lvl w:ilvl="0">
      <w:lvlJc w:val="left"/>
      <w:lvlText w:val="%1."/>
      <w:numFmt w:val="decimal"/>
      <w:start w:val="9"/>
    </w:lvl>
  </w:abstractNum>
  <w:abstractNum w:abstractNumId="309">
    <w:nsid w:val="3CF93092"/>
    <w:multiLevelType w:val="hybridMultilevel"/>
    <w:lvl w:ilvl="0">
      <w:lvlJc w:val="left"/>
      <w:lvlText w:val="%1."/>
      <w:numFmt w:val="decimal"/>
      <w:start w:val="10"/>
    </w:lvl>
  </w:abstractNum>
  <w:abstractNum w:abstractNumId="310">
    <w:nsid w:val="6863E8D2"/>
    <w:multiLevelType w:val="hybridMultilevel"/>
    <w:lvl w:ilvl="0">
      <w:lvlJc w:val="left"/>
      <w:lvlText w:val="%1."/>
      <w:numFmt w:val="decimal"/>
      <w:start w:val="11"/>
    </w:lvl>
  </w:abstractNum>
  <w:abstractNum w:abstractNumId="311">
    <w:nsid w:val="76896198"/>
    <w:multiLevelType w:val="hybridMultilevel"/>
    <w:lvl w:ilvl="0">
      <w:lvlJc w:val="left"/>
      <w:lvlText w:val="%1."/>
      <w:numFmt w:val="lowerLetter"/>
      <w:start w:val="1"/>
    </w:lvl>
  </w:abstractNum>
  <w:abstractNum w:abstractNumId="312">
    <w:nsid w:val="4365174B"/>
    <w:multiLevelType w:val="hybridMultilevel"/>
    <w:lvl w:ilvl="0">
      <w:lvlJc w:val="left"/>
      <w:lvlText w:val="%1."/>
      <w:numFmt w:val="decimal"/>
      <w:start w:val="1"/>
    </w:lvl>
  </w:abstractNum>
  <w:abstractNum w:abstractNumId="313">
    <w:nsid w:val="4A872C35"/>
    <w:multiLevelType w:val="hybridMultilevel"/>
    <w:lvl w:ilvl="0">
      <w:lvlJc w:val="left"/>
      <w:lvlText w:val="%1."/>
      <w:numFmt w:val="lowerLetter"/>
      <w:start w:val="1"/>
    </w:lvl>
  </w:abstractNum>
  <w:abstractNum w:abstractNumId="314">
    <w:nsid w:val="5D5CE761"/>
    <w:multiLevelType w:val="hybridMultilevel"/>
    <w:lvl w:ilvl="0">
      <w:lvlJc w:val="left"/>
      <w:lvlText w:val="%1."/>
      <w:numFmt w:val="decimal"/>
      <w:start w:val="3"/>
    </w:lvl>
  </w:abstractNum>
  <w:abstractNum w:abstractNumId="315">
    <w:nsid w:val="1CD484D5"/>
    <w:multiLevelType w:val="hybridMultilevel"/>
    <w:lvl w:ilvl="0">
      <w:lvlJc w:val="left"/>
      <w:lvlText w:val="%1."/>
      <w:numFmt w:val="lowerLetter"/>
      <w:start w:val="1"/>
    </w:lvl>
  </w:abstractNum>
  <w:abstractNum w:abstractNumId="316">
    <w:nsid w:val="21D06255"/>
    <w:multiLevelType w:val="hybridMultilevel"/>
    <w:lvl w:ilvl="0">
      <w:lvlJc w:val="left"/>
      <w:lvlText w:val="%1."/>
      <w:numFmt w:val="decimal"/>
      <w:start w:val="4"/>
    </w:lvl>
  </w:abstractNum>
  <w:abstractNum w:abstractNumId="317">
    <w:nsid w:val="51194ED1"/>
    <w:multiLevelType w:val="hybridMultilevel"/>
    <w:lvl w:ilvl="0">
      <w:lvlJc w:val="left"/>
      <w:lvlText w:val="%1."/>
      <w:numFmt w:val="decimal"/>
      <w:start w:val="5"/>
    </w:lvl>
  </w:abstractNum>
  <w:abstractNum w:abstractNumId="318">
    <w:nsid w:val="44E2ED6C"/>
    <w:multiLevelType w:val="hybridMultilevel"/>
    <w:lvl w:ilvl="0">
      <w:lvlJc w:val="left"/>
      <w:lvlText w:val="%1."/>
      <w:numFmt w:val="decimal"/>
      <w:start w:val="7"/>
    </w:lvl>
  </w:abstractNum>
  <w:abstractNum w:abstractNumId="319">
    <w:nsid w:val="2219B33"/>
    <w:multiLevelType w:val="hybridMultilevel"/>
    <w:lvl w:ilvl="0">
      <w:lvlJc w:val="left"/>
      <w:lvlText w:val="%1."/>
      <w:numFmt w:val="decimal"/>
      <w:start w:val="1"/>
    </w:lvl>
  </w:abstractNum>
  <w:abstractNum w:abstractNumId="320">
    <w:nsid w:val="773BFBDD"/>
    <w:multiLevelType w:val="hybridMultilevel"/>
    <w:lvl w:ilvl="0">
      <w:lvlJc w:val="left"/>
      <w:lvlText w:val="%1."/>
      <w:numFmt w:val="decimal"/>
      <w:start w:val="1"/>
    </w:lvl>
    <w:lvl w:ilvl="1">
      <w:lvlJc w:val="left"/>
      <w:lvlText w:val="·"/>
      <w:numFmt w:val="bullet"/>
      <w:start w:val="1"/>
    </w:lvl>
  </w:abstractNum>
  <w:abstractNum w:abstractNumId="321">
    <w:nsid w:val="2C7C62C2"/>
    <w:multiLevelType w:val="hybridMultilevel"/>
    <w:lvl w:ilvl="0">
      <w:lvlJc w:val="left"/>
      <w:lvlText w:val="[*]"/>
      <w:numFmt w:val="bullet"/>
      <w:start w:val="1"/>
    </w:lvl>
  </w:abstractNum>
  <w:abstractNum w:abstractNumId="322">
    <w:nsid w:val="1A54D7BC"/>
    <w:multiLevelType w:val="hybridMultilevel"/>
    <w:lvl w:ilvl="0">
      <w:lvlJc w:val="left"/>
      <w:lvlText w:val="%1."/>
      <w:numFmt w:val="decimal"/>
      <w:start w:val="1"/>
    </w:lvl>
  </w:abstractNum>
  <w:abstractNum w:abstractNumId="323">
    <w:nsid w:val="42E57EF7"/>
    <w:multiLevelType w:val="hybridMultilevel"/>
    <w:lvl w:ilvl="0">
      <w:lvlJc w:val="left"/>
      <w:lvlText w:val="%1."/>
      <w:numFmt w:val="decimal"/>
      <w:start w:val="2"/>
    </w:lvl>
  </w:abstractNum>
  <w:abstractNum w:abstractNumId="324">
    <w:nsid w:val="33537CED"/>
    <w:multiLevelType w:val="hybridMultilevel"/>
    <w:lvl w:ilvl="0">
      <w:lvlJc w:val="left"/>
      <w:lvlText w:val="%1"/>
      <w:numFmt w:val="decimal"/>
      <w:start w:val="1"/>
    </w:lvl>
    <w:lvl w:ilvl="1">
      <w:lvlJc w:val="left"/>
      <w:lvlText w:val="(%2)"/>
      <w:numFmt w:val="lowerLetter"/>
      <w:start w:val="1"/>
    </w:lvl>
  </w:abstractNum>
  <w:abstractNum w:abstractNumId="325">
    <w:nsid w:val="27514ADE"/>
    <w:multiLevelType w:val="hybridMultilevel"/>
    <w:lvl w:ilvl="0">
      <w:lvlJc w:val="left"/>
      <w:lvlText w:val="%1."/>
      <w:numFmt w:val="decimal"/>
      <w:start w:val="3"/>
    </w:lvl>
    <w:lvl w:ilvl="1">
      <w:lvlJc w:val="left"/>
      <w:lvlText w:val="%2"/>
      <w:numFmt w:val="lowerLetter"/>
      <w:start w:val="1"/>
    </w:lvl>
  </w:abstractNum>
  <w:abstractNum w:abstractNumId="326">
    <w:nsid w:val="57071613"/>
    <w:multiLevelType w:val="hybridMultilevel"/>
    <w:lvl w:ilvl="0">
      <w:lvlJc w:val="left"/>
      <w:lvlText w:val="(%1)"/>
      <w:numFmt w:val="lowerLetter"/>
      <w:start w:val="1"/>
    </w:lvl>
  </w:abstractNum>
  <w:abstractNum w:abstractNumId="327">
    <w:nsid w:val="5293BFEF"/>
    <w:multiLevelType w:val="hybridMultilevel"/>
    <w:lvl w:ilvl="0">
      <w:lvlJc w:val="left"/>
      <w:lvlText w:val="(%1)"/>
      <w:numFmt w:val="lowerLetter"/>
      <w:start w:val="2"/>
    </w:lvl>
    <w:lvl w:ilvl="1">
      <w:lvlJc w:val="left"/>
      <w:lvlText w:val="(%2)"/>
      <w:numFmt w:val="lowerRoman"/>
      <w:start w:val="1"/>
    </w:lvl>
  </w:abstractNum>
  <w:abstractNum w:abstractNumId="328">
    <w:nsid w:val="38BF53E5"/>
    <w:multiLevelType w:val="hybridMultilevel"/>
    <w:lvl w:ilvl="0">
      <w:lvlJc w:val="left"/>
      <w:lvlText w:val="(%1)"/>
      <w:numFmt w:val="lowerLetter"/>
      <w:start w:val="1"/>
    </w:lvl>
  </w:abstractNum>
  <w:abstractNum w:abstractNumId="329">
    <w:nsid w:val="226F5320"/>
    <w:multiLevelType w:val="hybridMultilevel"/>
    <w:lvl w:ilvl="0">
      <w:lvlJc w:val="left"/>
      <w:lvlText w:val="%1"/>
      <w:numFmt w:val="decimal"/>
      <w:start w:val="1"/>
    </w:lvl>
    <w:lvl w:ilvl="1">
      <w:lvlJc w:val="left"/>
      <w:lvlText w:val="(%2)"/>
      <w:numFmt w:val="lowerLetter"/>
      <w:start w:val="1"/>
    </w:lvl>
  </w:abstractNum>
  <w:abstractNum w:abstractNumId="330">
    <w:nsid w:val="5A0201C7"/>
    <w:multiLevelType w:val="hybridMultilevel"/>
    <w:lvl w:ilvl="0">
      <w:lvlJc w:val="left"/>
      <w:lvlText w:val="%1."/>
      <w:numFmt w:val="decimal"/>
      <w:start w:val="4"/>
    </w:lvl>
    <w:lvl w:ilvl="1">
      <w:lvlJc w:val="left"/>
      <w:lvlText w:val="%2"/>
      <w:numFmt w:val="lowerLetter"/>
      <w:start w:val="1"/>
    </w:lvl>
  </w:abstractNum>
  <w:abstractNum w:abstractNumId="331">
    <w:nsid w:val="2A9C34E2"/>
    <w:multiLevelType w:val="hybridMultilevel"/>
    <w:lvl w:ilvl="0">
      <w:lvlJc w:val="left"/>
      <w:lvlText w:val="(%1)"/>
      <w:numFmt w:val="lowerLetter"/>
      <w:start w:val="1"/>
    </w:lvl>
  </w:abstractNum>
  <w:abstractNum w:abstractNumId="332">
    <w:nsid w:val="1B7585AB"/>
    <w:multiLevelType w:val="hybridMultilevel"/>
    <w:lvl w:ilvl="0">
      <w:lvlJc w:val="left"/>
      <w:lvlText w:val="(%1)"/>
      <w:numFmt w:val="lowerLetter"/>
      <w:start w:val="2"/>
    </w:lvl>
  </w:abstractNum>
  <w:abstractNum w:abstractNumId="333">
    <w:nsid w:val="612DBDDD"/>
    <w:multiLevelType w:val="hybridMultilevel"/>
    <w:lvl w:ilvl="0">
      <w:lvlJc w:val="left"/>
      <w:lvlText w:val="(%1)"/>
      <w:numFmt w:val="lowerLetter"/>
      <w:start w:val="2"/>
    </w:lvl>
    <w:lvl w:ilvl="1">
      <w:lvlJc w:val="left"/>
      <w:lvlText w:val="(%2)"/>
      <w:numFmt w:val="lowerRoman"/>
      <w:start w:val="1"/>
    </w:lvl>
  </w:abstractNum>
  <w:abstractNum w:abstractNumId="334">
    <w:nsid w:val="2109CDA4"/>
    <w:multiLevelType w:val="hybridMultilevel"/>
    <w:lvl w:ilvl="0">
      <w:lvlJc w:val="left"/>
      <w:lvlText w:val="%1."/>
      <w:numFmt w:val="decimal"/>
      <w:start w:val="5"/>
    </w:lvl>
  </w:abstractNum>
  <w:abstractNum w:abstractNumId="335">
    <w:nsid w:val="577F5A4D"/>
    <w:multiLevelType w:val="hybridMultilevel"/>
    <w:lvl w:ilvl="0">
      <w:lvlJc w:val="left"/>
      <w:lvlText w:val="(%1)"/>
      <w:numFmt w:val="lowerLetter"/>
      <w:start w:val="1"/>
    </w:lvl>
    <w:lvl w:ilvl="1">
      <w:lvlJc w:val="left"/>
      <w:lvlText w:val="(%2)"/>
      <w:numFmt w:val="lowerRoman"/>
      <w:start w:val="1"/>
    </w:lvl>
  </w:abstractNum>
  <w:abstractNum w:abstractNumId="336">
    <w:nsid w:val="2121A81"/>
    <w:multiLevelType w:val="hybridMultilevel"/>
    <w:lvl w:ilvl="0">
      <w:lvlJc w:val="left"/>
      <w:lvlText w:val="(%1)"/>
      <w:numFmt w:val="lowerRoman"/>
      <w:start w:val="3"/>
    </w:lvl>
  </w:abstractNum>
  <w:abstractNum w:abstractNumId="337">
    <w:nsid w:val="6C2CFC88"/>
    <w:multiLevelType w:val="hybridMultilevel"/>
    <w:lvl w:ilvl="0">
      <w:lvlJc w:val="left"/>
      <w:lvlText w:val="(%1)"/>
      <w:numFmt w:val="lowerLetter"/>
      <w:start w:val="2"/>
    </w:lvl>
  </w:abstractNum>
  <w:abstractNum w:abstractNumId="338">
    <w:nsid w:val="6D1BCF1C"/>
    <w:multiLevelType w:val="hybridMultilevel"/>
    <w:lvl w:ilvl="0">
      <w:lvlJc w:val="left"/>
      <w:lvlText w:val="%1."/>
      <w:numFmt w:val="decimal"/>
      <w:start w:val="6"/>
    </w:lvl>
  </w:abstractNum>
  <w:abstractNum w:abstractNumId="339">
    <w:nsid w:val="4CE5CA53"/>
    <w:multiLevelType w:val="hybridMultilevel"/>
    <w:lvl w:ilvl="0">
      <w:lvlJc w:val="left"/>
      <w:lvlText w:val="(%1)"/>
      <w:numFmt w:val="lowerLetter"/>
      <w:start w:val="1"/>
    </w:lvl>
  </w:abstractNum>
  <w:abstractNum w:abstractNumId="340">
    <w:nsid w:val="29262D1A"/>
    <w:multiLevelType w:val="hybridMultilevel"/>
    <w:lvl w:ilvl="0">
      <w:lvlJc w:val="left"/>
      <w:lvlText w:val="(%1)"/>
      <w:numFmt w:val="lowerLetter"/>
      <w:start w:val="1"/>
    </w:lvl>
  </w:abstractNum>
  <w:abstractNum w:abstractNumId="341">
    <w:nsid w:val="557FB7EE"/>
    <w:multiLevelType w:val="hybridMultilevel"/>
    <w:lvl w:ilvl="0">
      <w:lvlJc w:val="left"/>
      <w:lvlText w:val="(%1)"/>
      <w:numFmt w:val="lowerLetter"/>
      <w:start w:val="1"/>
    </w:lvl>
  </w:abstractNum>
  <w:abstractNum w:abstractNumId="342">
    <w:nsid w:val="436F2BEB"/>
    <w:multiLevelType w:val="hybridMultilevel"/>
    <w:lvl w:ilvl="0">
      <w:lvlJc w:val="left"/>
      <w:lvlText w:val="%1"/>
      <w:numFmt w:val="decimal"/>
      <w:start w:val="1"/>
    </w:lvl>
    <w:lvl w:ilvl="1">
      <w:lvlJc w:val="left"/>
      <w:lvlText w:val="(%2)"/>
      <w:numFmt w:val="lowerLetter"/>
      <w:start w:val="2"/>
    </w:lvl>
  </w:abstractNum>
  <w:abstractNum w:abstractNumId="343">
    <w:nsid w:val="6C8B4466"/>
    <w:multiLevelType w:val="hybridMultilevel"/>
    <w:lvl w:ilvl="0">
      <w:lvlJc w:val="left"/>
      <w:lvlText w:val="%1."/>
      <w:numFmt w:val="decimal"/>
      <w:start w:val="7"/>
    </w:lvl>
    <w:lvl w:ilvl="1">
      <w:lvlJc w:val="left"/>
      <w:lvlText w:val="%2"/>
      <w:numFmt w:val="lowerLetter"/>
      <w:start w:val="1"/>
    </w:lvl>
  </w:abstractNum>
  <w:abstractNum w:abstractNumId="344">
    <w:nsid w:val="2006E424"/>
    <w:multiLevelType w:val="hybridMultilevel"/>
    <w:lvl w:ilvl="0">
      <w:lvlJc w:val="left"/>
      <w:lvlText w:val="(%1)"/>
      <w:numFmt w:val="lowerLetter"/>
      <w:start w:val="1"/>
    </w:lvl>
  </w:abstractNum>
  <w:abstractNum w:abstractNumId="345">
    <w:nsid w:val="20CC134C"/>
    <w:multiLevelType w:val="hybridMultilevel"/>
    <w:lvl w:ilvl="0">
      <w:lvlJc w:val="left"/>
      <w:lvlText w:val="(%1)"/>
      <w:numFmt w:val="lowerLetter"/>
      <w:start w:val="2"/>
    </w:lvl>
  </w:abstractNum>
  <w:abstractNum w:abstractNumId="346">
    <w:nsid w:val="95FC93B"/>
    <w:multiLevelType w:val="hybridMultilevel"/>
    <w:lvl w:ilvl="0">
      <w:lvlJc w:val="left"/>
      <w:lvlText w:val="%1."/>
      <w:numFmt w:val="decimal"/>
      <w:start w:val="8"/>
    </w:lvl>
  </w:abstractNum>
  <w:abstractNum w:abstractNumId="347">
    <w:nsid w:val="41D74679"/>
    <w:multiLevelType w:val="hybridMultilevel"/>
    <w:lvl w:ilvl="0">
      <w:lvlJc w:val="left"/>
      <w:lvlText w:val="%1."/>
      <w:numFmt w:val="decimal"/>
      <w:start w:val="9"/>
    </w:lvl>
  </w:abstractNum>
  <w:abstractNum w:abstractNumId="348">
    <w:nsid w:val="71E5621E"/>
    <w:multiLevelType w:val="hybridMultilevel"/>
    <w:lvl w:ilvl="0">
      <w:lvlJc w:val="left"/>
      <w:lvlText w:val="(%1)"/>
      <w:numFmt w:val="lowerLetter"/>
      <w:start w:val="1"/>
    </w:lvl>
  </w:abstractNum>
  <w:abstractNum w:abstractNumId="349">
    <w:nsid w:val="4E42B6A8"/>
    <w:multiLevelType w:val="hybridMultilevel"/>
    <w:lvl w:ilvl="0">
      <w:lvlJc w:val="left"/>
      <w:lvlText w:val="(%1)"/>
      <w:numFmt w:val="lowerLetter"/>
      <w:start w:val="1"/>
    </w:lvl>
  </w:abstractNum>
  <w:abstractNum w:abstractNumId="350">
    <w:nsid w:val="43F8E1AC"/>
    <w:multiLevelType w:val="hybridMultilevel"/>
    <w:lvl w:ilvl="0">
      <w:lvlJc w:val="left"/>
      <w:lvlText w:val="%1"/>
      <w:numFmt w:val="decimal"/>
      <w:start w:val="1"/>
    </w:lvl>
    <w:lvl w:ilvl="1">
      <w:lvlJc w:val="left"/>
      <w:lvlText w:val="(%2)"/>
      <w:numFmt w:val="lowerLetter"/>
      <w:start w:val="2"/>
    </w:lvl>
  </w:abstractNum>
  <w:abstractNum w:abstractNumId="351">
    <w:nsid w:val="69215DFB"/>
    <w:multiLevelType w:val="hybridMultilevel"/>
    <w:lvl w:ilvl="0">
      <w:lvlJc w:val="left"/>
      <w:lvlText w:val="%1."/>
      <w:numFmt w:val="decimal"/>
      <w:start w:val="10"/>
    </w:lvl>
    <w:lvl w:ilvl="1">
      <w:lvlJc w:val="left"/>
      <w:lvlText w:val="%2"/>
      <w:numFmt w:val="lowerLetter"/>
      <w:start w:val="1"/>
    </w:lvl>
  </w:abstractNum>
  <w:abstractNum w:abstractNumId="352">
    <w:nsid w:val="7ABF196A"/>
    <w:multiLevelType w:val="hybridMultilevel"/>
    <w:lvl w:ilvl="0">
      <w:lvlJc w:val="left"/>
      <w:lvlText w:val="%1)"/>
      <w:numFmt w:val="decimal"/>
      <w:start w:val="1"/>
    </w:lvl>
  </w:abstractNum>
  <w:abstractNum w:abstractNumId="353">
    <w:nsid w:val="5E4DB968"/>
    <w:multiLevelType w:val="hybridMultilevel"/>
    <w:lvl w:ilvl="0">
      <w:lvlJc w:val="left"/>
      <w:lvlText w:val="%1)"/>
      <w:numFmt w:val="decimal"/>
      <w:start w:val="2"/>
    </w:lvl>
  </w:abstractNum>
  <w:abstractNum w:abstractNumId="354">
    <w:nsid w:val="2C06DCF3"/>
    <w:multiLevelType w:val="hybridMultilevel"/>
    <w:lvl w:ilvl="0">
      <w:lvlJc w:val="left"/>
      <w:lvlText w:val="[*]"/>
      <w:numFmt w:val="bullet"/>
      <w:start w:val="1"/>
    </w:lvl>
  </w:abstractNum>
  <w:abstractNum w:abstractNumId="355">
    <w:nsid w:val="2E129658"/>
    <w:multiLevelType w:val="hybridMultilevel"/>
    <w:lvl w:ilvl="0">
      <w:lvlJc w:val="left"/>
      <w:lvlText w:val="(%1)"/>
      <w:numFmt w:val="decimal"/>
      <w:start w:val="1"/>
    </w:lvl>
  </w:abstractNum>
  <w:abstractNum w:abstractNumId="356">
    <w:nsid w:val="59F0446"/>
    <w:multiLevelType w:val="hybridMultilevel"/>
    <w:lvl w:ilvl="0">
      <w:lvlJc w:val="left"/>
      <w:lvlText w:val="%1."/>
      <w:numFmt w:val="upperLetter"/>
      <w:start w:val="1"/>
    </w:lvl>
  </w:abstractNum>
  <w:abstractNum w:abstractNumId="357">
    <w:nsid w:val="30DF306"/>
    <w:multiLevelType w:val="hybridMultilevel"/>
    <w:lvl w:ilvl="0">
      <w:lvlJc w:val="left"/>
      <w:lvlText w:val="1"/>
      <w:numFmt w:val="bullet"/>
      <w:start w:val="1"/>
    </w:lvl>
  </w:abstractNum>
  <w:abstractNum w:abstractNumId="358">
    <w:nsid w:val="A65647"/>
    <w:multiLevelType w:val="hybridMultilevel"/>
    <w:lvl w:ilvl="0">
      <w:lvlJc w:val="left"/>
      <w:lvlText w:val="2"/>
      <w:numFmt w:val="bullet"/>
      <w:start w:val="1"/>
    </w:lvl>
  </w:abstractNum>
  <w:abstractNum w:abstractNumId="359">
    <w:nsid w:val="3E5E582B"/>
    <w:multiLevelType w:val="hybridMultilevel"/>
    <w:lvl w:ilvl="0">
      <w:lvlJc w:val="left"/>
      <w:lvlText w:val="(%1)"/>
      <w:numFmt w:val="lowerLetter"/>
      <w:start w:val="1"/>
    </w:lvl>
  </w:abstractNum>
  <w:abstractNum w:abstractNumId="360">
    <w:nsid w:val="257D4626"/>
    <w:multiLevelType w:val="hybridMultilevel"/>
    <w:lvl w:ilvl="0">
      <w:lvlJc w:val="left"/>
      <w:lvlText w:val="(%1)"/>
      <w:numFmt w:val="lowerLetter"/>
      <w:start w:val="1"/>
    </w:lvl>
  </w:abstractNum>
  <w:abstractNum w:abstractNumId="361">
    <w:nsid w:val="5AA8580E"/>
    <w:multiLevelType w:val="hybridMultilevel"/>
    <w:lvl w:ilvl="0">
      <w:lvlJc w:val="left"/>
      <w:lvlText w:val="3"/>
      <w:numFmt w:val="bullet"/>
      <w:start w:val="1"/>
    </w:lvl>
  </w:abstractNum>
  <w:abstractNum w:abstractNumId="362">
    <w:nsid w:val="68FA8D0D"/>
    <w:multiLevelType w:val="hybridMultilevel"/>
    <w:lvl w:ilvl="0">
      <w:lvlJc w:val="left"/>
      <w:lvlText w:val="4"/>
      <w:numFmt w:val="bullet"/>
      <w:start w:val="1"/>
    </w:lvl>
  </w:abstractNum>
  <w:abstractNum w:abstractNumId="363">
    <w:nsid w:val="40F2CBD2"/>
    <w:multiLevelType w:val="hybridMultilevel"/>
    <w:lvl w:ilvl="0">
      <w:lvlJc w:val="left"/>
      <w:lvlText w:val="(%1)"/>
      <w:numFmt w:val="lowerLetter"/>
      <w:start w:val="1"/>
    </w:lvl>
    <w:lvl w:ilvl="1">
      <w:lvlJc w:val="left"/>
      <w:lvlText w:val="(%2)"/>
      <w:numFmt w:val="lowerRoman"/>
      <w:start w:val="1"/>
    </w:lvl>
  </w:abstractNum>
  <w:abstractNum w:abstractNumId="364">
    <w:nsid w:val="3BD615EB"/>
    <w:multiLevelType w:val="hybridMultilevel"/>
    <w:lvl w:ilvl="0">
      <w:lvlJc w:val="left"/>
      <w:lvlText w:val="(%1)"/>
      <w:numFmt w:val="lowerLetter"/>
      <w:start w:val="1"/>
    </w:lvl>
  </w:abstractNum>
  <w:abstractNum w:abstractNumId="365">
    <w:nsid w:val="A045AB2"/>
    <w:multiLevelType w:val="hybridMultilevel"/>
    <w:lvl w:ilvl="0">
      <w:lvlJc w:val="left"/>
      <w:lvlText w:val="(%1)"/>
      <w:numFmt w:val="lowerLetter"/>
      <w:start w:val="3"/>
    </w:lvl>
  </w:abstractNum>
  <w:abstractNum w:abstractNumId="366">
    <w:nsid w:val="1872261F"/>
    <w:multiLevelType w:val="hybridMultilevel"/>
    <w:lvl w:ilvl="0">
      <w:lvlJc w:val="left"/>
      <w:lvlText w:val="5"/>
      <w:numFmt w:val="bullet"/>
      <w:start w:val="1"/>
    </w:lvl>
  </w:abstractNum>
  <w:abstractNum w:abstractNumId="367">
    <w:nsid w:val="3DE8306C"/>
    <w:multiLevelType w:val="hybridMultilevel"/>
    <w:lvl w:ilvl="0">
      <w:lvlJc w:val="left"/>
      <w:lvlText w:val="6"/>
      <w:numFmt w:val="bullet"/>
      <w:start w:val="1"/>
    </w:lvl>
  </w:abstractNum>
  <w:abstractNum w:abstractNumId="368">
    <w:nsid w:val="7631573A"/>
    <w:multiLevelType w:val="hybridMultilevel"/>
    <w:lvl w:ilvl="0">
      <w:lvlJc w:val="left"/>
      <w:lvlText w:val="(%1)"/>
      <w:numFmt w:val="lowerLetter"/>
      <w:start w:val="1"/>
    </w:lvl>
  </w:abstractNum>
  <w:abstractNum w:abstractNumId="369">
    <w:nsid w:val="58DF53B"/>
    <w:multiLevelType w:val="hybridMultilevel"/>
    <w:lvl w:ilvl="0">
      <w:lvlJc w:val="left"/>
      <w:lvlText w:val="(%1)"/>
      <w:numFmt w:val="lowerLetter"/>
      <w:start w:val="2"/>
    </w:lvl>
    <w:lvl w:ilvl="1">
      <w:lvlJc w:val="left"/>
      <w:lvlText w:val="(%2)"/>
      <w:numFmt w:val="lowerRoman"/>
      <w:start w:val="1"/>
    </w:lvl>
  </w:abstractNum>
  <w:abstractNum w:abstractNumId="370">
    <w:nsid w:val="ACDFAC0"/>
    <w:multiLevelType w:val="hybridMultilevel"/>
    <w:lvl w:ilvl="0">
      <w:lvlJc w:val="left"/>
      <w:lvlText w:val="(%1)"/>
      <w:numFmt w:val="lowerLetter"/>
      <w:start w:val="1"/>
    </w:lvl>
  </w:abstractNum>
  <w:abstractNum w:abstractNumId="371">
    <w:nsid w:val="1F578454"/>
    <w:multiLevelType w:val="hybridMultilevel"/>
    <w:lvl w:ilvl="0">
      <w:lvlJc w:val="left"/>
      <w:lvlText w:val="7"/>
      <w:numFmt w:val="bullet"/>
      <w:start w:val="1"/>
    </w:lvl>
  </w:abstractNum>
  <w:abstractNum w:abstractNumId="372">
    <w:nsid w:val="5B0DAD2A"/>
    <w:multiLevelType w:val="hybridMultilevel"/>
    <w:lvl w:ilvl="0">
      <w:lvlJc w:val="left"/>
      <w:lvlText w:val="(%1)"/>
      <w:numFmt w:val="lowerLetter"/>
      <w:start w:val="1"/>
    </w:lvl>
  </w:abstractNum>
  <w:abstractNum w:abstractNumId="373">
    <w:nsid w:val="4E3D26AB"/>
    <w:multiLevelType w:val="hybridMultilevel"/>
    <w:lvl w:ilvl="0">
      <w:lvlJc w:val="left"/>
      <w:lvlText w:val="8"/>
      <w:numFmt w:val="bullet"/>
      <w:start w:val="1"/>
    </w:lvl>
  </w:abstractNum>
  <w:abstractNum w:abstractNumId="374">
    <w:nsid w:val="BE2C8BA"/>
    <w:multiLevelType w:val="hybridMultilevel"/>
    <w:lvl w:ilvl="0">
      <w:lvlJc w:val="left"/>
      <w:lvlText w:val="(%1)"/>
      <w:numFmt w:val="lowerLetter"/>
      <w:start w:val="1"/>
    </w:lvl>
  </w:abstractNum>
  <w:abstractNum w:abstractNumId="375">
    <w:nsid w:val="7B14914E"/>
    <w:multiLevelType w:val="hybridMultilevel"/>
    <w:lvl w:ilvl="0">
      <w:lvlJc w:val="left"/>
      <w:lvlText w:val="(%1)"/>
      <w:numFmt w:val="lowerLetter"/>
      <w:start w:val="2"/>
    </w:lvl>
  </w:abstractNum>
  <w:abstractNum w:abstractNumId="376">
    <w:nsid w:val="6F0939F8"/>
    <w:multiLevelType w:val="hybridMultilevel"/>
    <w:lvl w:ilvl="0">
      <w:lvlJc w:val="left"/>
      <w:lvlText w:val="(%1)"/>
      <w:numFmt w:val="decimal"/>
      <w:start w:val="3"/>
    </w:lvl>
  </w:abstractNum>
  <w:abstractNum w:abstractNumId="377">
    <w:nsid w:val="154291F6"/>
    <w:multiLevelType w:val="hybridMultilevel"/>
    <w:lvl w:ilvl="0">
      <w:lvlJc w:val="left"/>
      <w:lvlText w:val="%1."/>
      <w:numFmt w:val="upperLetter"/>
      <w:start w:val="1"/>
    </w:lvl>
  </w:abstractNum>
  <w:abstractNum w:abstractNumId="378">
    <w:nsid w:val="3CEBD7C7"/>
    <w:multiLevelType w:val="hybridMultilevel"/>
    <w:lvl w:ilvl="0">
      <w:lvlJc w:val="left"/>
      <w:lvlText w:val="9"/>
      <w:numFmt w:val="bullet"/>
      <w:start w:val="1"/>
    </w:lvl>
  </w:abstractNum>
  <w:abstractNum w:abstractNumId="379">
    <w:nsid w:val="60EE9C16"/>
    <w:multiLevelType w:val="hybridMultilevel"/>
    <w:lvl w:ilvl="0">
      <w:lvlJc w:val="left"/>
      <w:lvlText w:val="(%1)"/>
      <w:numFmt w:val="lowerLetter"/>
      <w:start w:val="1"/>
    </w:lvl>
  </w:abstractNum>
  <w:abstractNum w:abstractNumId="380">
    <w:nsid w:val="6385489E"/>
    <w:multiLevelType w:val="hybridMultilevel"/>
    <w:lvl w:ilvl="0">
      <w:lvlJc w:val="left"/>
      <w:lvlText w:val="(%1)"/>
      <w:numFmt w:val="lowerLetter"/>
      <w:start w:val="1"/>
    </w:lvl>
  </w:abstractNum>
  <w:abstractNum w:abstractNumId="381">
    <w:nsid w:val="E4B973"/>
    <w:multiLevelType w:val="hybridMultilevel"/>
    <w:lvl w:ilvl="0">
      <w:lvlJc w:val="left"/>
      <w:lvlText w:val="(%1)"/>
      <w:numFmt w:val="lowerLetter"/>
      <w:start w:val="1"/>
    </w:lvl>
  </w:abstractNum>
  <w:abstractNum w:abstractNumId="382">
    <w:nsid w:val="4A0FFA11"/>
    <w:multiLevelType w:val="hybridMultilevel"/>
    <w:lvl w:ilvl="0">
      <w:lvlJc w:val="left"/>
      <w:lvlText w:val="(%1)"/>
      <w:numFmt w:val="lowerLetter"/>
      <w:start w:val="1"/>
    </w:lvl>
  </w:abstractNum>
  <w:abstractNum w:abstractNumId="383">
    <w:nsid w:val="5E446208"/>
    <w:multiLevelType w:val="hybridMultilevel"/>
    <w:lvl w:ilvl="0">
      <w:lvlJc w:val="left"/>
      <w:lvlText w:val="(%1)"/>
      <w:numFmt w:val="lowerLetter"/>
      <w:start w:val="2"/>
    </w:lvl>
  </w:abstractNum>
  <w:abstractNum w:abstractNumId="384">
    <w:nsid w:val="5F3272DB"/>
    <w:multiLevelType w:val="hybridMultilevel"/>
    <w:lvl w:ilvl="0">
      <w:lvlJc w:val="left"/>
      <w:lvlText w:val="(%1)"/>
      <w:numFmt w:val="lowerLetter"/>
      <w:start w:val="1"/>
    </w:lvl>
  </w:abstractNum>
  <w:abstractNum w:abstractNumId="385">
    <w:nsid w:val="7616D704"/>
    <w:multiLevelType w:val="hybridMultilevel"/>
    <w:lvl w:ilvl="0">
      <w:lvlJc w:val="left"/>
      <w:lvlText w:val="(%1)"/>
      <w:numFmt w:val="lowerLetter"/>
      <w:start w:val="1"/>
    </w:lvl>
  </w:abstractNum>
  <w:abstractNum w:abstractNumId="386">
    <w:nsid w:val="C56F860"/>
    <w:multiLevelType w:val="hybridMultilevel"/>
    <w:lvl w:ilvl="0">
      <w:lvlJc w:val="left"/>
      <w:lvlText w:val="·"/>
      <w:numFmt w:val="bullet"/>
      <w:start w:val="1"/>
    </w:lvl>
  </w:abstractNum>
  <w:abstractNum w:abstractNumId="387">
    <w:nsid w:val="64D17722"/>
    <w:multiLevelType w:val="hybridMultilevel"/>
    <w:lvl w:ilvl="0">
      <w:lvlJc w:val="left"/>
      <w:lvlText w:val="(%1)"/>
      <w:numFmt w:val="lowerLetter"/>
      <w:start w:val="1"/>
    </w:lvl>
    <w:lvl w:ilvl="1">
      <w:lvlJc w:val="left"/>
      <w:lvlText w:val="(%2)"/>
      <w:numFmt w:val="lowerRoman"/>
      <w:start w:val="1"/>
    </w:lvl>
  </w:abstractNum>
  <w:abstractNum w:abstractNumId="388">
    <w:nsid w:val="7924CA0A"/>
    <w:multiLevelType w:val="hybridMultilevel"/>
    <w:lvl w:ilvl="0">
      <w:lvlJc w:val="left"/>
      <w:lvlText w:val="(%1)"/>
      <w:numFmt w:val="lowerLetter"/>
      <w:start w:val="1"/>
    </w:lvl>
  </w:abstractNum>
  <w:abstractNum w:abstractNumId="389">
    <w:nsid w:val="CFD4EA7"/>
    <w:multiLevelType w:val="hybridMultilevel"/>
    <w:lvl w:ilvl="0">
      <w:lvlJc w:val="left"/>
      <w:lvlText w:val="(%1)"/>
      <w:numFmt w:val="lowerLetter"/>
      <w:start w:val="3"/>
    </w:lvl>
  </w:abstractNum>
  <w:abstractNum w:abstractNumId="390">
    <w:nsid w:val="232FCF4D"/>
    <w:multiLevelType w:val="hybridMultilevel"/>
    <w:lvl w:ilvl="0">
      <w:lvlJc w:val="left"/>
      <w:lvlText w:val="(%1)"/>
      <w:numFmt w:val="lowerRoman"/>
      <w:start w:val="1"/>
    </w:lvl>
  </w:abstractNum>
  <w:abstractNum w:abstractNumId="391">
    <w:nsid w:val="1EA21031"/>
    <w:multiLevelType w:val="hybridMultilevel"/>
    <w:lvl w:ilvl="0">
      <w:lvlJc w:val="left"/>
      <w:lvlText w:val="(%1)"/>
      <w:numFmt w:val="lowerLetter"/>
      <w:start w:val="1"/>
    </w:lvl>
    <w:lvl w:ilvl="1">
      <w:lvlJc w:val="left"/>
      <w:lvlText w:val="(%2)"/>
      <w:numFmt w:val="lowerRoman"/>
      <w:start w:val="1"/>
    </w:lvl>
  </w:abstractNum>
  <w:abstractNum w:abstractNumId="392">
    <w:nsid w:val="67A5A6B5"/>
    <w:multiLevelType w:val="hybridMultilevel"/>
    <w:lvl w:ilvl="0">
      <w:lvlJc w:val="left"/>
      <w:lvlText w:val="(%1)"/>
      <w:numFmt w:val="lowerLetter"/>
      <w:start w:val="1"/>
    </w:lvl>
  </w:abstractNum>
  <w:abstractNum w:abstractNumId="393">
    <w:nsid w:val="C2A5C5B"/>
    <w:multiLevelType w:val="hybridMultilevel"/>
    <w:lvl w:ilvl="0">
      <w:lvlJc w:val="left"/>
      <w:lvlText w:val="(%1)"/>
      <w:numFmt w:val="lowerLetter"/>
      <w:start w:val="1"/>
    </w:lvl>
    <w:lvl w:ilvl="1">
      <w:lvlJc w:val="left"/>
      <w:lvlText w:val="(%2)"/>
      <w:numFmt w:val="lowerRoman"/>
      <w:start w:val="1"/>
    </w:lvl>
  </w:abstractNum>
  <w:abstractNum w:abstractNumId="394">
    <w:nsid w:val="5F94DC03"/>
    <w:multiLevelType w:val="hybridMultilevel"/>
    <w:lvl w:ilvl="0">
      <w:lvlJc w:val="left"/>
      <w:lvlText w:val="(%1)"/>
      <w:numFmt w:val="lowerLetter"/>
      <w:start w:val="1"/>
    </w:lvl>
  </w:abstractNum>
  <w:abstractNum w:abstractNumId="395">
    <w:nsid w:val="237BBCA0"/>
    <w:multiLevelType w:val="hybridMultilevel"/>
    <w:lvl w:ilvl="0">
      <w:lvlJc w:val="left"/>
      <w:lvlText w:val="(%1)"/>
      <w:numFmt w:val="lowerLetter"/>
      <w:start w:val="1"/>
    </w:lvl>
    <w:lvl w:ilvl="1">
      <w:lvlJc w:val="left"/>
      <w:lvlText w:val="(%2)"/>
      <w:numFmt w:val="lowerRoman"/>
      <w:start w:val="1"/>
    </w:lvl>
  </w:abstractNum>
  <w:abstractNum w:abstractNumId="396">
    <w:nsid w:val="162EB70D"/>
    <w:multiLevelType w:val="hybridMultilevel"/>
    <w:lvl w:ilvl="0">
      <w:lvlJc w:val="left"/>
      <w:lvlText w:val="(%1)"/>
      <w:numFmt w:val="lowerLetter"/>
      <w:start w:val="1"/>
    </w:lvl>
  </w:abstractNum>
  <w:abstractNum w:abstractNumId="397">
    <w:nsid w:val="78070222"/>
    <w:multiLevelType w:val="hybridMultilevel"/>
    <w:lvl w:ilvl="0">
      <w:lvlJc w:val="left"/>
      <w:lvlText w:val="(%1)"/>
      <w:numFmt w:val="lowerLetter"/>
      <w:start w:val="1"/>
    </w:lvl>
    <w:lvl w:ilvl="1">
      <w:lvlJc w:val="left"/>
      <w:lvlText w:val="(%2)"/>
      <w:numFmt w:val="lowerRoman"/>
      <w:start w:val="1"/>
    </w:lvl>
  </w:abstractNum>
  <w:abstractNum w:abstractNumId="398">
    <w:nsid w:val="6163ED0D"/>
    <w:multiLevelType w:val="hybridMultilevel"/>
    <w:lvl w:ilvl="0">
      <w:lvlJc w:val="left"/>
      <w:lvlText w:val="(%1)"/>
      <w:numFmt w:val="lowerLetter"/>
      <w:start w:val="1"/>
    </w:lvl>
    <w:lvl w:ilvl="1">
      <w:lvlJc w:val="left"/>
      <w:lvlText w:val="(%2)"/>
      <w:numFmt w:val="lowerRoman"/>
      <w:start w:val="1"/>
    </w:lvl>
  </w:abstractNum>
  <w:abstractNum w:abstractNumId="399">
    <w:nsid w:val="C600E47"/>
    <w:multiLevelType w:val="hybridMultilevel"/>
    <w:lvl w:ilvl="0">
      <w:lvlJc w:val="left"/>
      <w:lvlText w:val="(%1)"/>
      <w:numFmt w:val="lowerRoman"/>
      <w:start w:val="2"/>
    </w:lvl>
  </w:abstractNum>
  <w:abstractNum w:abstractNumId="400">
    <w:nsid w:val="7D94F75D"/>
    <w:multiLevelType w:val="hybridMultilevel"/>
    <w:lvl w:ilvl="0">
      <w:lvlJc w:val="left"/>
      <w:lvlText w:val="(%1)"/>
      <w:numFmt w:val="lowerLetter"/>
      <w:start w:val="2"/>
    </w:lvl>
    <w:lvl w:ilvl="1">
      <w:lvlJc w:val="left"/>
      <w:lvlText w:val="(%2)"/>
      <w:numFmt w:val="lowerRoman"/>
      <w:start w:val="1"/>
    </w:lvl>
  </w:abstractNum>
  <w:abstractNum w:abstractNumId="401">
    <w:nsid w:val="6C31E7CD"/>
    <w:multiLevelType w:val="hybridMultilevel"/>
    <w:lvl w:ilvl="0">
      <w:lvlJc w:val="left"/>
      <w:lvlText w:val="(%1)"/>
      <w:numFmt w:val="lowerLetter"/>
      <w:start w:val="1"/>
    </w:lvl>
  </w:abstractNum>
  <w:abstractNum w:abstractNumId="402">
    <w:nsid w:val="2BB7929B"/>
    <w:multiLevelType w:val="hybridMultilevel"/>
    <w:lvl w:ilvl="0">
      <w:lvlJc w:val="left"/>
      <w:lvlText w:val="(%1)"/>
      <w:numFmt w:val="lowerLetter"/>
      <w:start w:val="1"/>
    </w:lvl>
  </w:abstractNum>
  <w:abstractNum w:abstractNumId="403">
    <w:nsid w:val="58A2A487"/>
    <w:multiLevelType w:val="hybridMultilevel"/>
    <w:lvl w:ilvl="0">
      <w:lvlJc w:val="left"/>
      <w:lvlText w:val="(%1)"/>
      <w:numFmt w:val="lowerLetter"/>
      <w:start w:val="1"/>
    </w:lvl>
    <w:lvl w:ilvl="1">
      <w:lvlJc w:val="left"/>
      <w:lvlText w:val="(%2)"/>
      <w:numFmt w:val="lowerRoman"/>
      <w:start w:val="1"/>
    </w:lvl>
  </w:abstractNum>
  <w:abstractNum w:abstractNumId="404">
    <w:nsid w:val="3A6F0E78"/>
    <w:multiLevelType w:val="hybridMultilevel"/>
    <w:lvl w:ilvl="0">
      <w:lvlJc w:val="left"/>
      <w:lvlText w:val="(%1)"/>
      <w:numFmt w:val="lowerLetter"/>
      <w:start w:val="3"/>
    </w:lvl>
  </w:abstractNum>
  <w:abstractNum w:abstractNumId="405">
    <w:nsid w:val="379A5B56"/>
    <w:multiLevelType w:val="hybridMultilevel"/>
    <w:lvl w:ilvl="0">
      <w:lvlJc w:val="left"/>
      <w:lvlText w:val="(%1)"/>
      <w:numFmt w:val="lowerLetter"/>
      <w:start w:val="1"/>
    </w:lvl>
    <w:lvl w:ilvl="1">
      <w:lvlJc w:val="left"/>
      <w:lvlText w:val="(%2)"/>
      <w:numFmt w:val="lowerRoman"/>
      <w:start w:val="1"/>
    </w:lvl>
  </w:abstractNum>
  <w:abstractNum w:abstractNumId="406">
    <w:nsid w:val="53B735D5"/>
    <w:multiLevelType w:val="hybridMultilevel"/>
    <w:lvl w:ilvl="0">
      <w:lvlJc w:val="left"/>
      <w:lvlText w:val="(%1)"/>
      <w:numFmt w:val="lowerLetter"/>
      <w:start w:val="1"/>
    </w:lvl>
  </w:abstractNum>
  <w:abstractNum w:abstractNumId="407">
    <w:nsid w:val="29784870"/>
    <w:multiLevelType w:val="hybridMultilevel"/>
    <w:lvl w:ilvl="0">
      <w:lvlJc w:val="left"/>
      <w:lvlText w:val="(%1)"/>
      <w:numFmt w:val="lowerLetter"/>
      <w:start w:val="3"/>
    </w:lvl>
  </w:abstractNum>
  <w:abstractNum w:abstractNumId="408">
    <w:nsid w:val="4CDCED4C"/>
    <w:multiLevelType w:val="hybridMultilevel"/>
    <w:lvl w:ilvl="0">
      <w:lvlJc w:val="left"/>
      <w:lvlText w:val="(%1)"/>
      <w:numFmt w:val="lowerLetter"/>
      <w:start w:val="1"/>
    </w:lvl>
  </w:abstractNum>
  <w:abstractNum w:abstractNumId="409">
    <w:nsid w:val="10A30D9C"/>
    <w:multiLevelType w:val="hybridMultilevel"/>
    <w:lvl w:ilvl="0">
      <w:lvlJc w:val="left"/>
      <w:lvlText w:val="(%1)"/>
      <w:numFmt w:val="lowerLetter"/>
      <w:start w:val="1"/>
    </w:lvl>
  </w:abstractNum>
  <w:abstractNum w:abstractNumId="410">
    <w:nsid w:val="A66E486"/>
    <w:multiLevelType w:val="hybridMultilevel"/>
    <w:lvl w:ilvl="0">
      <w:lvlJc w:val="left"/>
      <w:lvlText w:val="%1."/>
      <w:numFmt w:val="decimal"/>
      <w:start w:val="1"/>
    </w:lvl>
    <w:lvl w:ilvl="1">
      <w:lvlJc w:val="left"/>
      <w:lvlText w:val="%2)"/>
      <w:numFmt w:val="lowerLetter"/>
      <w:start w:val="1"/>
    </w:lvl>
  </w:abstractNum>
  <w:abstractNum w:abstractNumId="411">
    <w:nsid w:val="306235EA"/>
    <w:multiLevelType w:val="hybridMultilevel"/>
    <w:lvl w:ilvl="0">
      <w:lvlJc w:val="left"/>
      <w:lvlText w:val="%1."/>
      <w:numFmt w:val="decimal"/>
      <w:start w:val="1"/>
    </w:lvl>
    <w:lvl w:ilvl="1">
      <w:lvlJc w:val="left"/>
      <w:lvlText w:val="%2)"/>
      <w:numFmt w:val="lowerLetter"/>
      <w:start w:val="1"/>
    </w:lvl>
  </w:abstractNum>
  <w:abstractNum w:abstractNumId="412">
    <w:nsid w:val="1187C70F"/>
    <w:multiLevelType w:val="hybridMultilevel"/>
    <w:lvl w:ilvl="0">
      <w:lvlJc w:val="left"/>
      <w:lvlText w:val="(%1)"/>
      <w:numFmt w:val="lowerRoman"/>
      <w:start w:val="1"/>
    </w:lvl>
  </w:abstractNum>
  <w:abstractNum w:abstractNumId="413">
    <w:nsid w:val="5476DE9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2019-12-07T13:50:07Z</dcterms:created>
  <dcterms:modified xsi:type="dcterms:W3CDTF">2019-12-07T13:50:07Z</dcterms:modified>
</cp:coreProperties>
</file>