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0"/>
              <w:jc w:val="left"/>
              <w:rPr/>
            </w:pPr>
            <w:hyperlink r:id="rId3">
              <w:r>
                <w:rPr>
                  <w:rStyle w:val="InternetLink"/>
                </w:rPr>
                <w:t>0001498403</w:t>
              </w:r>
            </w:hyperlink>
          </w:p>
          <w:tbl>
            <w:tblPr>
              <w:tblW w:w="1771" w:type="dxa"/>
              <w:jc w:val="left"/>
              <w:tblInd w:w="0" w:type="dxa"/>
              <w:tblLayout w:type="fixed"/>
              <w:tblCellMar>
                <w:top w:w="28" w:type="dxa"/>
                <w:left w:w="28" w:type="dxa"/>
                <w:bottom w:w="28" w:type="dxa"/>
                <w:right w:w="28" w:type="dxa"/>
              </w:tblCellMar>
            </w:tblPr>
            <w:tblGrid>
              <w:gridCol w:w="1771"/>
            </w:tblGrid>
            <w:tr>
              <w:trPr/>
              <w:tc>
                <w:tcPr>
                  <w:tcW w:w="177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BioLineRX, Ltd.</w:t>
                  </w:r>
                </w:p>
              </w:tc>
            </w:tr>
          </w:tbl>
          <w:p>
            <w:pPr>
              <w:pStyle w:val="TableContents"/>
              <w:bidi w:val="0"/>
              <w:spacing w:before="0" w:after="283"/>
              <w:jc w:val="left"/>
              <w:rPr/>
            </w:pPr>
            <w:r>
              <w:rPr/>
            </w:r>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BioLineRx Ltd.</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BioLineRx Ltd.</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HAMA'AYAN STREET</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MODI'IN</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7177871</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972-8-642-9100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Serlin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Philip</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BioLineRx Ltd.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HaMa'ayan Street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Modi'in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7177871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Executive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Zeevi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Mali</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BioLineRx Ltd.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HaMa'ayan Street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Modi'in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7177871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Financial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Sorani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Ella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BioLineRx Ltd.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HaMa'ayan Street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Modi'in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7177871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Development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Schwartz</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Aharon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BioLineRx Ltd.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HaMa'ayan Street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Modi'in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7177871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Rami</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BioLineRx Ltd.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HaMa'ayan Street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Modi'in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7177871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Bormann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BJ</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BioLineRx Ltd.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HaMa'ayan Street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Modi'in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7177871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Hofstein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Raphael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BioLineRx Ltd.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HaMa'ayan Street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Modi'in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7177871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Molcho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Avraham</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BioLineRx Ltd.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HaMa'ayan Street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Modi'in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7177871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Panem</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Sandra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BioLineRx Ltd.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HaMa'ayan Street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Modi'in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7177871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Yan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Shaoyu</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BioLineRx Ltd.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HaMa'ayan Street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Modi'in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7177871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Cohen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BioLineRx Ltd.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HaMa'ayan Street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Modi'in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7177871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2026-08-27</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Chardan Capital Markets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000120128</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 Pennsylvania Plaza, Suite 4800</w:t>
            </w:r>
          </w:p>
        </w:tc>
        <w:tc>
          <w:tcPr>
            <w:tcW w:w="3067" w:type="dxa"/>
            <w:tcBorders/>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10119</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486" w:type="dxa"/>
              <w:jc w:val="left"/>
              <w:tblInd w:w="-7" w:type="dxa"/>
              <w:tblLayout w:type="fixed"/>
              <w:tblCellMar>
                <w:top w:w="28" w:type="dxa"/>
                <w:left w:w="28" w:type="dxa"/>
                <w:bottom w:w="28" w:type="dxa"/>
                <w:right w:w="28" w:type="dxa"/>
              </w:tblCellMar>
            </w:tblPr>
            <w:tblGrid>
              <w:gridCol w:w="1486"/>
            </w:tblGrid>
            <w:tr>
              <w:trPr/>
              <w:tc>
                <w:tcPr>
                  <w:tcW w:w="1486"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240" w:type="dxa"/>
        <w:jc w:val="left"/>
        <w:tblInd w:w="0" w:type="dxa"/>
        <w:tblLayout w:type="fixed"/>
        <w:tblCellMar>
          <w:top w:w="28" w:type="dxa"/>
          <w:left w:w="28" w:type="dxa"/>
          <w:bottom w:w="28" w:type="dxa"/>
          <w:right w:w="28" w:type="dxa"/>
        </w:tblCellMar>
      </w:tblPr>
      <w:tblGrid>
        <w:gridCol w:w="3016"/>
        <w:gridCol w:w="126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3,750,000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3,750,000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The securities were issued in connection with an offering of (i) 480,696 American depositary shares (ADSs) and 868,225 pre-funded warrants to purchase ADSs in a registered direct offering, and (ii) unregistered warrants to purchase 2,023,382 ADSs.</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769" w:type="dxa"/>
        <w:jc w:val="left"/>
        <w:tblInd w:w="0" w:type="dxa"/>
        <w:tblLayout w:type="fixed"/>
        <w:tblCellMar>
          <w:top w:w="28" w:type="dxa"/>
          <w:left w:w="28" w:type="dxa"/>
          <w:bottom w:w="28" w:type="dxa"/>
          <w:right w:w="28" w:type="dxa"/>
        </w:tblCellMar>
      </w:tblPr>
      <w:tblGrid>
        <w:gridCol w:w="3086"/>
        <w:gridCol w:w="108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262,500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Chardan is also entitled to 1.0% of the gross proceeds as management fee and $50,000 for accountable expenses.</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The Company intends to use the net proceeds or research and development activities and working capital and general corporate purposes.</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1993"/>
        <w:gridCol w:w="1719"/>
        <w:gridCol w:w="2158"/>
        <w:gridCol w:w="2798"/>
        <w:gridCol w:w="1537"/>
      </w:tblGrid>
      <w:tr>
        <w:trPr>
          <w:tblHeader w:val="true"/>
        </w:trPr>
        <w:tc>
          <w:tcPr>
            <w:tcW w:w="199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71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15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79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53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199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BioLineRx Ltd.</w:t>
            </w:r>
          </w:p>
        </w:tc>
        <w:tc>
          <w:tcPr>
            <w:tcW w:w="171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Mali Zeevi</w:t>
            </w:r>
          </w:p>
        </w:tc>
        <w:tc>
          <w:tcPr>
            <w:tcW w:w="215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Mali Zeevi</w:t>
            </w:r>
          </w:p>
        </w:tc>
        <w:tc>
          <w:tcPr>
            <w:tcW w:w="279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Financial Officer</w:t>
            </w:r>
          </w:p>
        </w:tc>
        <w:tc>
          <w:tcPr>
            <w:tcW w:w="153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2026-09-09</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498403"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checked.jpg" TargetMode="External"/><Relationship Id="rId137" Type="http://schemas.openxmlformats.org/officeDocument/2006/relationships/image" Target="https://cdn.kscope.io/box-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unchecked.jpg" TargetMode="External"/><Relationship Id="rId141" Type="http://schemas.openxmlformats.org/officeDocument/2006/relationships/image" Target="https://cdn.kscope.io/box-unchecked.jpg" TargetMode="External"/><Relationship Id="rId142" Type="http://schemas.openxmlformats.org/officeDocument/2006/relationships/image" Target="https://cdn.kscope.io/box-unchecked.jpg" TargetMode="External"/><Relationship Id="rId143" Type="http://schemas.openxmlformats.org/officeDocument/2006/relationships/image" Target="https://cdn.kscope.io/box-unchecked.jpg" TargetMode="External"/><Relationship Id="rId144" Type="http://schemas.openxmlformats.org/officeDocument/2006/relationships/image" Target="https://cdn.kscope.io/box-unchecked.jpg" TargetMode="External"/><Relationship Id="rId145" Type="http://schemas.openxmlformats.org/officeDocument/2006/relationships/image" Target="https://cdn.kscope.io/box-unchecked.jpg" TargetMode="External"/><Relationship Id="rId146" Type="http://schemas.openxmlformats.org/officeDocument/2006/relationships/numbering" Target="numbering.xml"/><Relationship Id="rId147" Type="http://schemas.openxmlformats.org/officeDocument/2006/relationships/fontTable" Target="fontTable.xml"/><Relationship Id="rId1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1797</Words>
  <Characters>10353</Characters>
  <CharactersWithSpaces>11694</CharactersWithSpaces>
  <Paragraphs>611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