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647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647690"/>
                    </a:xfrm>
                    <a:prstGeom prst="rect">
                      <a:avLst/>
                    </a:prstGeom>
                    <a:noFill/>
                  </pic:spPr>
                </pic:pic>
              </a:graphicData>
            </a:graphic>
          </wp:anchor>
        </w:drawing>
      </w:r>
    </w:p>
    <w:p>
      <w:pPr>
        <w:sectPr>
          <w:pgSz w:w="11900" w:h="16838" w:orient="portrait"/>
          <w:cols w:equalWidth="0" w:num="1">
            <w:col w:w="10940"/>
          </w:cols>
          <w:pgMar w:left="480" w:top="230" w:right="479" w:bottom="70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Dar Rami</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940" w:type="dxa"/>
            <w:vAlign w:val="bottom"/>
            <w:tcBorders>
              <w:top w:val="single" w:sz="8" w:color="0000EE"/>
              <w:bottom w:val="single" w:sz="8" w:color="9A9A9A"/>
            </w:tcBorders>
          </w:tcPr>
          <w:p>
            <w:pPr>
              <w:spacing w:after="0"/>
              <w:rPr>
                <w:sz w:val="17"/>
                <w:szCs w:val="17"/>
                <w:color w:val="auto"/>
              </w:rPr>
            </w:pPr>
          </w:p>
        </w:tc>
        <w:tc>
          <w:tcPr>
            <w:tcW w:w="21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BioLineRx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BLRX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70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20" w:type="dxa"/>
            <w:vAlign w:val="bottom"/>
          </w:tcPr>
          <w:p>
            <w:pPr>
              <w:ind w:left="40"/>
              <w:spacing w:after="0"/>
              <w:rPr>
                <w:sz w:val="20"/>
                <w:szCs w:val="20"/>
                <w:color w:val="auto"/>
              </w:rPr>
            </w:pPr>
            <w:r>
              <w:rPr>
                <w:rFonts w:ascii="Arial" w:cs="Arial" w:eastAsia="Arial" w:hAnsi="Arial"/>
                <w:sz w:val="15"/>
                <w:szCs w:val="15"/>
                <w:color w:val="auto"/>
              </w:rPr>
              <w:t>(Last)</w:t>
            </w:r>
          </w:p>
        </w:tc>
        <w:tc>
          <w:tcPr>
            <w:tcW w:w="1080" w:type="dxa"/>
            <w:vAlign w:val="bottom"/>
          </w:tcPr>
          <w:p>
            <w:pPr>
              <w:ind w:left="140"/>
              <w:spacing w:after="0"/>
              <w:rPr>
                <w:sz w:val="20"/>
                <w:szCs w:val="20"/>
                <w:color w:val="auto"/>
              </w:rPr>
            </w:pPr>
            <w:r>
              <w:rPr>
                <w:rFonts w:ascii="Arial" w:cs="Arial" w:eastAsia="Arial" w:hAnsi="Arial"/>
                <w:sz w:val="15"/>
                <w:szCs w:val="15"/>
                <w:color w:val="auto"/>
              </w:rPr>
              <w:t>(First)</w:t>
            </w:r>
          </w:p>
        </w:tc>
        <w:tc>
          <w:tcPr>
            <w:tcW w:w="1100" w:type="dxa"/>
            <w:vAlign w:val="bottom"/>
          </w:tcPr>
          <w:p>
            <w:pPr>
              <w:ind w:left="100"/>
              <w:spacing w:after="0"/>
              <w:rPr>
                <w:sz w:val="20"/>
                <w:szCs w:val="20"/>
                <w:color w:val="auto"/>
              </w:rPr>
            </w:pPr>
            <w:r>
              <w:rPr>
                <w:rFonts w:ascii="Arial" w:cs="Arial" w:eastAsia="Arial" w:hAnsi="Arial"/>
                <w:sz w:val="15"/>
                <w:szCs w:val="15"/>
                <w:color w:val="auto"/>
              </w:rPr>
              <w:t>(Middle)</w:t>
            </w:r>
          </w:p>
        </w:tc>
      </w:tr>
      <w:tr>
        <w:trPr>
          <w:trHeight w:val="310"/>
        </w:trPr>
        <w:tc>
          <w:tcPr>
            <w:tcW w:w="2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9"/>
              </w:rPr>
              <w:t>C/O BIOLINERX LTD.</w:t>
            </w:r>
          </w:p>
        </w:tc>
        <w:tc>
          <w:tcPr>
            <w:tcW w:w="110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2 HAMA'AYAN STREET</w:t>
            </w:r>
          </w:p>
        </w:tc>
      </w:tr>
      <w:tr>
        <w:trPr>
          <w:trHeight w:val="177"/>
        </w:trPr>
        <w:tc>
          <w:tcPr>
            <w:tcW w:w="9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r>
      <w:tr>
        <w:trPr>
          <w:trHeight w:val="303"/>
        </w:trPr>
        <w:tc>
          <w:tcPr>
            <w:tcW w:w="920" w:type="dxa"/>
            <w:vAlign w:val="bottom"/>
          </w:tcPr>
          <w:p>
            <w:pPr>
              <w:spacing w:after="0"/>
              <w:rPr>
                <w:sz w:val="20"/>
                <w:szCs w:val="20"/>
                <w:color w:val="auto"/>
              </w:rPr>
            </w:pPr>
            <w:r>
              <w:rPr>
                <w:rFonts w:ascii="Arial" w:cs="Arial" w:eastAsia="Arial" w:hAnsi="Arial"/>
                <w:sz w:val="15"/>
                <w:szCs w:val="15"/>
                <w:color w:val="auto"/>
              </w:rPr>
              <w:t>(Street)</w:t>
            </w: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65"/>
        </w:trPr>
        <w:tc>
          <w:tcPr>
            <w:tcW w:w="9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MODII'N</w:t>
            </w:r>
          </w:p>
        </w:tc>
        <w:tc>
          <w:tcPr>
            <w:tcW w:w="1080" w:type="dxa"/>
            <w:vAlign w:val="bottom"/>
          </w:tcPr>
          <w:p>
            <w:pPr>
              <w:ind w:left="140"/>
              <w:spacing w:after="0"/>
              <w:rPr>
                <w:sz w:val="20"/>
                <w:szCs w:val="20"/>
                <w:color w:val="auto"/>
              </w:rPr>
            </w:pPr>
            <w:r>
              <w:rPr>
                <w:rFonts w:ascii="Times New Roman" w:cs="Times New Roman" w:eastAsia="Times New Roman" w:hAnsi="Times New Roman"/>
                <w:sz w:val="20"/>
                <w:szCs w:val="20"/>
                <w:color w:val="0000FF"/>
              </w:rPr>
              <w:t>L3</w:t>
            </w:r>
          </w:p>
        </w:tc>
        <w:tc>
          <w:tcPr>
            <w:tcW w:w="110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7177871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70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4740" w:type="dxa"/>
            <w:vAlign w:val="bottom"/>
            <w:gridSpan w:val="3"/>
          </w:tcPr>
          <w:p>
            <w:pPr>
              <w:ind w:left="80"/>
              <w:spacing w:after="0"/>
              <w:rPr>
                <w:sz w:val="20"/>
                <w:szCs w:val="20"/>
                <w:color w:val="auto"/>
              </w:rPr>
            </w:pPr>
            <w:r>
              <w:rPr>
                <w:rFonts w:ascii="Arial" w:cs="Arial" w:eastAsia="Arial" w:hAnsi="Arial"/>
                <w:sz w:val="15"/>
                <w:szCs w:val="15"/>
                <w:b w:val="1"/>
                <w:bCs w:val="1"/>
                <w:color w:val="auto"/>
              </w:rPr>
              <w:t>1. Title of Derivative Security (Instr. 4)  2. Date Exercisable and</w:t>
            </w:r>
          </w:p>
        </w:tc>
        <w:tc>
          <w:tcPr>
            <w:tcW w:w="28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0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8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8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1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7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8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0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8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740" w:type="dxa"/>
            <w:vAlign w:val="bottom"/>
            <w:vMerge w:val="restart"/>
          </w:tcPr>
          <w:p>
            <w:pPr>
              <w:ind w:left="72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8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740" w:type="dxa"/>
            <w:vAlign w:val="bottom"/>
            <w:vMerge w:val="continue"/>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0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8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1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740" w:type="dxa"/>
            <w:vAlign w:val="bottom"/>
          </w:tcPr>
          <w:p>
            <w:pPr>
              <w:ind w:left="72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8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100" w:type="dxa"/>
            <w:vAlign w:val="bottom"/>
            <w:vMerge w:val="continue"/>
          </w:tcPr>
          <w:p>
            <w:pPr>
              <w:spacing w:after="0"/>
              <w:rPr>
                <w:sz w:val="17"/>
                <w:szCs w:val="17"/>
                <w:color w:val="auto"/>
              </w:rPr>
            </w:pPr>
          </w:p>
        </w:tc>
        <w:tc>
          <w:tcPr>
            <w:tcW w:w="1740" w:type="dxa"/>
            <w:vAlign w:val="bottom"/>
          </w:tcPr>
          <w:p>
            <w:pPr>
              <w:ind w:left="72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8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44" w:lineRule="exact"/>
        <w:rPr>
          <w:sz w:val="24"/>
          <w:szCs w:val="24"/>
          <w:color w:val="auto"/>
        </w:rPr>
      </w:pPr>
    </w:p>
    <w:tbl>
      <w:tblPr>
        <w:tblLayout w:type="fixed"/>
        <w:tblInd w:w="20" w:type="dxa"/>
        <w:tblCellMar>
          <w:top w:w="0" w:type="dxa"/>
          <w:left w:w="0" w:type="dxa"/>
          <w:bottom w:w="0" w:type="dxa"/>
          <w:right w:w="0" w:type="dxa"/>
        </w:tblCellMar>
      </w:tblPr>
      <w:tr>
        <w:trPr>
          <w:trHeight w:val="240"/>
        </w:trPr>
        <w:tc>
          <w:tcPr>
            <w:tcW w:w="28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960" w:type="dxa"/>
            <w:vAlign w:val="bottom"/>
            <w:vMerge w:val="restart"/>
          </w:tcPr>
          <w:p>
            <w:pPr>
              <w:jc w:val="right"/>
              <w:ind w:right="45"/>
              <w:spacing w:after="0"/>
              <w:rPr>
                <w:sz w:val="20"/>
                <w:szCs w:val="20"/>
                <w:color w:val="auto"/>
              </w:rPr>
            </w:pPr>
            <w:r>
              <w:rPr>
                <w:rFonts w:ascii="Times New Roman" w:cs="Times New Roman" w:eastAsia="Times New Roman" w:hAnsi="Times New Roman"/>
                <w:sz w:val="15"/>
                <w:szCs w:val="15"/>
                <w:color w:val="0000FF"/>
              </w:rPr>
              <w:t>10/03/2022</w:t>
            </w:r>
          </w:p>
        </w:tc>
        <w:tc>
          <w:tcPr>
            <w:tcW w:w="980" w:type="dxa"/>
            <w:vAlign w:val="bottom"/>
            <w:vMerge w:val="restart"/>
          </w:tcPr>
          <w:p>
            <w:pPr>
              <w:jc w:val="right"/>
              <w:ind w:right="85"/>
              <w:spacing w:after="0"/>
              <w:rPr>
                <w:sz w:val="20"/>
                <w:szCs w:val="20"/>
                <w:color w:val="auto"/>
              </w:rPr>
            </w:pPr>
            <w:r>
              <w:rPr>
                <w:rFonts w:ascii="Times New Roman" w:cs="Times New Roman" w:eastAsia="Times New Roman" w:hAnsi="Times New Roman"/>
                <w:sz w:val="15"/>
                <w:szCs w:val="15"/>
                <w:color w:val="0000FF"/>
              </w:rPr>
              <w:t>07/03/2032</w:t>
            </w:r>
          </w:p>
        </w:tc>
        <w:tc>
          <w:tcPr>
            <w:tcW w:w="162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Ordinary Shares</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1,080,000</w:t>
            </w:r>
          </w:p>
        </w:tc>
        <w:tc>
          <w:tcPr>
            <w:tcW w:w="940" w:type="dxa"/>
            <w:vAlign w:val="bottom"/>
            <w:vMerge w:val="restart"/>
          </w:tcPr>
          <w:p>
            <w:pPr>
              <w:jc w:val="right"/>
              <w:ind w:right="242"/>
              <w:spacing w:after="0"/>
              <w:rPr>
                <w:sz w:val="20"/>
                <w:szCs w:val="20"/>
                <w:color w:val="auto"/>
              </w:rPr>
            </w:pPr>
            <w:r>
              <w:rPr>
                <w:rFonts w:ascii="Times New Roman" w:cs="Times New Roman" w:eastAsia="Times New Roman" w:hAnsi="Times New Roman"/>
                <w:sz w:val="20"/>
                <w:szCs w:val="20"/>
                <w:color w:val="0000FF"/>
              </w:rPr>
              <w:t>0.085</w:t>
            </w:r>
          </w:p>
        </w:tc>
        <w:tc>
          <w:tcPr>
            <w:tcW w:w="228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D</w:t>
            </w:r>
          </w:p>
        </w:tc>
        <w:tc>
          <w:tcPr>
            <w:tcW w:w="0" w:type="dxa"/>
            <w:vAlign w:val="bottom"/>
          </w:tcPr>
          <w:p>
            <w:pPr>
              <w:spacing w:after="0"/>
              <w:rPr>
                <w:sz w:val="1"/>
                <w:szCs w:val="1"/>
                <w:color w:val="auto"/>
              </w:rPr>
            </w:pPr>
          </w:p>
        </w:tc>
      </w:tr>
      <w:tr>
        <w:trPr>
          <w:trHeight w:val="134"/>
        </w:trPr>
        <w:tc>
          <w:tcPr>
            <w:tcW w:w="2860" w:type="dxa"/>
            <w:vAlign w:val="bottom"/>
            <w:vMerge w:val="restart"/>
          </w:tcPr>
          <w:p>
            <w:pPr>
              <w:ind w:left="80"/>
              <w:spacing w:after="0" w:line="316" w:lineRule="exact"/>
              <w:rPr>
                <w:sz w:val="20"/>
                <w:szCs w:val="20"/>
                <w:color w:val="auto"/>
              </w:rPr>
            </w:pPr>
            <w:r>
              <w:rPr>
                <w:rFonts w:ascii="Times New Roman" w:cs="Times New Roman" w:eastAsia="Times New Roman" w:hAnsi="Times New Roman"/>
                <w:sz w:val="36"/>
                <w:szCs w:val="36"/>
                <w:color w:val="0000FF"/>
                <w:vertAlign w:val="subscript"/>
              </w:rPr>
              <w:t>Buy)</w:t>
            </w:r>
            <w:r>
              <w:rPr>
                <w:rFonts w:ascii="Times New Roman" w:cs="Times New Roman" w:eastAsia="Times New Roman" w:hAnsi="Times New Roman"/>
                <w:sz w:val="12"/>
                <w:szCs w:val="12"/>
                <w:color w:val="008000"/>
              </w:rPr>
              <w:t>(1)(2)</w:t>
            </w:r>
          </w:p>
        </w:tc>
        <w:tc>
          <w:tcPr>
            <w:tcW w:w="9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62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2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860" w:type="dxa"/>
            <w:vAlign w:val="bottom"/>
            <w:tcBorders>
              <w:bottom w:val="single" w:sz="8" w:color="2C2C2C"/>
            </w:tcBorders>
            <w:vMerge w:val="continue"/>
          </w:tcPr>
          <w:p>
            <w:pPr>
              <w:spacing w:after="0"/>
              <w:rPr>
                <w:sz w:val="16"/>
                <w:szCs w:val="16"/>
                <w:color w:val="auto"/>
              </w:rPr>
            </w:pPr>
          </w:p>
        </w:tc>
        <w:tc>
          <w:tcPr>
            <w:tcW w:w="96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1620" w:type="dxa"/>
            <w:vAlign w:val="bottom"/>
            <w:tcBorders>
              <w:bottom w:val="single" w:sz="8" w:color="2C2C2C"/>
            </w:tcBorders>
          </w:tcPr>
          <w:p>
            <w:pPr>
              <w:spacing w:after="0"/>
              <w:rPr>
                <w:sz w:val="16"/>
                <w:szCs w:val="16"/>
                <w:color w:val="auto"/>
              </w:rPr>
            </w:pPr>
          </w:p>
        </w:tc>
        <w:tc>
          <w:tcPr>
            <w:tcW w:w="126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228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8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960" w:type="dxa"/>
            <w:vAlign w:val="bottom"/>
            <w:vMerge w:val="restart"/>
          </w:tcPr>
          <w:p>
            <w:pPr>
              <w:jc w:val="right"/>
              <w:ind w:right="45"/>
              <w:spacing w:after="0"/>
              <w:rPr>
                <w:sz w:val="20"/>
                <w:szCs w:val="20"/>
                <w:color w:val="auto"/>
              </w:rPr>
            </w:pPr>
            <w:r>
              <w:rPr>
                <w:rFonts w:ascii="Times New Roman" w:cs="Times New Roman" w:eastAsia="Times New Roman" w:hAnsi="Times New Roman"/>
                <w:sz w:val="15"/>
                <w:szCs w:val="15"/>
                <w:color w:val="0000FF"/>
              </w:rPr>
              <w:t>10/03/2023</w:t>
            </w:r>
          </w:p>
        </w:tc>
        <w:tc>
          <w:tcPr>
            <w:tcW w:w="980" w:type="dxa"/>
            <w:vAlign w:val="bottom"/>
            <w:vMerge w:val="restart"/>
          </w:tcPr>
          <w:p>
            <w:pPr>
              <w:jc w:val="right"/>
              <w:ind w:right="85"/>
              <w:spacing w:after="0"/>
              <w:rPr>
                <w:sz w:val="20"/>
                <w:szCs w:val="20"/>
                <w:color w:val="auto"/>
              </w:rPr>
            </w:pPr>
            <w:r>
              <w:rPr>
                <w:rFonts w:ascii="Times New Roman" w:cs="Times New Roman" w:eastAsia="Times New Roman" w:hAnsi="Times New Roman"/>
                <w:sz w:val="15"/>
                <w:szCs w:val="15"/>
                <w:color w:val="0000FF"/>
              </w:rPr>
              <w:t>07/03/2033</w:t>
            </w:r>
          </w:p>
        </w:tc>
        <w:tc>
          <w:tcPr>
            <w:tcW w:w="162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Ordinary Shares</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360,000</w:t>
            </w:r>
          </w:p>
        </w:tc>
        <w:tc>
          <w:tcPr>
            <w:tcW w:w="940" w:type="dxa"/>
            <w:vAlign w:val="bottom"/>
            <w:vMerge w:val="restart"/>
          </w:tcPr>
          <w:p>
            <w:pPr>
              <w:jc w:val="right"/>
              <w:ind w:right="242"/>
              <w:spacing w:after="0"/>
              <w:rPr>
                <w:sz w:val="20"/>
                <w:szCs w:val="20"/>
                <w:color w:val="auto"/>
              </w:rPr>
            </w:pPr>
            <w:r>
              <w:rPr>
                <w:rFonts w:ascii="Times New Roman" w:cs="Times New Roman" w:eastAsia="Times New Roman" w:hAnsi="Times New Roman"/>
                <w:sz w:val="20"/>
                <w:szCs w:val="20"/>
                <w:color w:val="0000FF"/>
              </w:rPr>
              <w:t>0.081</w:t>
            </w:r>
          </w:p>
        </w:tc>
        <w:tc>
          <w:tcPr>
            <w:tcW w:w="228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D</w:t>
            </w:r>
          </w:p>
        </w:tc>
        <w:tc>
          <w:tcPr>
            <w:tcW w:w="0" w:type="dxa"/>
            <w:vAlign w:val="bottom"/>
          </w:tcPr>
          <w:p>
            <w:pPr>
              <w:spacing w:after="0"/>
              <w:rPr>
                <w:sz w:val="1"/>
                <w:szCs w:val="1"/>
                <w:color w:val="auto"/>
              </w:rPr>
            </w:pPr>
          </w:p>
        </w:tc>
      </w:tr>
      <w:tr>
        <w:trPr>
          <w:trHeight w:val="134"/>
        </w:trPr>
        <w:tc>
          <w:tcPr>
            <w:tcW w:w="2860" w:type="dxa"/>
            <w:vAlign w:val="bottom"/>
            <w:vMerge w:val="restart"/>
          </w:tcPr>
          <w:p>
            <w:pPr>
              <w:ind w:left="80"/>
              <w:spacing w:after="0" w:line="316" w:lineRule="exact"/>
              <w:rPr>
                <w:sz w:val="20"/>
                <w:szCs w:val="20"/>
                <w:color w:val="auto"/>
              </w:rPr>
            </w:pPr>
            <w:r>
              <w:rPr>
                <w:rFonts w:ascii="Times New Roman" w:cs="Times New Roman" w:eastAsia="Times New Roman" w:hAnsi="Times New Roman"/>
                <w:sz w:val="36"/>
                <w:szCs w:val="36"/>
                <w:color w:val="0000FF"/>
                <w:vertAlign w:val="subscript"/>
              </w:rPr>
              <w:t>Buy)</w:t>
            </w:r>
            <w:r>
              <w:rPr>
                <w:rFonts w:ascii="Times New Roman" w:cs="Times New Roman" w:eastAsia="Times New Roman" w:hAnsi="Times New Roman"/>
                <w:sz w:val="12"/>
                <w:szCs w:val="12"/>
                <w:color w:val="008000"/>
              </w:rPr>
              <w:t>(1)(3)</w:t>
            </w:r>
          </w:p>
        </w:tc>
        <w:tc>
          <w:tcPr>
            <w:tcW w:w="9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62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2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860" w:type="dxa"/>
            <w:vAlign w:val="bottom"/>
            <w:tcBorders>
              <w:bottom w:val="single" w:sz="8" w:color="2C2C2C"/>
            </w:tcBorders>
            <w:vMerge w:val="continue"/>
          </w:tcPr>
          <w:p>
            <w:pPr>
              <w:spacing w:after="0"/>
              <w:rPr>
                <w:sz w:val="16"/>
                <w:szCs w:val="16"/>
                <w:color w:val="auto"/>
              </w:rPr>
            </w:pPr>
          </w:p>
        </w:tc>
        <w:tc>
          <w:tcPr>
            <w:tcW w:w="96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1620" w:type="dxa"/>
            <w:vAlign w:val="bottom"/>
            <w:tcBorders>
              <w:bottom w:val="single" w:sz="8" w:color="2C2C2C"/>
            </w:tcBorders>
          </w:tcPr>
          <w:p>
            <w:pPr>
              <w:spacing w:after="0"/>
              <w:rPr>
                <w:sz w:val="16"/>
                <w:szCs w:val="16"/>
                <w:color w:val="auto"/>
              </w:rPr>
            </w:pPr>
          </w:p>
        </w:tc>
        <w:tc>
          <w:tcPr>
            <w:tcW w:w="126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228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8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960" w:type="dxa"/>
            <w:vAlign w:val="bottom"/>
            <w:vMerge w:val="restart"/>
          </w:tcPr>
          <w:p>
            <w:pPr>
              <w:jc w:val="right"/>
              <w:ind w:right="45"/>
              <w:spacing w:after="0"/>
              <w:rPr>
                <w:sz w:val="20"/>
                <w:szCs w:val="20"/>
                <w:color w:val="auto"/>
              </w:rPr>
            </w:pPr>
            <w:r>
              <w:rPr>
                <w:rFonts w:ascii="Times New Roman" w:cs="Times New Roman" w:eastAsia="Times New Roman" w:hAnsi="Times New Roman"/>
                <w:sz w:val="15"/>
                <w:szCs w:val="15"/>
                <w:color w:val="0000FF"/>
              </w:rPr>
              <w:t>10/03/2024</w:t>
            </w:r>
          </w:p>
        </w:tc>
        <w:tc>
          <w:tcPr>
            <w:tcW w:w="980" w:type="dxa"/>
            <w:vAlign w:val="bottom"/>
            <w:vMerge w:val="restart"/>
          </w:tcPr>
          <w:p>
            <w:pPr>
              <w:jc w:val="right"/>
              <w:ind w:right="85"/>
              <w:spacing w:after="0"/>
              <w:rPr>
                <w:sz w:val="20"/>
                <w:szCs w:val="20"/>
                <w:color w:val="auto"/>
              </w:rPr>
            </w:pPr>
            <w:r>
              <w:rPr>
                <w:rFonts w:ascii="Times New Roman" w:cs="Times New Roman" w:eastAsia="Times New Roman" w:hAnsi="Times New Roman"/>
                <w:sz w:val="15"/>
                <w:szCs w:val="15"/>
                <w:color w:val="0000FF"/>
              </w:rPr>
              <w:t>07/03/2032</w:t>
            </w:r>
          </w:p>
        </w:tc>
        <w:tc>
          <w:tcPr>
            <w:tcW w:w="162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Ordinary Shares</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2"/>
              </w:rPr>
              <w:t>360,000</w:t>
            </w:r>
            <w:r>
              <w:rPr>
                <w:rFonts w:ascii="Times New Roman" w:cs="Times New Roman" w:eastAsia="Times New Roman" w:hAnsi="Times New Roman"/>
                <w:sz w:val="25"/>
                <w:szCs w:val="25"/>
                <w:color w:val="008000"/>
                <w:w w:val="92"/>
                <w:vertAlign w:val="superscript"/>
              </w:rPr>
              <w:t>(6)</w:t>
            </w:r>
          </w:p>
        </w:tc>
        <w:tc>
          <w:tcPr>
            <w:tcW w:w="940" w:type="dxa"/>
            <w:vAlign w:val="bottom"/>
            <w:vMerge w:val="restart"/>
          </w:tcPr>
          <w:p>
            <w:pPr>
              <w:jc w:val="right"/>
              <w:ind w:right="242"/>
              <w:spacing w:after="0"/>
              <w:rPr>
                <w:sz w:val="20"/>
                <w:szCs w:val="20"/>
                <w:color w:val="auto"/>
              </w:rPr>
            </w:pPr>
            <w:r>
              <w:rPr>
                <w:rFonts w:ascii="Times New Roman" w:cs="Times New Roman" w:eastAsia="Times New Roman" w:hAnsi="Times New Roman"/>
                <w:sz w:val="20"/>
                <w:szCs w:val="20"/>
                <w:color w:val="0000FF"/>
              </w:rPr>
              <w:t>0.085</w:t>
            </w:r>
          </w:p>
        </w:tc>
        <w:tc>
          <w:tcPr>
            <w:tcW w:w="228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D</w:t>
            </w:r>
          </w:p>
        </w:tc>
        <w:tc>
          <w:tcPr>
            <w:tcW w:w="0" w:type="dxa"/>
            <w:vAlign w:val="bottom"/>
          </w:tcPr>
          <w:p>
            <w:pPr>
              <w:spacing w:after="0"/>
              <w:rPr>
                <w:sz w:val="1"/>
                <w:szCs w:val="1"/>
                <w:color w:val="auto"/>
              </w:rPr>
            </w:pPr>
          </w:p>
        </w:tc>
      </w:tr>
      <w:tr>
        <w:trPr>
          <w:trHeight w:val="196"/>
        </w:trPr>
        <w:tc>
          <w:tcPr>
            <w:tcW w:w="2860" w:type="dxa"/>
            <w:vAlign w:val="bottom"/>
            <w:vMerge w:val="restart"/>
          </w:tcPr>
          <w:p>
            <w:pPr>
              <w:ind w:left="80"/>
              <w:spacing w:after="0" w:line="316" w:lineRule="exact"/>
              <w:rPr>
                <w:sz w:val="20"/>
                <w:szCs w:val="20"/>
                <w:color w:val="auto"/>
              </w:rPr>
            </w:pPr>
            <w:r>
              <w:rPr>
                <w:rFonts w:ascii="Times New Roman" w:cs="Times New Roman" w:eastAsia="Times New Roman" w:hAnsi="Times New Roman"/>
                <w:sz w:val="36"/>
                <w:szCs w:val="36"/>
                <w:color w:val="0000FF"/>
                <w:vertAlign w:val="subscript"/>
              </w:rPr>
              <w:t>Buy)</w:t>
            </w:r>
            <w:r>
              <w:rPr>
                <w:rFonts w:ascii="Times New Roman" w:cs="Times New Roman" w:eastAsia="Times New Roman" w:hAnsi="Times New Roman"/>
                <w:sz w:val="12"/>
                <w:szCs w:val="12"/>
                <w:color w:val="008000"/>
              </w:rPr>
              <w:t>(1)(4)</w:t>
            </w:r>
          </w:p>
        </w:tc>
        <w:tc>
          <w:tcPr>
            <w:tcW w:w="96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6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2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860" w:type="dxa"/>
            <w:vAlign w:val="bottom"/>
            <w:tcBorders>
              <w:bottom w:val="single" w:sz="8" w:color="2C2C2C"/>
            </w:tcBorders>
            <w:vMerge w:val="continue"/>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tcPr>
          <w:p>
            <w:pPr>
              <w:spacing w:after="0"/>
              <w:rPr>
                <w:sz w:val="11"/>
                <w:szCs w:val="11"/>
                <w:color w:val="auto"/>
              </w:rPr>
            </w:pPr>
          </w:p>
        </w:tc>
        <w:tc>
          <w:tcPr>
            <w:tcW w:w="126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28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960" w:type="dxa"/>
            <w:vAlign w:val="bottom"/>
            <w:vMerge w:val="restart"/>
          </w:tcPr>
          <w:p>
            <w:pPr>
              <w:jc w:val="right"/>
              <w:ind w:right="45"/>
              <w:spacing w:after="0"/>
              <w:rPr>
                <w:sz w:val="20"/>
                <w:szCs w:val="20"/>
                <w:color w:val="auto"/>
              </w:rPr>
            </w:pPr>
            <w:r>
              <w:rPr>
                <w:rFonts w:ascii="Times New Roman" w:cs="Times New Roman" w:eastAsia="Times New Roman" w:hAnsi="Times New Roman"/>
                <w:sz w:val="15"/>
                <w:szCs w:val="15"/>
                <w:color w:val="0000FF"/>
              </w:rPr>
              <w:t>01/01/2025</w:t>
            </w:r>
          </w:p>
        </w:tc>
        <w:tc>
          <w:tcPr>
            <w:tcW w:w="980" w:type="dxa"/>
            <w:vAlign w:val="bottom"/>
            <w:vMerge w:val="restart"/>
          </w:tcPr>
          <w:p>
            <w:pPr>
              <w:jc w:val="right"/>
              <w:ind w:right="85"/>
              <w:spacing w:after="0"/>
              <w:rPr>
                <w:sz w:val="20"/>
                <w:szCs w:val="20"/>
                <w:color w:val="auto"/>
              </w:rPr>
            </w:pPr>
            <w:r>
              <w:rPr>
                <w:rFonts w:ascii="Times New Roman" w:cs="Times New Roman" w:eastAsia="Times New Roman" w:hAnsi="Times New Roman"/>
                <w:sz w:val="15"/>
                <w:szCs w:val="15"/>
                <w:color w:val="0000FF"/>
              </w:rPr>
              <w:t>08/14/2034</w:t>
            </w:r>
          </w:p>
        </w:tc>
        <w:tc>
          <w:tcPr>
            <w:tcW w:w="162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Ordinary Shares</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2"/>
              </w:rPr>
              <w:t>2,055,000</w:t>
            </w:r>
            <w:r>
              <w:rPr>
                <w:rFonts w:ascii="Times New Roman" w:cs="Times New Roman" w:eastAsia="Times New Roman" w:hAnsi="Times New Roman"/>
                <w:sz w:val="25"/>
                <w:szCs w:val="25"/>
                <w:color w:val="008000"/>
                <w:w w:val="92"/>
                <w:vertAlign w:val="superscript"/>
              </w:rPr>
              <w:t>(6)</w:t>
            </w:r>
          </w:p>
        </w:tc>
        <w:tc>
          <w:tcPr>
            <w:tcW w:w="940" w:type="dxa"/>
            <w:vAlign w:val="bottom"/>
            <w:vMerge w:val="restart"/>
          </w:tcPr>
          <w:p>
            <w:pPr>
              <w:jc w:val="right"/>
              <w:ind w:right="242"/>
              <w:spacing w:after="0"/>
              <w:rPr>
                <w:sz w:val="20"/>
                <w:szCs w:val="20"/>
                <w:color w:val="auto"/>
              </w:rPr>
            </w:pPr>
            <w:r>
              <w:rPr>
                <w:rFonts w:ascii="Times New Roman" w:cs="Times New Roman" w:eastAsia="Times New Roman" w:hAnsi="Times New Roman"/>
                <w:sz w:val="20"/>
                <w:szCs w:val="20"/>
                <w:color w:val="0000FF"/>
              </w:rPr>
              <w:t>0.052</w:t>
            </w:r>
          </w:p>
        </w:tc>
        <w:tc>
          <w:tcPr>
            <w:tcW w:w="228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D</w:t>
            </w:r>
          </w:p>
        </w:tc>
        <w:tc>
          <w:tcPr>
            <w:tcW w:w="0" w:type="dxa"/>
            <w:vAlign w:val="bottom"/>
          </w:tcPr>
          <w:p>
            <w:pPr>
              <w:spacing w:after="0"/>
              <w:rPr>
                <w:sz w:val="1"/>
                <w:szCs w:val="1"/>
                <w:color w:val="auto"/>
              </w:rPr>
            </w:pPr>
          </w:p>
        </w:tc>
      </w:tr>
      <w:tr>
        <w:trPr>
          <w:trHeight w:val="196"/>
        </w:trPr>
        <w:tc>
          <w:tcPr>
            <w:tcW w:w="2860" w:type="dxa"/>
            <w:vAlign w:val="bottom"/>
            <w:vMerge w:val="restart"/>
          </w:tcPr>
          <w:p>
            <w:pPr>
              <w:ind w:left="80"/>
              <w:spacing w:after="0" w:line="389" w:lineRule="exact"/>
              <w:rPr>
                <w:sz w:val="20"/>
                <w:szCs w:val="20"/>
                <w:color w:val="auto"/>
              </w:rPr>
            </w:pPr>
            <w:r>
              <w:rPr>
                <w:rFonts w:ascii="Times New Roman" w:cs="Times New Roman" w:eastAsia="Times New Roman" w:hAnsi="Times New Roman"/>
                <w:sz w:val="39"/>
                <w:szCs w:val="39"/>
                <w:color w:val="0000FF"/>
                <w:vertAlign w:val="subscript"/>
              </w:rPr>
              <w:t>Buy)</w:t>
            </w:r>
            <w:r>
              <w:rPr>
                <w:rFonts w:ascii="Times New Roman" w:cs="Times New Roman" w:eastAsia="Times New Roman" w:hAnsi="Times New Roman"/>
                <w:sz w:val="13"/>
                <w:szCs w:val="13"/>
                <w:color w:val="008000"/>
              </w:rPr>
              <w:t>(1)(5)</w:t>
            </w:r>
          </w:p>
        </w:tc>
        <w:tc>
          <w:tcPr>
            <w:tcW w:w="96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6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2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860" w:type="dxa"/>
            <w:vAlign w:val="bottom"/>
            <w:vMerge w:val="continue"/>
          </w:tcPr>
          <w:p>
            <w:pPr>
              <w:spacing w:after="0"/>
              <w:rPr>
                <w:sz w:val="16"/>
                <w:szCs w:val="16"/>
                <w:color w:val="auto"/>
              </w:rPr>
            </w:pPr>
          </w:p>
        </w:tc>
        <w:tc>
          <w:tcPr>
            <w:tcW w:w="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39" w:lineRule="exact"/>
        <w:rPr>
          <w:sz w:val="24"/>
          <w:szCs w:val="24"/>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Options granted under the 2003 Amended and Restated Share Incentive Plan.</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grant date of this grant is July 3, 2022. This option grant is fully vested as of this date.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grant date of this grant is July 3, 2023. This option grant is fully vested as of this date.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grant date of this grant is July 3, 2024. This option grant is fully vested as of this date.</w:t>
      </w:r>
    </w:p>
    <w:p>
      <w:pPr>
        <w:spacing w:after="0" w:line="52" w:lineRule="exact"/>
        <w:rPr>
          <w:rFonts w:ascii="Times New Roman" w:cs="Times New Roman" w:eastAsia="Times New Roman" w:hAnsi="Times New Roman"/>
          <w:sz w:val="15"/>
          <w:szCs w:val="15"/>
          <w:color w:val="008000"/>
        </w:rPr>
      </w:pPr>
    </w:p>
    <w:p>
      <w:pPr>
        <w:ind w:left="40" w:right="18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grant date of this grant is October 1, 2024. As of this date, 856,200 of the options were vested as of the date of appointment. The remaining 1,198,800 options will vest in 7 equal quarterly installments, subject to the Reporting Person's continued service to the Issuer as of each vesting date.</w:t>
      </w:r>
    </w:p>
    <w:p>
      <w:pPr>
        <w:spacing w:after="0" w:line="17" w:lineRule="exact"/>
        <w:rPr>
          <w:rFonts w:ascii="Times New Roman" w:cs="Times New Roman" w:eastAsia="Times New Roman" w:hAnsi="Times New Roman"/>
          <w:sz w:val="15"/>
          <w:szCs w:val="15"/>
          <w:color w:val="008000"/>
        </w:rPr>
      </w:pPr>
    </w:p>
    <w:p>
      <w:pPr>
        <w:ind w:left="40" w:right="3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To qualify for certain tax benefits under Section 102 of the Israeli Tax Ordinance, securities issued to an employee in connection with the 2003 Amended and Restated Share Incentive Plan must be registered in the name of a trustee.</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Rami Dar</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03/31/2026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70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92995" TargetMode="External"/><Relationship Id="rId11" Type="http://schemas.openxmlformats.org/officeDocument/2006/relationships/hyperlink" Target="http://www.sec.gov/cgi-bin/browse-edgar?action=getcompany&amp;CIK=00014984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2026-03-31T15:10:31Z</dcterms:created>
  <dcterms:modified xsi:type="dcterms:W3CDTF">2026-03-31T15:10:31Z</dcterms:modified>
</cp:coreProperties>
</file>