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24" w:space="1" w:color="000000"/>
        </w:rPr>
      </w:pPr>
      <w:bookmarkStart w:id="0" w:name="zk2635661.htm"/>
      <w:bookmarkStart w:id="1" w:name="kszk2635661"/>
      <w:bookmarkEnd w:id="0"/>
      <w:bookmarkEnd w:id="1"/>
      <w:r>
        <w:rPr>
          <w:bdr w:val="single" w:sz="2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001-35223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BioLineRx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HaMa’ayan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Modi’in 7177871,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registrant issued the press release which is filed as Exhibit 1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first five paragraphs of the press release attached as </w:t>
      </w:r>
      <w:hyperlink w:anchor="exhibit_1.htm">
        <w:r>
          <w:rPr>
            <w:rStyle w:val="InternetLink"/>
            <w:rFonts w:ascii="Times New Roman;Times;Serif" w:hAnsi="Times New Roman;Times;Serif"/>
            <w:b w:val="false"/>
            <w:i w:val="false"/>
            <w:caps w:val="false"/>
            <w:smallCaps w:val="false"/>
            <w:sz w:val="20"/>
          </w:rPr>
          <w:t>Exhibit 1</w:t>
        </w:r>
      </w:hyperlink>
      <w:r>
        <w:rPr>
          <w:rFonts w:ascii="Times New Roman;Times;Serif" w:hAnsi="Times New Roman;Times;Serif"/>
          <w:b w:val="false"/>
          <w:i w:val="false"/>
          <w:caps w:val="false"/>
          <w:smallCaps w:val="false"/>
          <w:sz w:val="20"/>
        </w:rPr>
        <w:t xml:space="preserve"> to this Form 6-K, other than the fourth paragraph, are hereby incorporated by reference into all effective registration statements filed by the registrant under the Securities Act of 1933.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320"/>
        <w:gridCol w:w="1940"/>
        <w:gridCol w:w="7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sz w:val="20"/>
              </w:rPr>
            </w:pPr>
            <w:r>
              <w:rPr>
                <w:b/>
                <w:sz w:val="20"/>
              </w:rPr>
              <w:t>BioLineRx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Philip A. Serlin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hanging="0"/>
        <w:jc w:val="left"/>
        <w:rPr>
          <w:bdr w:val="single" w:sz="24" w:space="1" w:color="000000"/>
        </w:rPr>
      </w:pPr>
      <w:bookmarkStart w:id="2" w:name="exhibit_1.htm"/>
      <w:bookmarkStart w:id="3" w:name="ksexhibit_1"/>
      <w:bookmarkEnd w:id="2"/>
      <w:bookmarkEnd w:id="3"/>
      <w:r>
        <w:rPr>
          <w:bdr w:val="single" w:sz="24"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left"/>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2550"/>
        <w:gridCol w:w="3420"/>
      </w:tblGrid>
      <w:tr>
        <w:trPr/>
        <w:tc>
          <w:tcPr>
            <w:tcW w:w="2550" w:type="dxa"/>
            <w:tcBorders/>
            <w:vAlign w:val="center"/>
          </w:tcPr>
          <w:p>
            <w:pPr>
              <w:pStyle w:val="TableContents"/>
              <w:bidi w:val="0"/>
              <w:spacing w:before="0" w:after="283"/>
              <w:jc w:val="left"/>
              <w:rPr/>
            </w:pPr>
            <w:r>
              <w:rPr/>
              <w:t> </w:t>
            </w:r>
            <w:r>
              <w:rPr/>
              <w:drawing>
                <wp:inline distT="0" distB="0" distL="0" distR="0">
                  <wp:extent cx="15716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371475"/>
                          </a:xfrm>
                          <a:prstGeom prst="rect">
                            <a:avLst/>
                          </a:prstGeom>
                        </pic:spPr>
                      </pic:pic>
                    </a:graphicData>
                  </a:graphic>
                </wp:inline>
              </w:drawing>
            </w:r>
          </w:p>
        </w:tc>
        <w:tc>
          <w:tcPr>
            <w:tcW w:w="3420" w:type="dxa"/>
            <w:tcBorders/>
            <w:vAlign w:val="center"/>
          </w:tcPr>
          <w:p>
            <w:pPr>
              <w:pStyle w:val="TableContents"/>
              <w:bidi w:val="0"/>
              <w:spacing w:before="0" w:after="283"/>
              <w:jc w:val="right"/>
              <w:rPr/>
            </w:pPr>
            <w:r>
              <w:rPr/>
              <w:drawing>
                <wp:inline distT="0" distB="0" distL="0" distR="0">
                  <wp:extent cx="2124075"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24075" cy="647700"/>
                          </a:xfrm>
                          <a:prstGeom prst="rect">
                            <a:avLst/>
                          </a:prstGeom>
                        </pic:spPr>
                      </pic:pic>
                    </a:graphicData>
                  </a:graphic>
                </wp:inline>
              </w:drawing>
            </w: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BioLineRx and Hemispherian Announce New Preclinical Data Demonstrating Strong</w:t>
      </w:r>
    </w:p>
    <w:p>
      <w:pPr>
        <w:pStyle w:val="TextBody"/>
        <w:bidi w:val="0"/>
        <w:spacing w:before="0" w:after="0"/>
        <w:ind w:left="0"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Synergistic Effect between GLIX1 and PARP Inhibitor in a Patient-Derived</w:t>
      </w:r>
    </w:p>
    <w:p>
      <w:pPr>
        <w:pStyle w:val="TextBody"/>
        <w:bidi w:val="0"/>
        <w:spacing w:before="0" w:after="0"/>
        <w:ind w:left="0"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 xml:space="preserve">Ovarian Cancer Xenograft Model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 Synergy was demonstrated in a combination arm of GLIX1 and the PARP inhibitor olaparib at</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low doses, with substantially better efficacy compared to the control arm and compared to</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each drug individually at its optimal dose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 GLIX1 in combination with olaparib also showed comparable efficacy to that seen with the</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chemotherapy drug cisplatin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 Results reinforce synthetic lethality between GLIX1 and PARP inhibitors, indicating that GLIX1</w:t>
      </w:r>
    </w:p>
    <w:p>
      <w:pPr>
        <w:pStyle w:val="TextBody"/>
        <w:bidi w:val="0"/>
        <w:spacing w:before="0" w:after="0"/>
        <w:ind w:left="0" w:right="0" w:hanging="0"/>
        <w:jc w:val="center"/>
        <w:rPr>
          <w:rFonts w:ascii="Times New Roman;Times;Serif" w:hAnsi="Times New Roman;Times;Serif"/>
          <w:b w:val="false"/>
          <w:i/>
          <w:caps w:val="false"/>
          <w:smallCaps w:val="false"/>
          <w:spacing w:val="-2"/>
          <w:sz w:val="20"/>
        </w:rPr>
      </w:pPr>
      <w:r>
        <w:rPr>
          <w:rFonts w:ascii="Times New Roman;Times;Serif" w:hAnsi="Times New Roman;Times;Serif"/>
          <w:b w:val="false"/>
          <w:i/>
          <w:caps w:val="false"/>
          <w:smallCaps w:val="false"/>
          <w:spacing w:val="-2"/>
          <w:sz w:val="20"/>
        </w:rPr>
        <w:t>can broaden the use of PARPi in ovarian cancer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AVIV, Israel and OSLO, Norway – July 8, 2026 –</w:t>
      </w:r>
      <w:r>
        <w:rPr>
          <w:rFonts w:ascii="Times New Roman;Times;Serif" w:hAnsi="Times New Roman;Times;Serif"/>
          <w:b w:val="false"/>
          <w:i w:val="false"/>
          <w:caps w:val="false"/>
          <w:smallCaps w:val="false"/>
          <w:sz w:val="20"/>
        </w:rPr>
        <w:t xml:space="preserve"> BioLineRx Ltd. (NASDAQ/TASE: BLRX), a clinical-stage biopharmaceutical company pursuing life-changing therapies in oncology and rare diseases, and Hemispherian AS, a clinical-stage oncology company developing novel small molecule therapeutics, today announced highly encouraging new preclinical data demonstrating strong synergy between GLIX1 and PARP inhibitors in a patient-derived xenograft (PDX) model of ovarian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Ovarian cancer remains a major therapeutic challenge, particularly in homologous recombination (HR)-proficient disease where PARP inhibitors (PARPi) presently have limited efficacy, as well as for patients with platinum-resistance.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GLIX1 in combination with PARPi is expected to result in synthetic lethality, a mechanism in which GLIX1-induced single-stranded DNA breaks overcome PARP inhibitors’ requirement for HR-deficiency, enabling synergistic activity in HR-proficient cancers. This effect was first observed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where GLIX1 showed reproducible synergy across different PARP inhibitors and multiple HR-proficient ovarian cancer cell lines, with very high ZIP synergy scores.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are very excited to observe, in a patient-derived ovarian cancer model, the synergistic effect as we anticipated based on the mechanistic rationale and as demonstrated by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data” said Philip Serlin, Chief Executive Officer of BioLineRx. “GLIX1 has the potential to sensitize patients to PARP inhibitors as well as to potentially address the huge unmet need for patients with platinum-resistance. Based on these highly encouraging data, we plan to include an ovarian cancer arm in the expansion part of our ongoing Phase 1/2a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Today’s results represent a compelling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confirmation of GLIX1 and PARPi synergy from an HR-proficient ovarian cancer PDX model.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study included six arms: cisplatin, GLIX1 monotherapy and olaparib monotherapy (all at doses expected to be optimal), low-dose GLIX1, a low-dose GLIX1/olaparib combination arm, and a control arm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spacing w:val="-2"/>
              </w:rPr>
              <w:t xml:space="preserve">Results show substantially better efficacy in the combination arm versus the control arm and versus the monotherapy arms, </w:t>
            </w:r>
            <w:r>
              <w:rPr/>
              <w:t>despite using lower doses in the combination arm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low-dose GLIX1/olaparib combination tumor reduction was similar to cisplatin, the current chemotherapy benchmark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and Hemispherian plan to present the data from this study at one or more future medical conferences.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Ovarian Cancer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Ovarian cancer is the deadliest gynecologic malignancy in the United States, with an estimated approximately 21,000 new cases and 12,450 deaths projected in 2026. Standard first-line treatment consists of cytoreductive surgery and platinum-based chemotherapy, with PARP inhibitors used as maintenance therapy in selected patients, particularly those with BRCA-mutated or homologous recombination (HR)-deficient disease. However, PARP inhibitors are markedly less effective in patients with HR-proficient tumors, which account for approximately 50% of high-grade serous ovarian cancers and are associated with primary platinum resistance and shorter survival. This leaves a substantial and currently underserved patient population in need of new treatment strategies capable of extending the benefits of PARP inhibitors.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GLIX1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GLIX1 is a first-in-class, orally administered, brain penetrating, small molecule activator of the Ten-Eleven Translocation 2 (TET2) pathway that is commonly inhibited in cancer. Activating the novel TET2 pathway by GLIX1 overwhelms the DNA repair capacity of cancer cells, resulting in apoptotic cancer cell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the Phase 1/2a Trial with GLIX1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1/2a trial is an open-label, multicenter trial. Part 1 of the trial is a dose escalation study where patients receive GLIX1 daily as monotherapy. This part is expected to recruit up to 30 patients with recurrent and progressive GBM and other high-grade gliomas. The primary objective is to establish a maximum tolerated dose (MTD) and/or a recommended dose based on safety, PK/PD and preliminary efficacy. Updates to the Phase 1/2a trial are anticipated during H2 2026, with full results on the dose escalation part expected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2a expansion part of the trial is planned to include additional indications, including newly diagnosed GBM, as well as select cancers, with GLIX1 as monotherapy or in combination with standard of care (including in combination with PARP inhibitors). These cohorts are expected to identify preliminary efficacy, PD assessments and dose optimization data, serving as the basis for a rapid and effective advanced clinical development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on the Phase 1/2a trial, please visit </w:t>
      </w:r>
      <w:r>
        <w:rPr>
          <w:rFonts w:ascii="Times New Roman;Times;Serif" w:hAnsi="Times New Roman;Times;Serif"/>
          <w:b w:val="false"/>
          <w:i w:val="false"/>
          <w:caps w:val="false"/>
          <w:smallCaps w:val="false"/>
          <w:sz w:val="20"/>
          <w:u w:val="single"/>
        </w:rPr>
        <w:t>NCT07464925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Hemispherian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Hemispherian AS is a clinical-stage pharmaceutical company developing first-in-class small-molecule cancer therapies. Its lead program, GLIX1, is being advanced in partnership with BioLineRx for the treatment of glioblastoma and a broad range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headquartered in Oslo, Norway, and collaborates with leading academic and clinical institutions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www.hemispherian.com</w:t>
      </w:r>
      <w:r>
        <w:rPr>
          <w:rFonts w:ascii="Times New Roman;Times;Serif" w:hAnsi="Times New Roman;Times;Serif"/>
          <w:b w:val="false"/>
          <w:i w:val="false"/>
          <w:caps w:val="false"/>
          <w:smallCaps w:val="false"/>
          <w:sz w:val="20"/>
        </w:rPr>
        <w:t xml:space="preserve"> or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BioLineRx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 (NASDAQ/TASE: BLRX) is a biopharmaceutical company pursuing life-changing therapies in oncology and rare diseases. The Company’s lead development asset is GLIX1, a first-in-class, oral, small molecule targeting DNA damage response in glioblastoma and other solid tumors, for which a Phase 1/2a clinical trial has been initiated in the first quarter of 2026. GLIX1 is being developed under a collaboration with Hemispherian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APHEXDA® (motixafortide), is indicated in the U.S. for stem cell mobilization for autologous transplantation in multiple myeloma, and is being commercialized by Ayrmid Ltd. (globally, except Asia) and Gloria Biosciences (in Asia). BioLineRx has retained the rights to develop motixafortide in solid tumors, including metastatic pancreatic cancer (PDAC), and has a Phase 2b PDAC trial currently ongoing under a collaboration with Columbia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about who we are, what we do, and how we do it at </w:t>
      </w:r>
      <w:r>
        <w:rPr>
          <w:rFonts w:ascii="Times New Roman;Times;Serif" w:hAnsi="Times New Roman;Times;Serif"/>
          <w:b w:val="false"/>
          <w:i w:val="false"/>
          <w:caps w:val="false"/>
          <w:smallCaps w:val="false"/>
          <w:sz w:val="20"/>
          <w:u w:val="single"/>
        </w:rPr>
        <w:t>www.biolinerx.com</w:t>
      </w:r>
      <w:r>
        <w:rPr>
          <w:rFonts w:ascii="Times New Roman;Times;Serif" w:hAnsi="Times New Roman;Times;Serif"/>
          <w:b w:val="false"/>
          <w:i w:val="false"/>
          <w:caps w:val="false"/>
          <w:smallCaps w:val="false"/>
          <w:sz w:val="20"/>
        </w:rPr>
        <w:t>, or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GLIX1’s potential to sensitize patients to PARP inhibitors as well as the potential to address the need for patients with platinum-resistance.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BioLineRx’s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BioLineRx:</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Chuck Padala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IR@biolinerx.com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Moran Meir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moran@lifesciadvisors.com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Hemispherian AS: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Zeno Albisser, CEO</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zeno@hemispherian.com</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1774</Words>
  <Characters>10627</Characters>
  <CharactersWithSpaces>12409</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